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7</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沙文生态科技产业园马南路道路工程</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w:t>
      </w:r>
      <w:bookmarkStart w:id="96" w:name="_GoBack"/>
      <w:bookmarkEnd w:id="96"/>
      <w:r>
        <w:rPr>
          <w:rFonts w:hint="eastAsia" w:ascii="仿宋" w:hAnsi="仿宋" w:eastAsia="仿宋" w:cs="仿宋"/>
          <w:sz w:val="32"/>
          <w:szCs w:val="32"/>
          <w:lang w:eastAsia="zh-CN"/>
        </w:rPr>
        <w:t>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10" name="图片 10" descr="IMG_20200523_14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523_144956"/>
                          <pic:cNvPicPr>
                            <a:picLocks noChangeAspect="1"/>
                          </pic:cNvPicPr>
                        </pic:nvPicPr>
                        <pic:blipFill>
                          <a:blip r:embed="rId6"/>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15" name="图片 15" descr="IMG_20200523_1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523_145722"/>
                          <pic:cNvPicPr>
                            <a:picLocks noChangeAspect="1"/>
                          </pic:cNvPicPr>
                        </pic:nvPicPr>
                        <pic:blipFill>
                          <a:blip r:embed="rId7"/>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项目起点处太阳湖滨河公园</w:t>
            </w:r>
          </w:p>
        </w:tc>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贵阳户爱房车基地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16" name="图片 16" descr="IMG_20200523_1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523_150103"/>
                          <pic:cNvPicPr>
                            <a:picLocks noChangeAspect="1"/>
                          </pic:cNvPicPr>
                        </pic:nvPicPr>
                        <pic:blipFill>
                          <a:blip r:embed="rId8"/>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17" name="图片 17" descr="IMG_20200523_15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523_150710"/>
                          <pic:cNvPicPr>
                            <a:picLocks noChangeAspect="1"/>
                          </pic:cNvPicPr>
                        </pic:nvPicPr>
                        <pic:blipFill>
                          <a:blip r:embed="rId9"/>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国家贵州质检中心</w:t>
            </w:r>
          </w:p>
        </w:tc>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项目终点</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_Toc30166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_Toc30166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_Toc28778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_Toc28778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_Toc18676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_Toc18676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_Toc19698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_Toc19698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_Toc9431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_Toc2942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_Toc32436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_Toc32436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_Toc6400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1.4调查范围及因子</w:t>
          </w:r>
          <w:r>
            <w:tab/>
          </w:r>
          <w:r>
            <w:fldChar w:fldCharType="begin"/>
          </w:r>
          <w:r>
            <w:instrText xml:space="preserve"> PAGEREF _Toc6400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_Toc29189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1.4.1</w:t>
          </w:r>
          <w:r>
            <w:rPr>
              <w:rFonts w:hint="eastAsia" w:ascii="Times New Roman" w:hAnsi="Times New Roman" w:cs="Times New Roman"/>
              <w:szCs w:val="24"/>
              <w:lang w:val="en-US" w:eastAsia="zh-CN"/>
            </w:rPr>
            <w:t>调查范围</w:t>
          </w:r>
          <w:r>
            <w:tab/>
          </w:r>
          <w:r>
            <w:fldChar w:fldCharType="begin"/>
          </w:r>
          <w:r>
            <w:instrText xml:space="preserve"> PAGEREF _Toc29189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_Toc9258 </w:instrText>
          </w:r>
          <w:r>
            <w:fldChar w:fldCharType="separate"/>
          </w:r>
          <w:r>
            <w:t>12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_Toc30536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_Toc30536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_Toc7610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_Toc7610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_Toc30132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_Toc30132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_Toc19400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_Toc19400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_Toc12213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_Toc12213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_Toc4321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_Toc4321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_Toc18479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_Toc18479 </w:instrText>
          </w:r>
          <w:r>
            <w:fldChar w:fldCharType="separate"/>
          </w:r>
          <w:r>
            <w:t>15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_Toc19649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_Toc19649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_Toc20173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_Toc20173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_Toc11219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_Toc11219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_Toc29681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_Toc29681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_Toc9205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_Toc18688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2.3.2项目工程量</w:t>
          </w:r>
          <w:r>
            <w:tab/>
          </w:r>
          <w:r>
            <w:fldChar w:fldCharType="begin"/>
          </w:r>
          <w:r>
            <w:instrText xml:space="preserve"> PAGEREF _Toc18688 </w:instrText>
          </w:r>
          <w:r>
            <w:fldChar w:fldCharType="separate"/>
          </w:r>
          <w:r>
            <w:t>20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_Toc4106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2.3.3项目变更情况</w:t>
          </w:r>
          <w:r>
            <w:tab/>
          </w:r>
          <w:r>
            <w:fldChar w:fldCharType="begin"/>
          </w:r>
          <w:r>
            <w:instrText xml:space="preserve"> PAGEREF _Toc4106 </w:instrText>
          </w:r>
          <w:r>
            <w:fldChar w:fldCharType="separate"/>
          </w:r>
          <w:r>
            <w:t>20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_Toc22552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_Toc22552 </w:instrText>
          </w:r>
          <w:r>
            <w:fldChar w:fldCharType="separate"/>
          </w:r>
          <w:r>
            <w:t>20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_Toc10589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_Toc10589 </w:instrText>
          </w:r>
          <w:r>
            <w:fldChar w:fldCharType="separate"/>
          </w:r>
          <w:r>
            <w:t>22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_Toc30325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_Toc30325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_Toc21734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3.1.1工程建设内容</w:t>
          </w:r>
          <w:r>
            <w:tab/>
          </w:r>
          <w:r>
            <w:fldChar w:fldCharType="begin"/>
          </w:r>
          <w:r>
            <w:instrText xml:space="preserve"> PAGEREF _Toc21734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_Toc3862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3.1.2规划符合性</w:t>
          </w:r>
          <w:r>
            <w:tab/>
          </w:r>
          <w:r>
            <w:fldChar w:fldCharType="begin"/>
          </w:r>
          <w:r>
            <w:instrText xml:space="preserve"> PAGEREF _Toc3862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_Toc11246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3.1.3比选方案</w:t>
          </w:r>
          <w:r>
            <w:tab/>
          </w:r>
          <w:r>
            <w:fldChar w:fldCharType="begin"/>
          </w:r>
          <w:r>
            <w:instrText xml:space="preserve"> PAGEREF _Toc11246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_Toc20314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3.1.4环境现状评价结论</w:t>
          </w:r>
          <w:r>
            <w:tab/>
          </w:r>
          <w:r>
            <w:fldChar w:fldCharType="begin"/>
          </w:r>
          <w:r>
            <w:instrText xml:space="preserve"> PAGEREF _Toc20314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_Toc8876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3.1.5环境影响预测与评价</w:t>
          </w:r>
          <w:r>
            <w:tab/>
          </w:r>
          <w:r>
            <w:fldChar w:fldCharType="begin"/>
          </w:r>
          <w:r>
            <w:instrText xml:space="preserve"> PAGEREF _Toc8876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3.1.6水土保持</w:t>
          </w:r>
          <w:r>
            <w:tab/>
          </w:r>
          <w:r>
            <w:fldChar w:fldCharType="begin"/>
          </w:r>
          <w:r>
            <w:instrText xml:space="preserve"> PAGEREF _Toc11690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3.1.7环境风险</w:t>
          </w:r>
          <w:r>
            <w:tab/>
          </w:r>
          <w:r>
            <w:fldChar w:fldCharType="begin"/>
          </w:r>
          <w:r>
            <w:instrText xml:space="preserve"> PAGEREF _Toc1217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_Toc17016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3.1.8主要环境保护措施</w:t>
          </w:r>
          <w:r>
            <w:tab/>
          </w:r>
          <w:r>
            <w:fldChar w:fldCharType="begin"/>
          </w:r>
          <w:r>
            <w:instrText xml:space="preserve"> PAGEREF _Toc17016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_Toc32462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3.1.9公众参与</w:t>
          </w:r>
          <w:r>
            <w:tab/>
          </w:r>
          <w:r>
            <w:fldChar w:fldCharType="begin"/>
          </w:r>
          <w:r>
            <w:instrText xml:space="preserve"> PAGEREF _Toc32462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_Toc28175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3.1.10总结论</w:t>
          </w:r>
          <w:r>
            <w:tab/>
          </w:r>
          <w:r>
            <w:fldChar w:fldCharType="begin"/>
          </w:r>
          <w:r>
            <w:instrText xml:space="preserve"> PAGEREF _Toc28175 </w:instrText>
          </w:r>
          <w:r>
            <w:fldChar w:fldCharType="separate"/>
          </w:r>
          <w:r>
            <w:t>29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_Toc25970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_Toc25970 </w:instrText>
          </w:r>
          <w:r>
            <w:fldChar w:fldCharType="separate"/>
          </w:r>
          <w:r>
            <w:t>29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_Toc23050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_Toc23050 </w:instrText>
          </w:r>
          <w:r>
            <w:fldChar w:fldCharType="separate"/>
          </w:r>
          <w:r>
            <w:t>29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_Toc11629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_Toc11629 </w:instrText>
          </w:r>
          <w:r>
            <w:fldChar w:fldCharType="separate"/>
          </w:r>
          <w:r>
            <w:t>31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_Toc7027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_Toc7027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_Toc26054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_Toc26054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_Toc8911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_Toc8911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_Toc19484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_Toc19484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_Toc20906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_Toc20906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_Toc5264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_Toc5264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_Toc2398 </w:instrText>
          </w:r>
          <w:r>
            <w:fldChar w:fldCharType="separate"/>
          </w:r>
          <w:r>
            <w:t>37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_Toc2535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_Toc25892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_Toc25892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_Toc4053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_Toc4053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_Toc8634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_Toc8634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_Toc8340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_Toc8340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_Toc1820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_Toc1820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_Toc26670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_Toc26670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_Toc3366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_Toc3366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_Toc29480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_Toc29480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_Toc31251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_Toc31251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_Toc21358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_Toc21358 </w:instrText>
          </w:r>
          <w:r>
            <w:fldChar w:fldCharType="separate"/>
          </w:r>
          <w:r>
            <w:t>39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_Toc29242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6.3水环境</w:t>
          </w:r>
          <w:r>
            <w:tab/>
          </w:r>
          <w:r>
            <w:fldChar w:fldCharType="begin"/>
          </w:r>
          <w:r>
            <w:instrText xml:space="preserve"> PAGEREF _Toc29242 </w:instrText>
          </w:r>
          <w:r>
            <w:fldChar w:fldCharType="separate"/>
          </w:r>
          <w:r>
            <w:t>42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6.3.1水环境污染源调查</w:t>
          </w:r>
          <w:r>
            <w:tab/>
          </w:r>
          <w:r>
            <w:fldChar w:fldCharType="begin"/>
          </w:r>
          <w:r>
            <w:instrText xml:space="preserve"> PAGEREF _Toc30125 </w:instrText>
          </w:r>
          <w:r>
            <w:fldChar w:fldCharType="separate"/>
          </w:r>
          <w:r>
            <w:t>42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_Toc27261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6.3.2监测内容</w:t>
          </w:r>
          <w:r>
            <w:tab/>
          </w:r>
          <w:r>
            <w:fldChar w:fldCharType="begin"/>
          </w:r>
          <w:r>
            <w:instrText xml:space="preserve"> PAGEREF _Toc27261 </w:instrText>
          </w:r>
          <w:r>
            <w:fldChar w:fldCharType="separate"/>
          </w:r>
          <w:r>
            <w:t>42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_Toc29317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6.3.3监测结果</w:t>
          </w:r>
          <w:r>
            <w:tab/>
          </w:r>
          <w:r>
            <w:fldChar w:fldCharType="begin"/>
          </w:r>
          <w:r>
            <w:instrText xml:space="preserve"> PAGEREF _Toc29317 </w:instrText>
          </w:r>
          <w:r>
            <w:fldChar w:fldCharType="separate"/>
          </w:r>
          <w:r>
            <w:t>42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_Toc15159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_Toc15159 </w:instrText>
          </w:r>
          <w:r>
            <w:fldChar w:fldCharType="separate"/>
          </w:r>
          <w:r>
            <w:t>43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_Toc16947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_Toc16947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_Toc16314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_Toc16314 </w:instrText>
          </w:r>
          <w:r>
            <w:fldChar w:fldCharType="separate"/>
          </w:r>
          <w:r>
            <w:t>43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_Toc11940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_Toc11940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_Toc3736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_Toc3736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_Toc32533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_Toc32533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_Toc31047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_Toc31047 </w:instrText>
          </w:r>
          <w:r>
            <w:fldChar w:fldCharType="separate"/>
          </w:r>
          <w:r>
            <w:t>44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_Toc29090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_Toc29090 </w:instrText>
          </w:r>
          <w:r>
            <w:fldChar w:fldCharType="separate"/>
          </w:r>
          <w:r>
            <w:t>46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_Toc13801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_Toc13801 </w:instrText>
          </w:r>
          <w:r>
            <w:fldChar w:fldCharType="separate"/>
          </w:r>
          <w:r>
            <w:t>46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_Toc31357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_Toc31357 </w:instrText>
          </w:r>
          <w:r>
            <w:fldChar w:fldCharType="separate"/>
          </w:r>
          <w:r>
            <w:t>46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_Toc27702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_Toc27702 </w:instrText>
          </w:r>
          <w:r>
            <w:fldChar w:fldCharType="separate"/>
          </w:r>
          <w:r>
            <w:t>46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_Toc15775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_Toc15775 </w:instrText>
          </w:r>
          <w:r>
            <w:fldChar w:fldCharType="separate"/>
          </w:r>
          <w:r>
            <w:t>46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_Toc26332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_Toc26332 </w:instrText>
          </w:r>
          <w:r>
            <w:fldChar w:fldCharType="separate"/>
          </w:r>
          <w:r>
            <w:t>46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_Toc7978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_Toc7978 </w:instrText>
          </w:r>
          <w:r>
            <w:fldChar w:fldCharType="separate"/>
          </w:r>
          <w:r>
            <w:t>46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_Toc29915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_Toc29915 </w:instrText>
          </w:r>
          <w:r>
            <w:fldChar w:fldCharType="separate"/>
          </w:r>
          <w:r>
            <w:t>46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_Toc26599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_Toc26599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_Toc8858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_Toc8858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_Toc9841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_Toc9841 </w:instrText>
          </w:r>
          <w:r>
            <w:fldChar w:fldCharType="separate"/>
          </w:r>
          <w:r>
            <w:t>48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_Toc28873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_Toc28873 </w:instrText>
          </w:r>
          <w:r>
            <w:fldChar w:fldCharType="separate"/>
          </w:r>
          <w:r>
            <w:t>50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_Toc31512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_Toc31512 </w:instrText>
          </w:r>
          <w:r>
            <w:fldChar w:fldCharType="separate"/>
          </w:r>
          <w:r>
            <w:t>51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_Toc8023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_Toc8023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_Toc11138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_Toc11138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_Toc5373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_Toc5373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_Toc1160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_Toc28713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_Toc28713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_Toc1005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_Toc29784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_Toc29784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_Toc20705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_Toc20705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_Toc24346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10.1.8应急预案</w:t>
          </w:r>
          <w:r>
            <w:tab/>
          </w:r>
          <w:r>
            <w:fldChar w:fldCharType="begin"/>
          </w:r>
          <w:r>
            <w:instrText xml:space="preserve"> PAGEREF _Toc24346 </w:instrText>
          </w:r>
          <w:r>
            <w:fldChar w:fldCharType="separate"/>
          </w:r>
          <w:r>
            <w:t>52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_Toc357 </w:instrText>
          </w:r>
          <w:r>
            <w:fldChar w:fldCharType="separate"/>
          </w:r>
          <w:r>
            <w:t>52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_Toc19027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_Toc19027 </w:instrText>
          </w:r>
          <w:r>
            <w:fldChar w:fldCharType="separate"/>
          </w:r>
          <w:r>
            <w:t>54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_Toc23566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附件二：环评批复文件</w:t>
          </w:r>
          <w:r>
            <w:tab/>
          </w:r>
          <w:r>
            <w:fldChar w:fldCharType="begin"/>
          </w:r>
          <w:r>
            <w:instrText xml:space="preserve"> PAGEREF _Toc23566 </w:instrText>
          </w:r>
          <w:r>
            <w:fldChar w:fldCharType="separate"/>
          </w:r>
          <w:r>
            <w:t>56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_Toc11644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附件三：验收监测报告</w:t>
          </w:r>
          <w:r>
            <w:tab/>
          </w:r>
          <w:r>
            <w:fldChar w:fldCharType="begin"/>
          </w:r>
          <w:r>
            <w:instrText xml:space="preserve"> PAGEREF _Toc11644 </w:instrText>
          </w:r>
          <w:r>
            <w:fldChar w:fldCharType="separate"/>
          </w:r>
          <w:r>
            <w:t>58</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_Toc195 </w:instrText>
          </w:r>
          <w:r>
            <w:rPr>
              <w:rFonts w:hint="default" w:ascii="仿宋" w:hAnsi="仿宋" w:eastAsia="仿宋" w:cs="仿宋"/>
              <w:szCs w:val="32"/>
              <w:lang w:val="en-US" w:eastAsia="zh-CN"/>
            </w:rPr>
            <w:fldChar w:fldCharType="separate"/>
          </w:r>
          <w:r>
            <w:rPr>
              <w:rFonts w:hint="eastAsia"/>
              <w:lang w:val="en-US" w:eastAsia="zh-CN"/>
            </w:rPr>
            <w:t>附件四：验收意见</w:t>
          </w:r>
          <w:r>
            <w:tab/>
          </w:r>
          <w:r>
            <w:fldChar w:fldCharType="begin"/>
          </w:r>
          <w:r>
            <w:instrText xml:space="preserve"> PAGEREF _Toc195 </w:instrText>
          </w:r>
          <w:r>
            <w:fldChar w:fldCharType="separate"/>
          </w:r>
          <w:r>
            <w:t>97</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szCs w:val="32"/>
          <w:lang w:val="en-US" w:eastAsia="zh-CN"/>
        </w:rPr>
      </w:pPr>
      <w:bookmarkStart w:id="0" w:name="_Toc30166"/>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贵阳高新技术产业经济带沙文生态科技产业园位于贵阳市白云区北端，园区以发展高科技产业、实行高效能管理、培育高品位文化、体现高文明素质为目标，着力建设科技园区、生态科技产业园、文明园区。为进一步做好贵阳高新技术产业经济带用地规划布局和用地规划控制，并为启动建设沙文生态科技产业园提供规划建设和规划管理的法定依据，贵阳市城市规划设计研究院编制了《沙文生态科技产业园控制性详细规划》，贵阳市人民政府以筑府通[2009]77号文件对该规划进行了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遵照《中华人民共和国环境影响评价法》及有关规划环境影响评价的管理规定，贵阳国家高新技术产业开发区规划建设局委托贵州省环境科学研究设计院，承担贵阳高新技术产业经济带沙文生态科技产业园综合规划环境影响评价工作。2009年3月26日，贵阳市环境保护局组织专家对《贵阳高新技术产业经济带沙文生态科技产业园规划环境影响报告书》进行了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片区的总体规划，沙文生态科技产业园马南路道路工程是园区内重要道路之一，其工程项目的实施对建设完善园区主干路网，带动整个园区路网建设，从而全面完成园区城市基础设施建设都具有积极推动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马南路道路工程为新建城市道路，项目起点连接麦沙大道，经干田村马场营组、苏庄村苏庄组，终点连接麦苏路。道路总长1.886km，宽20m，为城市I级支路，设计车速30km/h。项目总投资额13507.65万元。贵阳市发展和改革委员会于2010年4月以筑发改投字[2010]378号文同意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2010年5月，贵州省建筑设计研究院编制完成了《沙文生态科技产业园马南路道路工程可行性研究报告》。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2010年11月，贵州省环境科学研究设计院受贵阳高科控股集团有限公司委托编制了《沙文生态科技产业园马南路道路工程环境影响评价报告书》并获得相应批复文件</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w:t>
      </w:r>
      <w:r>
        <w:rPr>
          <w:rFonts w:hint="default"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val="en-US" w:eastAsia="zh-CN"/>
        </w:rPr>
        <w:t>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我公司于2020年3月份接受贵阳高科控股集团有限公司委托，对马南路道路工程进行竣工环境保护验收调查并组织监测，编制《沙文生态科技产业园马南路道路工程竣工环境保护验收调查报告》。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28778"/>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18676"/>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19698"/>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9431"/>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《关于沙文生态科技产业园马南路道路工程建设项目立项的批复》（筑发改投字[2010]378号），贵阳市发展和和改革委员会，2010.04.27；</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《沙文生态科技产业园马南路道路工程环境影响评价报告书》，贵州省环境科学研究院，2011.02；</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《关于〈沙文生态科技产业园马南路道路工程环境影响评价报告书〉的批复》（筑环审[2011]13号），贵阳市环境保护局，2011.02.22。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2942"/>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32436"/>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sz w:val="24"/>
          <w:szCs w:val="24"/>
          <w:lang w:val="en-US" w:eastAsia="zh-CN"/>
        </w:rPr>
      </w:pPr>
      <w:bookmarkStart w:id="7" w:name="_Toc6400"/>
      <w:r>
        <w:rPr>
          <w:rFonts w:hint="default" w:ascii="Times New Roman" w:hAnsi="Times New Roman" w:cs="Times New Roman"/>
          <w:sz w:val="24"/>
          <w:szCs w:val="24"/>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8" w:name="_Toc29189"/>
      <w:r>
        <w:rPr>
          <w:rFonts w:hint="default" w:ascii="Times New Roman" w:hAnsi="Times New Roman" w:cs="Times New Roman"/>
          <w:sz w:val="24"/>
          <w:szCs w:val="24"/>
          <w:lang w:val="en-US" w:eastAsia="zh-CN"/>
        </w:rPr>
        <w:t>1.4.1</w:t>
      </w:r>
      <w:r>
        <w:rPr>
          <w:rFonts w:hint="eastAsia" w:ascii="Times New Roman" w:hAnsi="Times New Roman" w:cs="Times New Roman"/>
          <w:sz w:val="24"/>
          <w:szCs w:val="24"/>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本次竣工环境保护验收调查的范围为沙文生态科技产业园马南路道路工程沿线设施、敏感点等。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eastAsia" w:ascii="Times New Roman" w:hAnsi="Times New Roman" w:eastAsia="宋体" w:cs="Times New Roman"/>
          <w:b w:val="0"/>
          <w:bCs w:val="0"/>
          <w:sz w:val="24"/>
          <w:szCs w:val="24"/>
          <w:lang w:val="en-US" w:eastAsia="zh-CN"/>
        </w:rPr>
        <w:t>项目起点连接麦沙大道，经干田村马场营组、苏庄村苏庄组，终点连接麦苏路。道路总长1.886km，宽20m，为城市I级支路，设计车速30km/h。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本工程主要控制点主要控制点：起点T字形平交于麦沙大道、</w:t>
      </w:r>
      <w:r>
        <w:rPr>
          <w:rFonts w:hint="eastAsia" w:ascii="Times New Roman" w:hAnsi="Times New Roman" w:eastAsia="宋体" w:cs="Times New Roman"/>
          <w:b w:val="0"/>
          <w:bCs w:val="0"/>
          <w:sz w:val="24"/>
          <w:szCs w:val="24"/>
          <w:lang w:val="en-US" w:eastAsia="zh-CN"/>
        </w:rPr>
        <w:t>经干田村马场营组、苏庄村苏庄组，终点连接麦苏路</w:t>
      </w:r>
      <w:r>
        <w:rPr>
          <w:rFonts w:hint="eastAsia" w:ascii="Times New Roman" w:hAnsi="Times New Roman" w:eastAsia="宋体" w:cs="Times New Roman"/>
          <w:color w:val="auto"/>
          <w:sz w:val="24"/>
          <w:szCs w:val="24"/>
          <w:lang w:val="en-US" w:eastAsia="zh-CN"/>
        </w:rPr>
        <w:t>等相交道路及沿线地形、敏感点。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9258"/>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30536"/>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7610"/>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本项目于K0+370处建设桥梁跨越麦架河，麦架河水质执行《地表水环境质量标准》（GB3838-2002）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表1.5.1-3地表水环境质量标准</w:t>
      </w:r>
    </w:p>
    <w:tbl>
      <w:tblPr>
        <w:tblStyle w:val="9"/>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764"/>
        <w:gridCol w:w="1184"/>
        <w:gridCol w:w="1184"/>
        <w:gridCol w:w="9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487" w:type="dxa"/>
            <w:vAlign w:val="center"/>
          </w:tcPr>
          <w:p>
            <w:pPr>
              <w:pStyle w:val="15"/>
              <w:spacing w:before="34"/>
              <w:ind w:left="237" w:right="223"/>
              <w:jc w:val="center"/>
              <w:rPr>
                <w:rFonts w:hint="eastAsia" w:ascii="宋体" w:eastAsia="宋体"/>
                <w:b/>
                <w:sz w:val="21"/>
              </w:rPr>
            </w:pPr>
            <w:r>
              <w:rPr>
                <w:rFonts w:hint="eastAsia" w:ascii="宋体" w:eastAsia="宋体"/>
                <w:b/>
                <w:sz w:val="21"/>
              </w:rPr>
              <w:t>污染物</w:t>
            </w:r>
          </w:p>
        </w:tc>
        <w:tc>
          <w:tcPr>
            <w:tcW w:w="1764" w:type="dxa"/>
            <w:vAlign w:val="center"/>
          </w:tcPr>
          <w:p>
            <w:pPr>
              <w:pStyle w:val="15"/>
              <w:spacing w:before="34"/>
              <w:ind w:left="153" w:right="141"/>
              <w:jc w:val="center"/>
              <w:rPr>
                <w:rFonts w:hint="default" w:ascii="宋体" w:eastAsia="宋体"/>
                <w:b/>
                <w:sz w:val="21"/>
                <w:lang w:val="en-US" w:eastAsia="zh-CN"/>
              </w:rPr>
            </w:pPr>
            <w:r>
              <w:rPr>
                <w:rFonts w:hint="eastAsia" w:ascii="宋体" w:eastAsia="宋体"/>
                <w:b/>
                <w:sz w:val="21"/>
                <w:lang w:val="en-US" w:eastAsia="zh-CN"/>
              </w:rPr>
              <w:t>COD</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石油类</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氨氮</w:t>
            </w:r>
          </w:p>
        </w:tc>
        <w:tc>
          <w:tcPr>
            <w:tcW w:w="953" w:type="dxa"/>
            <w:vAlign w:val="center"/>
          </w:tcPr>
          <w:p>
            <w:pPr>
              <w:pStyle w:val="15"/>
              <w:spacing w:before="48"/>
              <w:ind w:left="202" w:right="195"/>
              <w:jc w:val="center"/>
              <w:rPr>
                <w:b/>
                <w:sz w:val="21"/>
              </w:rPr>
            </w:pPr>
            <w:r>
              <w:rPr>
                <w:b/>
                <w:sz w:val="21"/>
              </w:rPr>
              <w:t>SS</w:t>
            </w:r>
          </w:p>
        </w:tc>
        <w:tc>
          <w:tcPr>
            <w:tcW w:w="1565" w:type="dxa"/>
            <w:vAlign w:val="center"/>
          </w:tcPr>
          <w:p>
            <w:pPr>
              <w:pStyle w:val="15"/>
              <w:spacing w:before="34"/>
              <w:ind w:left="162" w:right="151"/>
              <w:jc w:val="center"/>
              <w:rPr>
                <w:b/>
                <w:sz w:val="21"/>
              </w:rPr>
            </w:pPr>
            <w:r>
              <w:rPr>
                <w:b/>
                <w:sz w:val="21"/>
              </w:rPr>
              <w:t>PH(</w:t>
            </w:r>
            <w:r>
              <w:rPr>
                <w:rFonts w:hint="eastAsia" w:ascii="宋体" w:eastAsia="宋体"/>
                <w:b/>
                <w:sz w:val="21"/>
              </w:rPr>
              <w:t>无量纲</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487" w:type="dxa"/>
            <w:vAlign w:val="center"/>
          </w:tcPr>
          <w:p>
            <w:pPr>
              <w:pStyle w:val="15"/>
              <w:spacing w:before="33"/>
              <w:ind w:left="237" w:right="230"/>
              <w:jc w:val="center"/>
              <w:rPr>
                <w:rFonts w:hint="eastAsia" w:ascii="宋体" w:hAnsi="宋体" w:eastAsia="宋体"/>
                <w:sz w:val="21"/>
              </w:rPr>
            </w:pPr>
            <w:r>
              <w:rPr>
                <w:rFonts w:hint="eastAsia" w:ascii="宋体" w:hAnsi="宋体" w:eastAsia="宋体"/>
                <w:sz w:val="21"/>
              </w:rPr>
              <w:t>Ⅲ类标准</w:t>
            </w:r>
          </w:p>
        </w:tc>
        <w:tc>
          <w:tcPr>
            <w:tcW w:w="1764" w:type="dxa"/>
            <w:vAlign w:val="center"/>
          </w:tcPr>
          <w:p>
            <w:pPr>
              <w:pStyle w:val="15"/>
              <w:spacing w:before="49"/>
              <w:ind w:left="8"/>
              <w:jc w:val="center"/>
              <w:rPr>
                <w:sz w:val="21"/>
              </w:rPr>
            </w:pPr>
            <w:r>
              <w:rPr>
                <w:w w:val="99"/>
                <w:sz w:val="21"/>
              </w:rPr>
              <w:t>6</w:t>
            </w:r>
          </w:p>
        </w:tc>
        <w:tc>
          <w:tcPr>
            <w:tcW w:w="1184" w:type="dxa"/>
            <w:vAlign w:val="center"/>
          </w:tcPr>
          <w:p>
            <w:pPr>
              <w:pStyle w:val="15"/>
              <w:spacing w:before="49"/>
              <w:ind w:left="8"/>
              <w:jc w:val="center"/>
              <w:rPr>
                <w:sz w:val="21"/>
              </w:rPr>
            </w:pPr>
            <w:r>
              <w:rPr>
                <w:sz w:val="21"/>
              </w:rPr>
              <w:t>0.05</w:t>
            </w:r>
          </w:p>
        </w:tc>
        <w:tc>
          <w:tcPr>
            <w:tcW w:w="1184" w:type="dxa"/>
            <w:vAlign w:val="center"/>
          </w:tcPr>
          <w:p>
            <w:pPr>
              <w:pStyle w:val="15"/>
              <w:spacing w:before="49"/>
              <w:ind w:left="7"/>
              <w:jc w:val="center"/>
              <w:rPr>
                <w:sz w:val="21"/>
              </w:rPr>
            </w:pPr>
            <w:r>
              <w:rPr>
                <w:w w:val="99"/>
                <w:sz w:val="21"/>
              </w:rPr>
              <w:t>1</w:t>
            </w:r>
          </w:p>
        </w:tc>
        <w:tc>
          <w:tcPr>
            <w:tcW w:w="953" w:type="dxa"/>
            <w:vAlign w:val="center"/>
          </w:tcPr>
          <w:p>
            <w:pPr>
              <w:pStyle w:val="15"/>
              <w:spacing w:before="49"/>
              <w:ind w:left="204" w:right="192"/>
              <w:jc w:val="center"/>
              <w:rPr>
                <w:sz w:val="21"/>
              </w:rPr>
            </w:pPr>
            <w:r>
              <w:rPr>
                <w:sz w:val="21"/>
              </w:rPr>
              <w:t>30</w:t>
            </w:r>
          </w:p>
        </w:tc>
        <w:tc>
          <w:tcPr>
            <w:tcW w:w="1565" w:type="dxa"/>
            <w:vAlign w:val="center"/>
          </w:tcPr>
          <w:p>
            <w:pPr>
              <w:pStyle w:val="15"/>
              <w:spacing w:before="49"/>
              <w:ind w:left="158" w:right="151"/>
              <w:jc w:val="center"/>
              <w:rPr>
                <w:sz w:val="21"/>
              </w:rPr>
            </w:pPr>
            <w:r>
              <w:rPr>
                <w:sz w:val="21"/>
              </w:rPr>
              <w:t>6-9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本项目调查范围内原环评在K0+620处马场营水井，经调查，由于此处附近居民已搬迁，该处也已规划为园区建设项目用地，此处水井已因周边建设项目施工而填埋。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30132"/>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经道路两侧的排水沟从岸边排入沿河路段水体。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19400"/>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14" w:name="_Toc12213"/>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本项目生态环境保护目标为沿线植被、耕地、农田。本项目全线位于沙文科技产业园中，沿线耕地、农田已大部分完成征收，少部分亦正在进行征收事宜，规划为园区建设项目用地。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color w:val="FF0000"/>
          <w:sz w:val="24"/>
          <w:szCs w:val="24"/>
          <w:lang w:val="en-US" w:eastAsia="zh-CN"/>
        </w:rPr>
      </w:pPr>
      <w:bookmarkStart w:id="15" w:name="_Toc4321"/>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等敏感点，原环评所列敏感点王家院村瓦窑坝组、干田村马场营组、苏庄村苏庄组已完成搬迁，现已规划为建设项目用地，新增敏感点太阳湖滨河公园、国家贵州质检中心、贵阳户爱房车基地等。现有保护目标详见表1.6.2-1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0"/>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金苏大道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K0+040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drawing>
                <wp:inline distT="0" distB="0" distL="114300" distR="114300">
                  <wp:extent cx="1331595" cy="998220"/>
                  <wp:effectExtent l="0" t="0" r="1905" b="11430"/>
                  <wp:docPr id="25" name="图片 25" descr="IMG_20200523_14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523_144956"/>
                          <pic:cNvPicPr>
                            <a:picLocks noChangeAspect="1"/>
                          </pic:cNvPicPr>
                        </pic:nvPicPr>
                        <pic:blipFill>
                          <a:blip r:embed="rId11"/>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贵阳户爱房车基地</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K0+745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6" name="图片 26" descr="IMG_20200523_1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523_145722"/>
                          <pic:cNvPicPr>
                            <a:picLocks noChangeAspect="1"/>
                          </pic:cNvPicPr>
                        </pic:nvPicPr>
                        <pic:blipFill>
                          <a:blip r:embed="rId12"/>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国家贵州质检中心</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K1+470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9" name="图片 29" descr="IMG_20200523_1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0523_150103"/>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18479"/>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本项目于K0+370处建设桥梁跨越麦架河，麦架河水质执行《地表水环境质量标准》（GB3838-2002）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cs="Times New Roman"/>
          <w:sz w:val="24"/>
          <w:szCs w:val="24"/>
          <w:lang w:val="en-US" w:eastAsia="zh-CN"/>
        </w:rPr>
        <w:t>本项目调查范围内原环评在K0+620处存在马场营水井，经调查，由于此处附近居民已搬迁，该处也已规划为园区建设项目用地，此处水井已因周边建设项目施工而填埋。</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19649"/>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20173"/>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马南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马南路道路工程为新建城市道路，项目起点连接麦沙大道，经干田村马场营组、苏庄村苏庄组，终点连接麦苏路。道路总长1.886km，宽20m，为城市I级支路，设计车速30km/h。项目总投资额13507.65万元。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11219"/>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《关于沙文生态科技产业园马南路道路工程建设项目立项的批复》（筑发改投字[2010]378号），贵阳市发展和和改革委员会，2010.04.27；</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关于对《沙文生态科技产业园马南路道路工程水土保持方案报告书》的批复，筑水保字[2010]66号，贵阳水利局，2010.12.03；</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《沙文生态科技产业园马南路道路工程环境影响评价报告书》，贵州省环境科学研究院，2011.02；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《关于〈沙文生态科技产业园马南路道路工程环境影响评价报告书〉的批复》（筑环审[2011]13号），贵阳市环境保护局，2011.02.22；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本项目于2011年04月03日开工建设，2013年11月28日所有标段完成验收并投入使用。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7876540" cy="4939665"/>
            <wp:effectExtent l="0" t="0" r="10160" b="133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4"/>
                    <a:stretch>
                      <a:fillRect/>
                    </a:stretch>
                  </pic:blipFill>
                  <pic:spPr>
                    <a:xfrm>
                      <a:off x="0" y="0"/>
                      <a:ext cx="7876540" cy="4939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29681"/>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9205"/>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本项目全长1.886km，路面宽20m，为沥青混凝土路面，设计时速30km/h，为双向6车道城市</w:t>
      </w:r>
      <w:r>
        <w:rPr>
          <w:rFonts w:hint="eastAsia" w:ascii="宋体" w:hAnsi="宋体" w:eastAsia="宋体" w:cs="宋体"/>
          <w:sz w:val="24"/>
          <w:szCs w:val="24"/>
          <w:lang w:val="en-US" w:eastAsia="zh-CN"/>
        </w:rPr>
        <w:t>Ⅰ</w:t>
      </w:r>
      <w:r>
        <w:rPr>
          <w:rFonts w:hint="eastAsia" w:ascii="Times New Roman" w:hAnsi="Times New Roman" w:eastAsia="宋体" w:cs="Times New Roman"/>
          <w:sz w:val="24"/>
          <w:szCs w:val="24"/>
          <w:lang w:val="en-US" w:eastAsia="zh-CN"/>
        </w:rPr>
        <w:t>级支路，工程总投资13507.65万元。本项目为新建项目。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本项目线性较好，高填深挖路段较少。项目主要技术指标、工程内容见表2.3.1-1。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项目主要技术指标及工程内容</w:t>
      </w:r>
    </w:p>
    <w:tbl>
      <w:tblPr>
        <w:tblStyle w:val="9"/>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231"/>
        <w:gridCol w:w="2231"/>
        <w:gridCol w:w="133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tblHeader/>
          <w:jc w:val="center"/>
        </w:trPr>
        <w:tc>
          <w:tcPr>
            <w:tcW w:w="4462"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eastAsia" w:ascii="Times New Roman" w:hAnsi="Times New Roman" w:eastAsia="宋体" w:cs="Times New Roman"/>
                <w:b/>
                <w:bCs/>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eastAsia="zh-CN"/>
              </w:rPr>
            </w:pPr>
            <w:r>
              <w:rPr>
                <w:rFonts w:hint="default" w:ascii="Times New Roman" w:hAnsi="Times New Roman" w:eastAsia="宋体" w:cs="Times New Roman"/>
                <w:b w:val="0"/>
                <w:bCs w:val="0"/>
                <w:i w:val="0"/>
                <w:color w:val="000000"/>
                <w:sz w:val="20"/>
                <w:szCs w:val="20"/>
                <w:u w:val="none"/>
                <w:lang w:eastAsia="zh-CN"/>
              </w:rPr>
              <w:t>—</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6"/>
                <w:rFonts w:hint="default" w:ascii="Times New Roman" w:hAnsi="Times New Roman" w:eastAsia="宋体" w:cs="Times New Roman"/>
                <w:b w:val="0"/>
                <w:bCs w:val="0"/>
                <w:lang w:val="en-US" w:eastAsia="zh-CN" w:bidi="ar"/>
              </w:rPr>
              <w:t>城市</w:t>
            </w:r>
            <w:r>
              <w:rPr>
                <w:rStyle w:val="17"/>
                <w:rFonts w:hint="default" w:ascii="Times New Roman" w:hAnsi="Times New Roman" w:eastAsia="宋体" w:cs="Times New Roman"/>
                <w:b w:val="0"/>
                <w:bCs w:val="0"/>
                <w:lang w:val="en-US" w:eastAsia="zh-CN" w:bidi="ar"/>
              </w:rPr>
              <w:t>I</w:t>
            </w:r>
            <w:r>
              <w:rPr>
                <w:rStyle w:val="16"/>
                <w:rFonts w:hint="eastAsia" w:ascii="Times New Roman" w:hAnsi="Times New Roman" w:eastAsia="宋体" w:cs="Times New Roman"/>
                <w:b w:val="0"/>
                <w:bCs w:val="0"/>
                <w:lang w:val="en-US" w:eastAsia="zh-CN" w:bidi="ar"/>
              </w:rPr>
              <w:t>级支路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路基宽度</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Style w:val="17"/>
                <w:rFonts w:hint="eastAsia" w:ascii="Times New Roman" w:hAnsi="Times New Roman" w:eastAsia="宋体" w:cs="Times New Roman"/>
                <w:b w:val="0"/>
                <w:bCs w:val="0"/>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土石方量工程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挖方</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填方</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36765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人行道</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12868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路基防护工程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给水工程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排水工程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路灯照明工程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盏</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交通设施工程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km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行道树工程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棵</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消防设施</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环卫设施</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48</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路面结构采用沥青路面：62cm=5cm</w:t>
      </w:r>
      <w:r>
        <w:rPr>
          <w:rFonts w:hint="eastAsia" w:ascii="Times New Roman" w:hAnsi="Times New Roman" w:eastAsia="宋体" w:cs="Times New Roman"/>
          <w:sz w:val="24"/>
          <w:szCs w:val="24"/>
          <w:lang w:val="en-US" w:eastAsia="zh-CN"/>
        </w:rPr>
        <w:t>细粒式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SMA-13 SBS</w:t>
      </w:r>
      <w:r>
        <w:rPr>
          <w:rFonts w:hint="default" w:ascii="Times New Roman" w:hAnsi="Times New Roman" w:eastAsia="宋体" w:cs="Times New Roman"/>
          <w:sz w:val="24"/>
          <w:szCs w:val="24"/>
          <w:lang w:val="en-US" w:eastAsia="zh-CN"/>
        </w:rPr>
        <w:t>改性)+5cm</w:t>
      </w:r>
      <w:r>
        <w:rPr>
          <w:rFonts w:hint="eastAsia" w:ascii="Times New Roman" w:hAnsi="Times New Roman" w:eastAsia="宋体" w:cs="Times New Roman"/>
          <w:sz w:val="24"/>
          <w:szCs w:val="24"/>
          <w:lang w:val="en-US" w:eastAsia="zh-CN"/>
        </w:rPr>
        <w:t>中粒式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AC-20C</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+7cm粗颗粒式沥青混凝土(AC-25C)</w:t>
      </w:r>
      <w:r>
        <w:rPr>
          <w:rFonts w:hint="default" w:ascii="Times New Roman" w:hAnsi="Times New Roman" w:eastAsia="宋体" w:cs="Times New Roman"/>
          <w:sz w:val="24"/>
          <w:szCs w:val="24"/>
          <w:lang w:val="en-US" w:eastAsia="zh-CN"/>
        </w:rPr>
        <w:t>+玻璃纤维格栅一层((BJG80×80，搭接系数1.05)+</w:t>
      </w:r>
      <w:r>
        <w:rPr>
          <w:rFonts w:hint="eastAsia" w:ascii="Times New Roman" w:hAnsi="Times New Roman" w:eastAsia="宋体" w:cs="Times New Roman"/>
          <w:sz w:val="24"/>
          <w:szCs w:val="24"/>
          <w:lang w:val="en-US" w:eastAsia="zh-CN"/>
        </w:rPr>
        <w:t>透油层+</w:t>
      </w:r>
      <w:r>
        <w:rPr>
          <w:rFonts w:hint="default" w:ascii="Times New Roman" w:hAnsi="Times New Roman" w:eastAsia="宋体" w:cs="Times New Roman"/>
          <w:sz w:val="24"/>
          <w:szCs w:val="24"/>
          <w:lang w:val="en-US" w:eastAsia="zh-CN"/>
        </w:rPr>
        <w:t>30cm水泥稳定碎石+15cm级配碎石。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人行道结构：5cm</w:t>
      </w:r>
      <w:r>
        <w:rPr>
          <w:rFonts w:hint="eastAsia" w:ascii="Times New Roman" w:hAnsi="Times New Roman" w:eastAsia="宋体" w:cs="Times New Roman"/>
          <w:sz w:val="24"/>
          <w:szCs w:val="24"/>
          <w:lang w:val="en-US" w:eastAsia="zh-CN"/>
        </w:rPr>
        <w:t>通体透水性</w:t>
      </w:r>
      <w:r>
        <w:rPr>
          <w:rFonts w:hint="default" w:ascii="Times New Roman" w:hAnsi="Times New Roman" w:eastAsia="宋体" w:cs="Times New Roman"/>
          <w:sz w:val="24"/>
          <w:szCs w:val="24"/>
          <w:lang w:val="en-US" w:eastAsia="zh-CN"/>
        </w:rPr>
        <w:t>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2cm</w:t>
      </w:r>
      <w:r>
        <w:rPr>
          <w:rFonts w:hint="eastAsia" w:ascii="Times New Roman" w:hAnsi="Times New Roman" w:eastAsia="宋体" w:cs="Times New Roman"/>
          <w:sz w:val="24"/>
          <w:szCs w:val="24"/>
          <w:lang w:val="en-US" w:eastAsia="zh-CN"/>
        </w:rPr>
        <w:t>干硬性</w:t>
      </w:r>
      <w:r>
        <w:rPr>
          <w:rFonts w:hint="default" w:ascii="Times New Roman" w:hAnsi="Times New Roman" w:eastAsia="宋体" w:cs="Times New Roman"/>
          <w:sz w:val="24"/>
          <w:szCs w:val="24"/>
          <w:lang w:val="en-US" w:eastAsia="zh-CN"/>
        </w:rPr>
        <w:t>水泥砂浆；10cmC1</w:t>
      </w:r>
      <w:r>
        <w:rPr>
          <w:rFonts w:hint="eastAsia" w:ascii="Times New Roman" w:hAnsi="Times New Roman" w:eastAsia="宋体" w:cs="Times New Roman"/>
          <w:sz w:val="24"/>
          <w:szCs w:val="24"/>
          <w:lang w:val="en-US" w:eastAsia="zh-CN"/>
        </w:rPr>
        <w:t>5透水</w:t>
      </w:r>
      <w:r>
        <w:rPr>
          <w:rFonts w:hint="default" w:ascii="Times New Roman" w:hAnsi="Times New Roman" w:eastAsia="宋体" w:cs="Times New Roman"/>
          <w:sz w:val="24"/>
          <w:szCs w:val="24"/>
          <w:lang w:val="en-US" w:eastAsia="zh-CN"/>
        </w:rPr>
        <w:t>混凝土；15cm级配碎石，总厚</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横断面设计：</w:t>
      </w:r>
      <w:r>
        <w:rPr>
          <w:rFonts w:hint="eastAsia" w:ascii="Times New Roman" w:hAnsi="Times New Roman" w:eastAsia="宋体" w:cs="Times New Roman"/>
          <w:sz w:val="24"/>
          <w:szCs w:val="24"/>
          <w:lang w:val="en-US" w:eastAsia="zh-CN"/>
        </w:rPr>
        <w:t>20m</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m人行道+2.0m绿化带+12.0m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车道+2.0m绿化带+</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堤边坡坡率根据填料性质，边坡高度和基底地质条件同排水及防护工程综合考虑确定；一般填方路基，当路堤高度小于等于12m时，边坡率1：1.5；当路堤高度大于12m时，采用台阶式边坡，从上至下每8m分一级，级与级中间设2m宽的平台，边坡率均采用1：1.5。坡脚设置护坡道，宽度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路堑方案主要根据岩土性质、水文条件、边坡高度等结合路堑排水及防护工程经综合考虑后进行设计</w:t>
      </w:r>
      <w:r>
        <w:rPr>
          <w:rFonts w:hint="eastAsia" w:ascii="Times New Roman" w:hAnsi="Times New Roman" w:eastAsia="宋体" w:cs="Times New Roman"/>
          <w:sz w:val="24"/>
          <w:szCs w:val="24"/>
          <w:lang w:val="en-US" w:eastAsia="zh-CN"/>
        </w:rPr>
        <w:t>并实施</w:t>
      </w:r>
      <w:r>
        <w:rPr>
          <w:rFonts w:hint="default" w:ascii="Times New Roman" w:hAnsi="Times New Roman" w:eastAsia="宋体" w:cs="Times New Roman"/>
          <w:sz w:val="24"/>
          <w:szCs w:val="24"/>
          <w:lang w:val="en-US" w:eastAsia="zh-CN"/>
        </w:rPr>
        <w:t>。采用台阶式边坡，边坡平台宽2.0m，每级高度8m，边坡坡率一般按以下原则确定：弱～微风化岩层边坡坡率1：0.35～0.5，强风化岩层边坡率1：0.5～0.75，全风化岩层及土质边坡坡率1：1～1：1.25。坡脚设置碎落台，宽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本项目交叉工程详见表2.3.1-2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表2.3.1-2交叉工程一览表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47"/>
        <w:gridCol w:w="2068"/>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中心桩号</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交叉道路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交叉形式</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K0+000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麦沙大道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K0+590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马场营路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K0+850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干田路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K1+370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四苏路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K1+886</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麦苏路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本项目在K0+370处跨越麦架河，此处桥梁长35m。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本项目未涉及涵洞和隧道工程。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（5）沿线设施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本项目沿线建设有完善的排水系统，主要由边沟、排水沟、截水沟、检查井等组成，能有效截留本项目产生的污水，防止其对环境造成更大的影响。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本项目设置的交通设施包括警告标志、禁令标志、指示标志、导向标志、交通标线、防护设施等。在人行道及道路中间绿化带设置有双臂路灯，设置间距约为25米，能对道路进行有效照明。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本项目在人行道种植有行道树，道路中间设有绿化带。沿线设置护栏、标志牌、信息板、环卫设施等。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本项目未设置专门的取料场，所需砂石、沥青等全部购买，设有1处临时弃土场，本项目存在借方，无弃方产生，借方从同期建设的麦苏路调运。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2" w:name="_Toc18688"/>
      <w:r>
        <w:rPr>
          <w:rFonts w:hint="eastAsia" w:ascii="Times New Roman" w:hAnsi="Times New Roman" w:eastAsia="宋体" w:cs="Times New Roman"/>
          <w:sz w:val="24"/>
          <w:szCs w:val="24"/>
          <w:lang w:val="en-US" w:eastAsia="zh-CN"/>
        </w:rPr>
        <w:t>2.3.2项目工程量</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本项目建设道路挖方5.13万m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，填方10.15万m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，借方5.11万m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（从同期建设的麦苏路调运），无弃方</w:t>
      </w:r>
      <w:r>
        <w:rPr>
          <w:rFonts w:hint="eastAsia" w:ascii="Times New Roman" w:hAnsi="Times New Roman" w:eastAsia="宋体" w:cs="Times New Roman"/>
          <w:sz w:val="24"/>
          <w:szCs w:val="24"/>
          <w:lang w:val="en-US" w:eastAsia="zh-CN"/>
        </w:rPr>
        <w:t>。永久性占地4.15hm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、灌木林地0.06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、荒草地0.30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、梯坪地4.21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、水田0.90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4106"/>
      <w:r>
        <w:rPr>
          <w:rFonts w:hint="eastAsia" w:ascii="Times New Roman" w:hAnsi="Times New Roman" w:eastAsia="宋体" w:cs="Times New Roman"/>
          <w:sz w:val="24"/>
          <w:szCs w:val="24"/>
          <w:lang w:val="en-US" w:eastAsia="zh-CN"/>
        </w:rPr>
        <w:t>2.3.3项目变更情况</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本项目基本按照环评报告书所列内容进行施工建设，无重大变更。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4" w:name="_Toc22552"/>
      <w:r>
        <w:rPr>
          <w:rFonts w:hint="eastAsia" w:ascii="Times New Roman" w:hAnsi="Times New Roman" w:eastAsia="宋体" w:cs="Times New Roman"/>
          <w:sz w:val="24"/>
          <w:szCs w:val="24"/>
          <w:lang w:val="en-US" w:eastAsia="zh-CN"/>
        </w:rPr>
        <w:t>2.4 环保投资</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本项目环保投资190万元，项目总投资13507.65万元，环保投资占项目总投资的1.41%。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表2.5-1环保投资一览表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87"/>
        <w:gridCol w:w="1659"/>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环评估算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生产废水沉淀池</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4座</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洒水车</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1台</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防尘围栏及声屏障</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1处</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绿化</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94.2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边沟、排水沟、边坡、路基、植被恢复</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61.94（计入主体工程）</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61.94（计入主体工程）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桥梁护栏</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70m</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环评报告编制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水保方案编制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9</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环保工程设计</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10</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运营期环境监测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人员培训、宣传教育</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环境保护管理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环保验收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不可预见费用</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9.67</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17</w:t>
            </w:r>
          </w:p>
        </w:tc>
        <w:tc>
          <w:tcPr>
            <w:tcW w:w="394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203.01</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190.00</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5" w:name="_Toc10589"/>
      <w:r>
        <w:rPr>
          <w:rFonts w:hint="eastAsia" w:ascii="Times New Roman" w:hAnsi="Times New Roman" w:eastAsia="宋体" w:cs="Times New Roman"/>
          <w:b/>
          <w:bCs/>
          <w:sz w:val="24"/>
          <w:szCs w:val="24"/>
          <w:lang w:val="en-US" w:eastAsia="zh-CN"/>
        </w:rPr>
        <w:t>3 环境影响评价报告回顾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沙文生态科技产业园马南路道路工程环境影响评价报告书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贵州省环境科学研究院</w:t>
      </w:r>
      <w:r>
        <w:rPr>
          <w:rFonts w:hint="default" w:ascii="Times New Roman" w:hAnsi="Times New Roman" w:eastAsia="宋体" w:cs="Times New Roman"/>
          <w:sz w:val="24"/>
          <w:szCs w:val="24"/>
          <w:lang w:val="en-US" w:eastAsia="zh-CN"/>
        </w:rPr>
        <w:t>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月编制完成，并于20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 xml:space="preserve"> 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22日</w:t>
      </w:r>
      <w:r>
        <w:rPr>
          <w:rFonts w:hint="default" w:ascii="Times New Roman" w:hAnsi="Times New Roman" w:eastAsia="宋体" w:cs="Times New Roman"/>
          <w:sz w:val="24"/>
          <w:szCs w:val="24"/>
          <w:lang w:val="en-US" w:eastAsia="zh-CN"/>
        </w:rPr>
        <w:t>得到了</w:t>
      </w:r>
      <w:r>
        <w:rPr>
          <w:rFonts w:hint="eastAsia" w:ascii="Times New Roman" w:hAnsi="Times New Roman" w:eastAsia="宋体" w:cs="Times New Roman"/>
          <w:sz w:val="24"/>
          <w:szCs w:val="24"/>
          <w:lang w:val="en-US" w:eastAsia="zh-CN"/>
        </w:rPr>
        <w:t>贵阳市环境保护局</w:t>
      </w:r>
      <w:r>
        <w:rPr>
          <w:rFonts w:hint="default" w:ascii="Times New Roman" w:hAnsi="Times New Roman" w:eastAsia="宋体" w:cs="Times New Roman"/>
          <w:sz w:val="24"/>
          <w:szCs w:val="24"/>
          <w:lang w:val="en-US" w:eastAsia="zh-CN"/>
        </w:rPr>
        <w:t>的批复，本次调查中采用的某些结论及环境保护措施考察的依据即出自《</w:t>
      </w:r>
      <w:r>
        <w:rPr>
          <w:rFonts w:hint="eastAsia" w:ascii="Times New Roman" w:hAnsi="Times New Roman" w:eastAsia="宋体" w:cs="Times New Roman"/>
          <w:sz w:val="24"/>
          <w:szCs w:val="24"/>
          <w:lang w:val="en-US" w:eastAsia="zh-CN"/>
        </w:rPr>
        <w:t>沙文生态科技产业园马南路道路工程环境影响评价报告书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6" w:name="_Toc30325"/>
      <w:r>
        <w:rPr>
          <w:rFonts w:hint="eastAsia" w:ascii="Times New Roman" w:hAnsi="Times New Roman" w:eastAsia="宋体" w:cs="Times New Roman"/>
          <w:sz w:val="24"/>
          <w:szCs w:val="24"/>
          <w:lang w:val="en-US" w:eastAsia="zh-CN"/>
        </w:rPr>
        <w:t>3.1环境影响影响评价报告的主要结论</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27" w:name="_Toc21734"/>
      <w:r>
        <w:rPr>
          <w:rFonts w:hint="eastAsia" w:ascii="Times New Roman" w:hAnsi="Times New Roman" w:eastAsia="宋体" w:cs="Times New Roman"/>
          <w:sz w:val="24"/>
          <w:szCs w:val="24"/>
          <w:lang w:val="en-US" w:eastAsia="zh-CN"/>
        </w:rPr>
        <w:t>3.1.1工程建设内容</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拟建马南路位于贵阳市白云区，起点位于建设中的麦沙大道，终点接规划麦苏路，道路全长1886m，道路宽度20m，包含桥梁1座，长35m；工程永久占地5.67hm²，其中永久性占地4.15 hm²，临时占地1.52hm²；本项目主体工程挖方5.13万 m²，回填土石方10.15万 m³，绿化覆土0.09万 m³，从麦苏路借方5.11 万 m³，无弃方；工程设计采用沥青混凝土路面，人行道铺装彩色人行道砖，排水工程采取雨污分流制；拟建道路工程需拆迁房屋1824m²，共计6 户，约20人；2026年路段最大交通量为8365 pcu/d；工程总投资13507.65万元，平均每公里造价约7162.06万元；工程建设时间为2010年12月底至2011年12月底。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8" w:name="_Toc3862"/>
      <w:r>
        <w:rPr>
          <w:rFonts w:hint="eastAsia" w:ascii="Times New Roman" w:hAnsi="Times New Roman" w:eastAsia="宋体" w:cs="Times New Roman"/>
          <w:sz w:val="24"/>
          <w:szCs w:val="24"/>
          <w:lang w:val="en-US" w:eastAsia="zh-CN"/>
        </w:rPr>
        <w:t>3.1.2规划符合性</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为贵阳市总体规划中的贵阳高新技术产业经济带沙文生态科技产业园规划的马南路，是沙文生态科技产业园内道路的重要组成部分，对加快贵阳市政道路设施的建设和运行具有重要意义，符合贵阳市城市总体规划及沙文生态科技产业园规划，与贵阳市城市总体规划及沙文生态科技产业园规划是相协调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11246"/>
      <w:r>
        <w:rPr>
          <w:rFonts w:hint="eastAsia" w:ascii="Times New Roman" w:hAnsi="Times New Roman" w:eastAsia="宋体" w:cs="Times New Roman"/>
          <w:sz w:val="24"/>
          <w:szCs w:val="24"/>
          <w:lang w:val="en-US" w:eastAsia="zh-CN"/>
        </w:rPr>
        <w:t>3.1.3比选方案</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项目工可阶段针对K0+400~K0+700段的原规划方案进行了优化，优化方案工程土石方量较小，减少了对生态的破坏，投资少，从工程及环境保护角度看更加合理。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20314"/>
      <w:r>
        <w:rPr>
          <w:rFonts w:hint="eastAsia" w:ascii="Times New Roman" w:hAnsi="Times New Roman" w:eastAsia="宋体" w:cs="Times New Roman"/>
          <w:sz w:val="24"/>
          <w:szCs w:val="24"/>
          <w:lang w:val="en-US" w:eastAsia="zh-CN"/>
        </w:rPr>
        <w:t>3.1.4环境现状评价结论</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位于贵阳市白云区内，近年来，居民生活质量不断提升，但是从经济发展水平与产业结构来看，还处于经济发展初级阶段。贵阳交通运输基础设施较为落后，中心城区道路网密度不足，中心城区在边缘地区交通组织混乱、出入境交通不畅，中心城区南北向道路不足。拟建项目位于贵阳市沙文生态科技产业园内，为规划中的城市路网工程，对当地景区不造成负面影响。拟建道路沿线评价范围内未发现地面文物古迹。本项目沿线不压覆其他重要矿产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拟建项目跨越麦架河，根据对麦架河地表水设置的断面监测，按 Ⅲ类水体要求，SS、氨氮和总磷超标，其余监测因子可以达标。 产业园内地下水总大肠菌群因子超标，超标量较大；浑浊度因子超标，超标量较小；其余各项指标均达到《地下水质量标准》（GB/T14848-93）IⅢ 类水体标准。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以建道路沿线区域执行GB3095-1996《环境空气质量标准》二级标准。监测表明，项目区空气环境质量均能达到《环境空气质量标准》二级标准，且其环境容量较大。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拟建道路区域内声环境现状执行《声环境质量标准》（GB3096-2008）中2类。拟建道路沿线两侧评价范围均为农村地区，没有强噪声源，声环境质量较好。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项目所处区域隶属于中部湿润亚热带喀斯特脆弱生态区域内的黔中丘原盆地常绿阔叶林喀斯特脆弱生态亚区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生态环境抗干扰能力较弱。 拟建道路评价范围内自然植被呈不均匀分布且分布较少，主要自然植被类型有针叶林、灌丛和草坡等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在沿线耕地分布较多，农田植被全线均有分布。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野生动物分布较少，仅有少量鸟类、蛙类、蛇类等分布。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景观环境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综合景观敏感性及景观现状质量评价结果，拟建道路沿线景观中的农田景观中级敏感类型景观，观赏者对该目标较为关注，项目沿线景观环境现状质量总体一般。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1" w:name="_Toc8876"/>
      <w:r>
        <w:rPr>
          <w:rFonts w:hint="eastAsia" w:ascii="Times New Roman" w:hAnsi="Times New Roman" w:eastAsia="宋体" w:cs="Times New Roman"/>
          <w:sz w:val="24"/>
          <w:szCs w:val="24"/>
          <w:lang w:val="en-US" w:eastAsia="zh-CN"/>
        </w:rPr>
        <w:t>3.1.5环境影响预测与评价</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本项目沿线不压覆重要矿产资源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本项目建设对完善贵阳市总体规划及沙文生态科技产业园规划具有较大意义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同时推动项目区文化旅游事业的发展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道路建设将为沿线居民提供就业机会，促进人民生活水平的提高，促进项目区区域的经济发展。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施工期的主要影响为拟建项目土石方开挖以及桥梁施工等施工的钻渣、物料、油料的随意堆放可能给麦架河造成一定程度的污染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设备漏油、机械设备维修过程中的残油如果不在采取相应的措施，也会给麦架河的水体造成污染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营运期对麦架河的影响主要为事故风险影响</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 根据调查，拟建道路K0+620右侧5m有马厂营水井，只要做好该水井的环境保护措施，拟建道路在施工期和营运期对马厂营水井的影响较小。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施工期主要的大气污染物是扬尘、粉尘、沥青烟，还有少量苯并</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a</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芘，根据类比预测，采取经常撒水降尘措施，对环境的影响较小，同时随着施工期的结束，影响随之消失。</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①通过模式预测计算NO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预测污染物排，在正常气象条件下，汽车尾气中 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在营运初期贡献的日均和高峰时期的污染浓度最大值分别为0.01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和0.039mg/m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，营运中期各值分别为0.03</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和0.05</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，营运远期各值分别为0.04</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w:t>
      </w:r>
      <w:r>
        <w:rPr>
          <w:rFonts w:hint="eastAsia" w:ascii="Times New Roman" w:hAnsi="Times New Roman" w:eastAsia="宋体" w:cs="Times New Roman"/>
          <w:sz w:val="24"/>
          <w:szCs w:val="24"/>
          <w:lang w:val="en-US" w:eastAsia="zh-CN"/>
        </w:rPr>
        <w:t>91</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的预测值在营运各期均达到《环境空气质量标准》二级标准限值。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②通过对拟建道路沿线</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处环境空气敏感点汽车尾气影响的预测，在正常车流量含高峰车流量、交通阻塞时情况下，NO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一次浓度均满足GB3095-1996《环境空气质量标准》二级值的要求，环境保护目标均未出现超标。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施工噪声影响在昼间将主要出现在距施工场地42.5m范围内，夜间将主要出现在距施工场地198.7m范围内。昼间马厂营受施工影响，需采取防护措施。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a.按4a类标准，拟建马南路昼间营运近期、中期、远期达标距离均位于道路红线范围内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夜间近、中、远期达标距离均位于道路红线范围内。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b.按2类标准，拟建马南路昼间营运近期、中期、远期达标距离均位于道路红线范围内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夜间初、中期达标距离均位于道路红线范围内，远期达标距离为13.4m。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拟建项目沿线3处敏感点中，营运近期、中期及远期昼间、夜间噪声均不超标。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植被的影响 拟建项目永久占地共计4.15hm²，其中占用植被面积3.95hm²。工程占地占地破坏的植被，在工程建设完成后，可以通过表土回填及绿化补偿等方法使植被得到恢复。所以从区域角度看，工程建设对整个区域的影响很小。</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对野生动物的影响 拟建道路路线短，野生动物分布极少，因此拟建道路对野生动物的影响较小。总体看，由于拟建道路建设里程短，占地面积小，破坏的植被面积小，因此不会对生态环境造成大的影响。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景观环境影响预测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拟建道路的建设势必破坏一些现有的自然景观，改变地形地貌，进而创造新的人文景观。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固体废物</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施工期 本项目无弃方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工程施工过程中施工场地会产生一定量的建筑废料，如果工程现场管理不利，将会产生大量的拆迁建筑垃圾和建筑废料，影响周围环境质量。</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营运期 拟建道路建成通车后，交通垃圾，如纸屑、果皮、塑料用具等废弃物会对沿线周边环境产生不利影响，增加了道路养护的负担，破坏了路域景观的观赏性。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sz w:val="24"/>
          <w:szCs w:val="24"/>
          <w:lang w:val="en-US" w:eastAsia="zh-CN"/>
        </w:rPr>
      </w:pPr>
      <w:bookmarkStart w:id="32" w:name="_Toc11690"/>
      <w:r>
        <w:rPr>
          <w:rFonts w:hint="eastAsia" w:ascii="Times New Roman" w:hAnsi="Times New Roman" w:eastAsia="宋体" w:cs="Times New Roman"/>
          <w:sz w:val="24"/>
          <w:szCs w:val="24"/>
          <w:lang w:val="en-US" w:eastAsia="zh-CN"/>
        </w:rPr>
        <w:t>3.1.6水土保持</w:t>
      </w:r>
      <w:bookmarkEnd w:id="32"/>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本项目在施工期扰动面积为5.67hm²，原地表水土流失量为27.15t，本工程建设可能造成的水土流失总量为234.18t，新增水土流失量为207.03t。</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本项目水土保持总投资为972.61万元。其中主体工程设计的水土保持工程静态投资 905.0万元，本方案新增水土保持工程静态投资61.94万元，水土保持设施补偿费5.67万元。新增水土保持工程静态投资中∶工程措施2.06万元，植物措施0.20万元，临时工程14.82万元，独立费用41.36万元（其中水土保持监测费9.52万元，水土保持监理费10.00万元），基本预备费3.51万元。</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通过实施水保方案，扰动土地整治率95%，水土流失总治理度97%，土壤流失控制比1，拦渣率95%，林草植被恢复率99%，林草覆盖率27%。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1217"/>
      <w:r>
        <w:rPr>
          <w:rFonts w:hint="eastAsia" w:ascii="Times New Roman" w:hAnsi="Times New Roman" w:eastAsia="宋体" w:cs="Times New Roman"/>
          <w:sz w:val="24"/>
          <w:szCs w:val="24"/>
          <w:lang w:val="en-US" w:eastAsia="zh-CN"/>
        </w:rPr>
        <w:t>3.1.7环境风险</w:t>
      </w:r>
      <w:bookmarkEnd w:id="33"/>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施工期间不可避免的使用一些漆料、油料。一方面这些危险物品如果管理不善意外发生爆炸、燃烧将危害施工人员及沿线群众的人身安全，造成严重后果；另一方面这些危险物品发生泄露，将会对沿线水体产生污染。</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本项目危险品运输车辆发生交通事故的概率不为零，所以不能排除重大交通事故等意外事件的发生，亦即危险品运输车辆在拟建道路上有出现交通事故而严重污染环境的可能。</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经采取风险防范措施和制定严格的风险应急预案，尽管有风险事故的发生，但脑险水平是可以接受的。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4" w:name="_Toc17016"/>
      <w:r>
        <w:rPr>
          <w:rFonts w:hint="eastAsia" w:ascii="Times New Roman" w:hAnsi="Times New Roman" w:eastAsia="宋体" w:cs="Times New Roman"/>
          <w:sz w:val="24"/>
          <w:szCs w:val="24"/>
          <w:lang w:val="en-US" w:eastAsia="zh-CN"/>
        </w:rPr>
        <w:t>3.1.8主要环境保护措施</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3.1.8.1社会环境保护措施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防止因道路施工交通断流，确保交通畅通；在道路施工路段出入口应设置临时交通标志、标牌，加强宣传与教育；道路建设完工后，施工单位应对因本道路建设造成的道路及周边设施损毁进行修善；施工人员应有卫生医疗保障，并制定完善的卫生监督管理措施系统；施工现场悬挂施工标牌，标明工程名称、负责人、施工许可证和投诉电话等内容，接受社会各界和居民监督；施工结束时，将施工过程中损坏的道路、沟渠等应予以修复或支付地方政府一定的补偿费用，以维护地方政府和群众的正当利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拟建道路的管理机构应做好交通运输安全预防和宣传工作，确保道路畅通和人民生命财产安全；做好环境工程的建设和维护工作；加强主体工程的管理工作，确保通道工程畅通，以提供人民的出行方便、工作方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3.1.8.2水环境保护措施</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堆放场地不得设在麦架河附近；施工材料如油料、化学品等有害物质堆放场地应设围挡措施；严禁将桩基钻孔出渣及施工废弃物排入地表水体，桥基施工区附近设置必要的排水沟用以疏导施工废水，施工废水建沉淀池沉淀后回用。</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采用施工过程控制、清洁生产的方案进行含油污水的控制。</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马厂营水井的保护措施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在马厂营水井附近的施工场地处设置排水沟收集施工废水，设置沉砂池对施工废水进行沉淀处理后回用于施工，禁止在水井取生产用水，禁止向水井排入生 产废水。</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为市政道路，沿线将布设完整的集排水系统，包括雨水口、排水沟、雨水管等，并与周边道路的排水系统相连接，营运期形成的路面径流将最终通过雨水排水系统排放，雨污水管道单侧布置于道路车行道下，就近排入水体；运水随道路坡度排入与本项目同期建设且先于本项目完丁的大泥穿河截污沟和素架河截污干管，近期将进入白云区污水处理厂；因此本项目的营运主要考虑下列特殊情况下的保护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严禁各种泄漏、散装、超载的车辆上路运行，以防止散失货物造成沿线水体的污染。</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麦架河中桥两侧设置防撞墙，经估算防撞墙长约70m。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及时加强对马厂营水井周边路段污水收集和排放系统的检查和维修，防止污水进入水井，污染地下水水质。在水井周边设置防护围栏。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3.1.8.3环境空气保护措施</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①施工场地在非雨天时适时洒水。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②禁止散装运输水泥、石灰等，严禁运输途中扬尘散落，储存时堆入库房或用篷布覆盖；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③在施工生产区出口放置防尘垫；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④材料堆放场应采取遮盖措施，并定期洒水降低扬尘污染；⑤在人口稠密集中路段，采取经常撒水降尘措施。</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①执行汽车排放检制，限制尾气排放超标的车辆上路；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④结合道路绿化，在道路两侧选择栽种对一氧化碳、氮氧化物吸收、转化能力较强的树种，如女贞、大叶黄杨等。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3.1.8.4声环境保护措施</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的施工机械和工艺；施工单位要合理安排工作人员轮流操作辐射高强噪声的施工机械；对距居民区42.5m以内的施工现场，昼间强噪声设备施工应合理布局；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加强交通管理，严格执行限速和禁止超载等交通规则，在通过人口密度较大路段，在附近设置禁鸣标志；经常养护路面；道路自身的绿化降噪。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3.1.8.5固体废物处置措施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（3）营运期道路两侧工程本身设计有垃圾筒，由城市环卫部门及时进行清理。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3.1.8.6生态环境保护措施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期尽量避免和减少植被的破坏，施工完成后采取绿化措施对破坏的植被进行补偿；景观保护重在设计，应在设计初期就针对特殊的景观保护点和区段采取针对性的设计，使道路景观与沿线各个类型景观相互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5" w:name="_Toc32462"/>
      <w:r>
        <w:rPr>
          <w:rFonts w:hint="eastAsia" w:ascii="Times New Roman" w:hAnsi="Times New Roman" w:eastAsia="宋体" w:cs="Times New Roman"/>
          <w:sz w:val="24"/>
          <w:szCs w:val="24"/>
          <w:lang w:val="en-US" w:eastAsia="zh-CN"/>
        </w:rPr>
        <w:t>3.1.9公众参与</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通过公众参与的调查，结论如下∶</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被调查者均支持项目的建设；</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被调查者均要求建设单位采取措施降低对水环境等的影响；</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被调查者要求建设单位协同落实好沙文生态科技产业园建设的征地拆迁安置工作，并希望能尽量提供就业机会。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6" w:name="_Toc28175"/>
      <w:r>
        <w:rPr>
          <w:rFonts w:hint="eastAsia" w:ascii="Times New Roman" w:hAnsi="Times New Roman" w:eastAsia="宋体" w:cs="Times New Roman"/>
          <w:sz w:val="24"/>
          <w:szCs w:val="24"/>
          <w:lang w:val="en-US" w:eastAsia="zh-CN"/>
        </w:rPr>
        <w:t>3.1.10总结论</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沙文生态科技产业园马南路道路工程建设项目位于贵阳市白云区，它的建成可促进贵阳市形成完善的城市道路交通网络，是2020年贵阳市形成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大交通</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网络的一个组成部分，是建设"大贵阳"的先行条件。经调查与评价发现，该项目的社会效益、经济效益和环境效益极为显著，具有较强的抗风险能力。虽然本项目的建设和运营将会对沿线生态环境和居民生活产生一定的不利影响，但只要认真落实本报告提出的减缓措施，所产生的不利影响可以得到有效控制，并降至环境能接受的最低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综上所述，本评价认为，从环境保护的角度考虑，拟建的沙文生态科技产业园</w:t>
      </w:r>
      <w:r>
        <w:rPr>
          <w:rFonts w:hint="eastAsia" w:ascii="Times New Roman" w:hAnsi="Times New Roman" w:eastAsia="宋体" w:cs="Times New Roman"/>
          <w:sz w:val="24"/>
          <w:szCs w:val="24"/>
          <w:lang w:val="en-US" w:eastAsia="zh-CN"/>
        </w:rPr>
        <w:t>马南路</w:t>
      </w:r>
      <w:r>
        <w:rPr>
          <w:rFonts w:hint="default" w:ascii="Times New Roman" w:hAnsi="Times New Roman" w:eastAsia="宋体" w:cs="Times New Roman"/>
          <w:sz w:val="24"/>
          <w:szCs w:val="24"/>
          <w:lang w:val="en-US" w:eastAsia="zh-CN"/>
        </w:rPr>
        <w:t>道路工程是可行的。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37" w:name="_Toc25970"/>
      <w:r>
        <w:rPr>
          <w:rFonts w:hint="eastAsia" w:ascii="Times New Roman" w:hAnsi="Times New Roman" w:eastAsia="宋体" w:cs="Times New Roman"/>
          <w:sz w:val="24"/>
          <w:szCs w:val="24"/>
          <w:lang w:val="en-US" w:eastAsia="zh-CN"/>
        </w:rPr>
        <w:t>3.2环境影响评价报告建议</w:t>
      </w:r>
      <w:bookmarkEnd w:id="37"/>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本环评价报告在工程方面的依据为工可报告，随着设计的不断深化与优化，工可阶段的环境敏感点与本项目的相对位置可能发生变化，因此，在进行环保验收时，应结合实际情况进行。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本报告提出的各项环保措施，是依据工可报告的线位确定的，在初步设计、施工图设计中，若有环境敏感目标在位置上的变更，环保措施必须相应调整。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38" w:name="_Toc23050"/>
      <w:r>
        <w:rPr>
          <w:rFonts w:hint="eastAsia" w:ascii="Times New Roman" w:hAnsi="Times New Roman" w:eastAsia="宋体" w:cs="Times New Roman"/>
          <w:sz w:val="24"/>
          <w:szCs w:val="24"/>
          <w:lang w:val="en-US" w:eastAsia="zh-CN"/>
        </w:rPr>
        <w:t>3.3环境影响评价报告批复</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2011年02月22日，贵阳市环境保护局对本工程环评报告作出批复，其批复文件为《关于〈沙文生态科技产业园马南路道路工程环境影响评价报告书〉的批复》（筑环审[2011]13号）文件。现将批复文件主要内容摘录如下：</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报告书》的评价结论和建议及专家审查意见，同意贵阳高科控股集团有限公司在高新区沙文生态科技产业园建设马南路道路工程，工程起于麦沙大道交叉口，止于麦苏路交叉口，全长1886米，宽度20米，其中桥梁1座。《报告书》可作为本项目环保工程设计、施工、环境管理的依据。</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原则同意《报告书》提出的环境保护措施，要求在项目设计、施工、营运中予以落实。</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施工期采取有效措施防止扬尘，确保达到《环境空气质量标准》（GB3095-1996）二级标准。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施工期废渣统一收集及时送往指定弃渣场处置，生活垃圾统一收集及时送往指定垃圾填埋场处置。</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强化风险防范措施，对跨河桥梁应进行防护栏加固设计，安装加固防撞设施。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施工期采取有效措施防止水土流失，项目建成后及时进行绿化，保护自然植被和生态环境。</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项目建设必须严格执行配套建设的环境保护措施与主体工程同时设计、同时施工、同时投产使用的环境保护“三同时”制度。项目竣工后按规定程序验收合格后方可正式投入运行。</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报告书》批准后，建设项目的性质、规模、地点或采用的污染防治措施发生重大变化的，建设单位应重新向我局报批《报告书》；《报告书》自批准之日起满5年，建设项目方开工建设的，《报告书》应报我局重新审核。</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39" w:name="_Toc11629"/>
      <w:r>
        <w:rPr>
          <w:rFonts w:hint="eastAsia" w:ascii="Times New Roman" w:hAnsi="Times New Roman" w:eastAsia="宋体" w:cs="Times New Roman"/>
          <w:b/>
          <w:bCs/>
          <w:sz w:val="24"/>
          <w:szCs w:val="24"/>
          <w:lang w:val="en-US" w:eastAsia="zh-CN"/>
        </w:rPr>
        <w:t>4 环保措施落实情况</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省环境科学研究院于2011年02月完成《沙文生态科技产业园马南路道路工程环境影响评价报告书》的编制，并于2011年02月22日取得贵阳市环境保护局《关于〈沙文生态科技产业园马南路道路工程环境影响评价报告书〉的批复》（筑环审[2011]13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0"/>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7263"/>
        <w:gridCol w:w="376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期尽量避免和减少植被的破坏，施工完成后采取绿化措施对破坏的植被进行补偿；景观保护重在设计，应在设计初期就针对特殊的景观保护点和区段采取针对性的设计，使道路景观与沿线各个类型景观相互协调。</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施工期采取有效措施防止水土流失，项目建成后及时进行绿化，保护自然植被和生态环境。</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（1）施工废水污染防治措施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堆放场地不得设在麦架河附近</w:t>
            </w:r>
            <w:r>
              <w:rPr>
                <w:rFonts w:hint="eastAsia" w:ascii="Times New Roman" w:hAnsi="Times New Roman" w:cs="Times New Roman"/>
                <w:lang w:eastAsia="zh-CN"/>
              </w:rPr>
              <w:t>；</w:t>
            </w:r>
            <w:r>
              <w:rPr>
                <w:rFonts w:hint="default" w:ascii="Times New Roman" w:hAnsi="Times New Roman" w:cs="Times New Roman"/>
              </w:rPr>
              <w:t>施工材料如油料、化学品等有害物质堆放场地应设围挡措施</w:t>
            </w:r>
            <w:r>
              <w:rPr>
                <w:rFonts w:hint="eastAsia" w:ascii="Times New Roman" w:hAnsi="Times New Roman" w:cs="Times New Roman"/>
                <w:lang w:eastAsia="zh-CN"/>
              </w:rPr>
              <w:t>；</w:t>
            </w:r>
            <w:r>
              <w:rPr>
                <w:rFonts w:hint="default" w:ascii="Times New Roman" w:hAnsi="Times New Roman" w:cs="Times New Roman"/>
              </w:rPr>
              <w:t>严禁将桩基钻孔出渣及施工废弃物排入地表水体，桥基施工区附近设置必要的排水沟用以疏导施工废水，施工废水建沉淀池沉淀后回用。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（2）含油污水控制措施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（3）马厂营水井的保护措施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在马厂营水井附近的施工场地处设置排水沟收集施工废水，设置沉砂池对施工废水进行沉淀处理后回用于施工，禁止在水井取生产用水，禁止向水井排入生 产废水。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rPr>
              <w:t>营运期</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拟建项目为市政道路，沿线将布设完整的集排水系统，包括雨水口、排水沟、雨水管等，并与周边道路的排水系统相连接，营运期形成的路面径流将最终通过雨水排水系统排放，雨污水管道单侧布置于道路车行道下，就近排入水体</w:t>
            </w:r>
            <w:r>
              <w:rPr>
                <w:rFonts w:hint="eastAsia" w:ascii="Times New Roman" w:hAnsi="Times New Roman" w:cs="Times New Roman"/>
                <w:lang w:eastAsia="zh-CN"/>
              </w:rPr>
              <w:t>；</w:t>
            </w:r>
            <w:r>
              <w:rPr>
                <w:rFonts w:hint="default" w:ascii="Times New Roman" w:hAnsi="Times New Roman" w:cs="Times New Roman"/>
              </w:rPr>
              <w:t>运水随道路坡度排入与本项目同期建设且先于本项目完丁的大泥穿河截污沟和素架河截污干管，近期将进入白云区污水处理厂</w:t>
            </w:r>
            <w:r>
              <w:rPr>
                <w:rFonts w:hint="eastAsia" w:ascii="Times New Roman" w:hAnsi="Times New Roman" w:cs="Times New Roman"/>
                <w:lang w:eastAsia="zh-CN"/>
              </w:rPr>
              <w:t>；</w:t>
            </w:r>
            <w:r>
              <w:rPr>
                <w:rFonts w:hint="default" w:ascii="Times New Roman" w:hAnsi="Times New Roman" w:cs="Times New Roman"/>
              </w:rPr>
              <w:t>因此本项目的营运主要考虑下列特殊情况下的保护措施∶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①严禁各种泄漏、散装、超载的车辆上路运行，以防止散失货物造成沿线水体的污染。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②麦架河中桥两侧设置防撞墙，经估算防撞墙长约70m。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rPr>
              <w:t>及时加强对马厂营水井周边路段污水收集和排放系统的检查和维修，防止污水进入水井，污染地下水水质。在水井周边设置防护围栏。</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施工期无环境问题遗留，已按基本要求落实；</w:t>
            </w:r>
            <w:r>
              <w:rPr>
                <w:rFonts w:hint="default" w:ascii="Times New Roman" w:hAnsi="Times New Roman" w:cs="Times New Roman"/>
              </w:rPr>
              <w:t>麦架河中桥两侧设置防撞墙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距居民区42.5m以内的施工现场，昼间强噪声设备施工应合理布局；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加强交通管理，严格执行限速和禁止超载等交通规则，在通过人口密度较大路段，在附近设置禁鸣标志；经常养护路面；道路自身的绿化降噪。</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①施工场地在非雨天时适时洒水。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②禁止散装运输水泥、石灰等，严禁运输途中扬尘散落，储存时堆入库房或用篷布覆盖</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③在施工生产区出口放置防尘垫</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④材料堆放场应采取遮盖措施，并定期洒水降低扬尘污染</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⑤在人口稠密集中路段，采取经常撒水降尘措施。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①执行汽车排放检制，限制尾气排放超标的车辆上路</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②贵阳市有关部门加强检查，单车污染物排放量符合有关规定</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④结合道路绿化，在道路两侧选择栽种对一氧化碳、氮氧化物吸收、转化能力较强的树种，如女贞、大叶黄杨等。</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施工期采取有效措施防止扬尘，确保达到《环境空气质量标准》（GB3095-1996）二级标准。</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无环境问题遗留，监测结果符合相关标准要求；已</w:t>
            </w:r>
            <w:r>
              <w:rPr>
                <w:rFonts w:hint="default" w:ascii="Times New Roman" w:hAnsi="Times New Roman" w:eastAsia="宋体" w:cs="Times New Roman"/>
                <w:sz w:val="21"/>
                <w:szCs w:val="21"/>
                <w:lang w:val="en-US" w:eastAsia="zh-CN"/>
              </w:rPr>
              <w:t>结合道路绿化，在道路两侧栽种对一氧化碳、氮氧化物吸收、转化能力较强的树种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（3）营运期道路两侧工程本身设计有垃圾筒，由城市环卫部门及时进行清理。</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施工期废渣统一收集及时送往指定弃渣场处置，生活垃圾统一收集及时送往指定垃圾填埋场处置。</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40" w:name="_Toc7027"/>
      <w:r>
        <w:rPr>
          <w:rFonts w:hint="eastAsia" w:ascii="Times New Roman" w:hAnsi="Times New Roman" w:eastAsia="宋体" w:cs="Times New Roman"/>
          <w:b/>
          <w:bCs/>
          <w:sz w:val="24"/>
          <w:szCs w:val="24"/>
          <w:lang w:val="en-US" w:eastAsia="zh-CN"/>
        </w:rPr>
        <w:t>5 施工期环境影响调查</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1" w:name="_Toc26054"/>
      <w:r>
        <w:rPr>
          <w:rFonts w:hint="eastAsia" w:ascii="Times New Roman" w:hAnsi="Times New Roman" w:eastAsia="宋体" w:cs="Times New Roman"/>
          <w:b w:val="0"/>
          <w:bCs w:val="0"/>
          <w:sz w:val="24"/>
          <w:szCs w:val="24"/>
          <w:lang w:val="en-US" w:eastAsia="zh-CN"/>
        </w:rPr>
        <w:t>5.1生态环境</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严格控制了路基开挖施工作业面，避免了超挖破坏周围植被。</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道路、桥梁</w:t>
      </w:r>
      <w:r>
        <w:rPr>
          <w:rFonts w:hint="default" w:ascii="Times New Roman" w:hAnsi="Times New Roman" w:eastAsia="宋体" w:cs="Times New Roman"/>
          <w:sz w:val="24"/>
          <w:szCs w:val="24"/>
          <w:lang w:val="en-US" w:eastAsia="zh-CN"/>
        </w:rPr>
        <w:t>工程施工过程中，工程废渣未随处乱排，未排入河中。弃土（渣）场不占用基本农田。</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路基施工和弃土（渣）场施工前，将农用地的表土层剥离，并在适当位置进行集中堆放，并采取临时拦挡和覆盖措施，后期用于绿化和土地复垦。</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路线尽量减少占用耕地，对于坡面工程及时采取工程或植物防护措施。</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灰土拌和场、建材堆放场等临时用地基本布设在公路用地范围内。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施工营地部分租用当地民房或公共房屋，其余布设在公路用地范围内。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施工期严格按照相关法规及施工设计文件施工，未随意扩大取、弃土（渣）场占地面积，未将取、弃土（渣）场设在基本农田内。</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2" w:name="_Toc8911"/>
      <w:r>
        <w:rPr>
          <w:rFonts w:hint="eastAsia" w:ascii="Times New Roman" w:hAnsi="Times New Roman" w:eastAsia="宋体" w:cs="Times New Roman"/>
          <w:b w:val="0"/>
          <w:bCs w:val="0"/>
          <w:sz w:val="24"/>
          <w:szCs w:val="24"/>
          <w:lang w:val="en-US" w:eastAsia="zh-CN"/>
        </w:rPr>
        <w:t>5.2水环境</w:t>
      </w:r>
      <w:bookmarkEnd w:id="42"/>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施工区域完善环境保护设施，对施工废渣、岩浆、淤泥等就近运往弃土场，禁止排入河流；生产废水经沉淀处理回用，禁止排入河流；</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桥梁施工区域完善环境保护设施，对施工废渣、岩浆、淤泥等就近运往弃土场，禁止排入河流；生产废水经沉淀处理回用，禁止排入河流。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3" w:name="_Toc19484"/>
      <w:r>
        <w:rPr>
          <w:rFonts w:hint="eastAsia" w:ascii="Times New Roman" w:hAnsi="Times New Roman" w:eastAsia="宋体" w:cs="Times New Roman"/>
          <w:sz w:val="24"/>
          <w:szCs w:val="24"/>
          <w:lang w:val="en-US" w:eastAsia="zh-CN"/>
        </w:rPr>
        <w:t>5.3环境空气</w:t>
      </w:r>
      <w:bookmarkEnd w:id="43"/>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4" w:name="_Toc20906"/>
      <w:r>
        <w:rPr>
          <w:rFonts w:hint="eastAsia" w:ascii="Times New Roman" w:hAnsi="Times New Roman" w:eastAsia="宋体" w:cs="Times New Roman"/>
          <w:sz w:val="24"/>
          <w:szCs w:val="24"/>
          <w:lang w:val="en-US" w:eastAsia="zh-CN"/>
        </w:rPr>
        <w:t>5.4声环境</w:t>
      </w:r>
      <w:bookmarkEnd w:id="44"/>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对距居民区100m以内的施工现场，噪声大的施工机具在夜间（22:00～06:00）停止施工。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5" w:name="_Toc5264"/>
      <w:r>
        <w:rPr>
          <w:rFonts w:hint="eastAsia" w:ascii="Times New Roman" w:hAnsi="Times New Roman" w:eastAsia="宋体" w:cs="Times New Roman"/>
          <w:sz w:val="24"/>
          <w:szCs w:val="24"/>
          <w:lang w:val="en-US" w:eastAsia="zh-CN"/>
        </w:rPr>
        <w:t>5.5固体废物</w:t>
      </w:r>
      <w:bookmarkEnd w:id="45"/>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6" w:name="_Toc2398"/>
      <w:r>
        <w:rPr>
          <w:rFonts w:hint="eastAsia" w:ascii="Times New Roman" w:hAnsi="Times New Roman" w:eastAsia="宋体" w:cs="Times New Roman"/>
          <w:sz w:val="24"/>
          <w:szCs w:val="24"/>
          <w:lang w:val="en-US" w:eastAsia="zh-CN"/>
        </w:rPr>
        <w:t>5.6小结</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47" w:name="_Toc2535"/>
      <w:r>
        <w:rPr>
          <w:rFonts w:hint="eastAsia" w:ascii="Times New Roman" w:hAnsi="Times New Roman" w:eastAsia="宋体" w:cs="Times New Roman"/>
          <w:b/>
          <w:bCs/>
          <w:sz w:val="24"/>
          <w:szCs w:val="24"/>
          <w:lang w:val="en-US" w:eastAsia="zh-CN"/>
        </w:rPr>
        <w:t>6 运营期环境影响调查</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8" w:name="_Toc25892"/>
      <w:r>
        <w:rPr>
          <w:rFonts w:hint="eastAsia" w:ascii="Times New Roman" w:hAnsi="Times New Roman" w:eastAsia="宋体" w:cs="Times New Roman"/>
          <w:sz w:val="24"/>
          <w:szCs w:val="24"/>
          <w:lang w:val="en-US" w:eastAsia="zh-CN"/>
        </w:rPr>
        <w:t>6.1生态环境</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49" w:name="_Toc4053"/>
      <w:r>
        <w:rPr>
          <w:rFonts w:hint="eastAsia" w:ascii="Times New Roman" w:hAnsi="Times New Roman" w:eastAsia="宋体" w:cs="Times New Roman"/>
          <w:sz w:val="24"/>
          <w:szCs w:val="24"/>
          <w:lang w:val="en-US" w:eastAsia="zh-CN"/>
        </w:rPr>
        <w:t>6.1.1工程占地</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永久性占地4.15hm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、灌木林地0.06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、荒草地0.30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、梯坪地4.21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、水田0.90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50" w:name="_Toc8634"/>
      <w:r>
        <w:rPr>
          <w:rFonts w:hint="eastAsia" w:ascii="Times New Roman" w:hAnsi="Times New Roman" w:eastAsia="宋体" w:cs="Times New Roman"/>
          <w:sz w:val="24"/>
          <w:szCs w:val="24"/>
          <w:vertAlign w:val="baseline"/>
          <w:lang w:val="en-US" w:eastAsia="zh-CN"/>
        </w:rPr>
        <w:t>6.1.2土石方</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本项目建设道路挖方5.13万m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，填方10.15万m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，借方5.11万m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（从同期建设的麦苏路调运），无弃方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1" w:name="_Toc8340"/>
      <w:r>
        <w:rPr>
          <w:rFonts w:hint="eastAsia" w:ascii="Times New Roman" w:hAnsi="Times New Roman" w:eastAsia="宋体" w:cs="Times New Roman"/>
          <w:sz w:val="24"/>
          <w:szCs w:val="24"/>
          <w:lang w:val="en-US" w:eastAsia="zh-CN"/>
        </w:rPr>
        <w:t>6.1.3取、弃土场</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本项目未设置专门的取土场，所需料石全部采用购买，仅设置1处临时弃土场。临时弃土场现已完成清理、平整、绿化等，规划为园区建设项目用地。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2" w:name="_Toc1820"/>
      <w:r>
        <w:rPr>
          <w:rFonts w:hint="eastAsia" w:ascii="Times New Roman" w:hAnsi="Times New Roman" w:eastAsia="宋体" w:cs="Times New Roman"/>
          <w:sz w:val="24"/>
          <w:szCs w:val="24"/>
          <w:lang w:val="en-US" w:eastAsia="zh-CN"/>
        </w:rPr>
        <w:t>6.1.4水土保持</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3" w:name="_Toc26670"/>
      <w:r>
        <w:rPr>
          <w:rFonts w:hint="eastAsia" w:ascii="Times New Roman" w:hAnsi="Times New Roman" w:eastAsia="宋体" w:cs="Times New Roman"/>
          <w:sz w:val="24"/>
          <w:szCs w:val="24"/>
          <w:lang w:val="en-US" w:eastAsia="zh-CN"/>
        </w:rPr>
        <w:t>6.1.5绿化与景观</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4" w:name="_Toc3366"/>
      <w:r>
        <w:rPr>
          <w:rFonts w:hint="eastAsia" w:ascii="Times New Roman" w:hAnsi="Times New Roman" w:eastAsia="宋体" w:cs="Times New Roman"/>
          <w:sz w:val="24"/>
          <w:szCs w:val="24"/>
          <w:lang w:val="en-US" w:eastAsia="zh-CN"/>
        </w:rPr>
        <w:t>6.2环境空气及噪声环境</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5" w:name="_Toc29480"/>
      <w:r>
        <w:rPr>
          <w:rFonts w:hint="eastAsia" w:ascii="Times New Roman" w:hAnsi="Times New Roman" w:eastAsia="宋体" w:cs="Times New Roman"/>
          <w:sz w:val="24"/>
          <w:szCs w:val="24"/>
          <w:lang w:val="en-US" w:eastAsia="zh-CN"/>
        </w:rPr>
        <w:t>6.2.1敏感点调查</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经现场调查，本项目中心线200m范围内敏感点3处，其中城市公园1处，科研单位1处，企业1处；原环评的敏感点4处，现已完成搬迁。调查情况见表6.2.1-1。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9"/>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523"/>
        <w:gridCol w:w="1484"/>
        <w:gridCol w:w="1169"/>
        <w:gridCol w:w="1424"/>
        <w:gridCol w:w="1184"/>
        <w:gridCol w:w="1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blHeader/>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523"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48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1169"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42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18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王家院村瓦窑坝组</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北侧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90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2</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K0+040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3</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贵阳户爱房车基地</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K0+745</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4</w:t>
            </w:r>
          </w:p>
        </w:tc>
        <w:tc>
          <w:tcPr>
            <w:tcW w:w="1523"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干田村马场营组</w:t>
            </w:r>
          </w:p>
        </w:tc>
        <w:tc>
          <w:tcPr>
            <w:tcW w:w="1484"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K0+800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sz w:val="21"/>
                <w:lang w:val="en-US" w:eastAsia="zh-CN"/>
              </w:rPr>
            </w:pPr>
            <w:r>
              <w:rPr>
                <w:rFonts w:hint="eastAsia" w:eastAsia="宋体" w:cs="Times New Roman"/>
                <w:b w:val="0"/>
                <w:bCs/>
                <w:color w:val="auto"/>
                <w:sz w:val="21"/>
                <w:lang w:val="en-US" w:eastAsia="zh-CN"/>
              </w:rPr>
              <w:t>5</w:t>
            </w:r>
          </w:p>
        </w:tc>
        <w:tc>
          <w:tcPr>
            <w:tcW w:w="1523" w:type="dxa"/>
            <w:vMerge w:val="continue"/>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84" w:type="dxa"/>
            <w:vMerge w:val="continue"/>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120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6</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苏庄村苏庄组</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K1+250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140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7</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国家贵州质检中心</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K1+470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6" w:name="_Toc31251"/>
      <w:r>
        <w:rPr>
          <w:rFonts w:hint="eastAsia" w:ascii="Times New Roman" w:hAnsi="Times New Roman" w:eastAsia="宋体" w:cs="Times New Roman"/>
          <w:sz w:val="24"/>
          <w:szCs w:val="24"/>
          <w:lang w:val="en-US" w:eastAsia="zh-CN"/>
        </w:rPr>
        <w:t>6.2.2现状监测内容</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根据调查实际情况，结合环境影响评价报告要求，本项目共设置噪声监测敏感点5处，环境空气监测敏感点1处。具体详见表6.2.2-1、6.2.2-2.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马南路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K0+040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drawing>
                <wp:inline distT="0" distB="0" distL="114300" distR="114300">
                  <wp:extent cx="1331595" cy="998220"/>
                  <wp:effectExtent l="0" t="0" r="1905" b="11430"/>
                  <wp:docPr id="51" name="图片 51" descr="IMG_20200523_14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00523_144956"/>
                          <pic:cNvPicPr>
                            <a:picLocks noChangeAspect="1"/>
                          </pic:cNvPicPr>
                        </pic:nvPicPr>
                        <pic:blipFill>
                          <a:blip r:embed="rId11"/>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马南路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贵阳户爱房车基地</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K0+745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5" name="图片 55" descr="IMG_20200523_1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200523_145722"/>
                          <pic:cNvPicPr>
                            <a:picLocks noChangeAspect="1"/>
                          </pic:cNvPicPr>
                        </pic:nvPicPr>
                        <pic:blipFill>
                          <a:blip r:embed="rId12"/>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国家贵州质检中心</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K1+470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6" name="图片 56" descr="IMG_20200523_1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00523_150103"/>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马南路终点</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K1+800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右侧15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57" name="图片 57" descr="马南路终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马南路终点"/>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表6.2.2-2环境空气监测点位一览表</w:t>
      </w:r>
    </w:p>
    <w:tbl>
      <w:tblPr>
        <w:tblStyle w:val="9"/>
        <w:tblW w:w="97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1622"/>
        <w:gridCol w:w="1556"/>
        <w:gridCol w:w="947"/>
        <w:gridCol w:w="1187"/>
        <w:gridCol w:w="1157"/>
        <w:gridCol w:w="2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blHeader/>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1622"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敏感点名称</w:t>
            </w:r>
          </w:p>
        </w:tc>
        <w:tc>
          <w:tcPr>
            <w:tcW w:w="1556"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桩号</w:t>
            </w:r>
          </w:p>
        </w:tc>
        <w:tc>
          <w:tcPr>
            <w:tcW w:w="94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方位</w:t>
            </w:r>
          </w:p>
        </w:tc>
        <w:tc>
          <w:tcPr>
            <w:tcW w:w="118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rFonts w:hint="eastAsia" w:ascii="宋体" w:eastAsia="宋体"/>
                <w:b/>
                <w:spacing w:val="-8"/>
                <w:sz w:val="21"/>
              </w:rPr>
              <w:t>距路中心</w:t>
            </w:r>
            <w:r>
              <w:rPr>
                <w:rFonts w:hint="eastAsia" w:ascii="宋体" w:eastAsia="宋体"/>
                <w:b/>
                <w:spacing w:val="-8"/>
                <w:w w:val="95"/>
                <w:sz w:val="21"/>
              </w:rPr>
              <w:t>线</w:t>
            </w:r>
            <w:r>
              <w:rPr>
                <w:rFonts w:hint="eastAsia" w:ascii="宋体" w:eastAsia="宋体"/>
                <w:b/>
                <w:spacing w:val="-8"/>
                <w:w w:val="95"/>
                <w:sz w:val="21"/>
                <w:lang w:eastAsia="zh-CN"/>
              </w:rPr>
              <w:t>最近</w:t>
            </w:r>
            <w:r>
              <w:rPr>
                <w:rFonts w:hint="eastAsia" w:ascii="宋体" w:eastAsia="宋体"/>
                <w:b/>
                <w:spacing w:val="-8"/>
                <w:w w:val="95"/>
                <w:sz w:val="21"/>
              </w:rPr>
              <w:t>距</w:t>
            </w:r>
            <w:r>
              <w:rPr>
                <w:rFonts w:hint="eastAsia" w:ascii="宋体" w:eastAsia="宋体"/>
                <w:b/>
                <w:w w:val="95"/>
                <w:sz w:val="21"/>
              </w:rPr>
              <w:t>离</w:t>
            </w:r>
            <w:r>
              <w:rPr>
                <w:b/>
                <w:w w:val="95"/>
                <w:sz w:val="21"/>
              </w:rPr>
              <w:t>(m)</w:t>
            </w:r>
          </w:p>
        </w:tc>
        <w:tc>
          <w:tcPr>
            <w:tcW w:w="115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sz w:val="21"/>
                <w:lang w:eastAsia="zh-CN"/>
              </w:rPr>
            </w:pPr>
            <w:r>
              <w:rPr>
                <w:rFonts w:hint="eastAsia" w:eastAsia="宋体"/>
                <w:b/>
                <w:sz w:val="21"/>
                <w:lang w:eastAsia="zh-CN"/>
              </w:rPr>
              <w:t>监测因子</w:t>
            </w:r>
          </w:p>
        </w:tc>
        <w:tc>
          <w:tcPr>
            <w:tcW w:w="2531"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lang w:eastAsia="zh-CN"/>
              </w:rPr>
            </w:pPr>
            <w:r>
              <w:rPr>
                <w:rFonts w:hint="eastAsia" w:ascii="宋体" w:eastAsia="宋体"/>
                <w:b/>
                <w:sz w:val="21"/>
                <w:lang w:eastAsia="zh-CN"/>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default" w:ascii="Times New Roman" w:hAnsi="Times New Roman" w:eastAsia="宋体" w:cs="Times New Roman"/>
                <w:b w:val="0"/>
                <w:bCs/>
                <w:sz w:val="21"/>
                <w:lang w:val="en-US" w:eastAsia="zh-CN"/>
              </w:rPr>
              <w:t>1</w:t>
            </w:r>
          </w:p>
        </w:tc>
        <w:tc>
          <w:tcPr>
            <w:tcW w:w="162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556"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K0+040</w:t>
            </w:r>
          </w:p>
        </w:tc>
        <w:tc>
          <w:tcPr>
            <w:tcW w:w="94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18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5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总悬浮颗粒物、二氧化氮</w:t>
            </w:r>
          </w:p>
        </w:tc>
        <w:tc>
          <w:tcPr>
            <w:tcW w:w="2531"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3" name="图片 93" descr="IMG_20200519_1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00519_182958"/>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环境空气：监测日均值，监测3天。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7" w:name="_Toc21358"/>
      <w:r>
        <w:rPr>
          <w:rFonts w:hint="eastAsia" w:ascii="Times New Roman" w:hAnsi="Times New Roman" w:eastAsia="宋体" w:cs="Times New Roman"/>
          <w:sz w:val="24"/>
          <w:szCs w:val="24"/>
          <w:lang w:val="en-US" w:eastAsia="zh-CN"/>
        </w:rPr>
        <w:t>6.2.3监测结果</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监测结果见表6.2.3-1和6.2.3-2。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0"/>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253"/>
        <w:gridCol w:w="913"/>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3"/>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3"/>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52.9</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46.8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39.4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10:43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79.3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54.5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贵阳户爱房车基地</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11:19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19:10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80.6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59.2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54.8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国家贵州质检中心</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马南路终点</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54.6</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2020.07.09</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20:11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79.3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50.5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49.7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44.4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42.4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表6.2.3-2环境空气监测结果</w:t>
      </w:r>
    </w:p>
    <w:tbl>
      <w:tblPr>
        <w:tblStyle w:val="1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426"/>
        <w:gridCol w:w="1872"/>
        <w:gridCol w:w="187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1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采样</w:t>
            </w:r>
            <w:r>
              <w:rPr>
                <w:rFonts w:hint="default" w:ascii="Times New Roman" w:hAnsi="Times New Roman" w:eastAsia="宋体" w:cs="Times New Roman"/>
                <w:bCs/>
                <w:sz w:val="21"/>
                <w:szCs w:val="21"/>
                <w:vertAlign w:val="baseline"/>
                <w:lang w:val="en-US" w:eastAsia="zh-CN"/>
              </w:rPr>
              <w:t>日期</w:t>
            </w:r>
          </w:p>
        </w:tc>
        <w:tc>
          <w:tcPr>
            <w:tcW w:w="24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w:t>
            </w:r>
          </w:p>
        </w:tc>
        <w:tc>
          <w:tcPr>
            <w:tcW w:w="37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监测结果</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1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4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TSP（μg/m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二氧化氮（μg/m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2020.07.10</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太阳湖滨河公园</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bidi="ar-SA"/>
              </w:rPr>
              <w:t>158</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16</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2020.07.11</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153</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2020.07.12</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154</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3096-2008）的要求；环境空气监测结果达到《环境空气质量标准》（GB3095-2012）二级标准要求。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Times New Roman" w:hAnsi="Times New Roman" w:eastAsia="宋体" w:cs="Times New Roman"/>
          <w:sz w:val="24"/>
          <w:szCs w:val="24"/>
          <w:lang w:val="en-US" w:eastAsia="zh-CN"/>
        </w:rPr>
      </w:pPr>
      <w:bookmarkStart w:id="58" w:name="_Toc29242"/>
      <w:r>
        <w:rPr>
          <w:rFonts w:hint="eastAsia" w:ascii="Times New Roman" w:hAnsi="Times New Roman" w:eastAsia="宋体" w:cs="Times New Roman"/>
          <w:sz w:val="24"/>
          <w:szCs w:val="24"/>
          <w:lang w:val="en-US" w:eastAsia="zh-CN"/>
        </w:rPr>
        <w:t>6.3水环境</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9" w:name="_Toc30125"/>
      <w:r>
        <w:rPr>
          <w:rFonts w:hint="eastAsia" w:ascii="Times New Roman" w:hAnsi="Times New Roman" w:eastAsia="宋体" w:cs="Times New Roman"/>
          <w:sz w:val="24"/>
          <w:szCs w:val="24"/>
          <w:lang w:val="en-US" w:eastAsia="zh-CN"/>
        </w:rPr>
        <w:t>6.3.1水环境污染源调查</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未设置服务区、收费站等，无生活污水排放，主要污染源为道路冲洗废水及雨水冲刷路面产生的污水，主要污染物为SS。本项目污水仅边沟收纳处理就近排入麦架河从而进入麦架河。本工程调查范围内麦绕水井现已掩埋，无水流出，无其他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0" w:name="_Toc27261"/>
      <w:r>
        <w:rPr>
          <w:rFonts w:hint="eastAsia" w:ascii="Times New Roman" w:hAnsi="Times New Roman" w:eastAsia="宋体" w:cs="Times New Roman"/>
          <w:sz w:val="24"/>
          <w:szCs w:val="24"/>
          <w:lang w:val="en-US" w:eastAsia="zh-CN"/>
        </w:rPr>
        <w:t>6.3.2监测内容</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本工程调查范围内所涉及的水体为麦架河，在K0+370跨麦架河，桥梁建设会对麦架河造成一定的影响，监测内容见表6.3.2-1。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表6.3.2-1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87"/>
        <w:gridCol w:w="2677"/>
        <w:gridCol w:w="146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监测点位</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监测因子</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监测频率</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4"/>
                <w:szCs w:val="24"/>
                <w:vertAlign w:val="baseline"/>
                <w:lang w:val="en-US" w:eastAsia="zh-CN"/>
              </w:rPr>
              <w:t>1</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麦沙大道跨麦架河处下游200m</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水温、流量、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pH、COD、氨氮、BOD</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、SS、石油类</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1</w:t>
            </w:r>
            <w:r>
              <w:rPr>
                <w:rFonts w:hint="default" w:ascii="Times New Roman" w:hAnsi="Times New Roman" w:cs="Times New Roman"/>
                <w:bCs/>
                <w:color w:val="000000"/>
                <w:sz w:val="21"/>
                <w:szCs w:val="21"/>
                <w:lang w:val="en-US" w:eastAsia="zh-CN"/>
              </w:rPr>
              <w:t>次/天，连续监测</w:t>
            </w:r>
            <w:r>
              <w:rPr>
                <w:rFonts w:hint="eastAsia" w:cs="Times New Roman"/>
                <w:bCs/>
                <w:color w:val="000000"/>
                <w:sz w:val="21"/>
                <w:szCs w:val="21"/>
                <w:lang w:val="en-US" w:eastAsia="zh-CN"/>
              </w:rPr>
              <w:t>3</w:t>
            </w:r>
            <w:r>
              <w:rPr>
                <w:rFonts w:hint="default" w:ascii="Times New Roman" w:hAnsi="Times New Roman" w:cs="Times New Roman"/>
                <w:bCs/>
                <w:color w:val="000000"/>
                <w:sz w:val="21"/>
                <w:szCs w:val="21"/>
                <w:lang w:val="en-US" w:eastAsia="zh-CN"/>
              </w:rPr>
              <w:t>天</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61" w:name="_Toc29317"/>
      <w:r>
        <w:rPr>
          <w:rFonts w:hint="eastAsia" w:ascii="Times New Roman" w:hAnsi="Times New Roman" w:eastAsia="宋体" w:cs="Times New Roman"/>
          <w:sz w:val="24"/>
          <w:szCs w:val="24"/>
          <w:lang w:val="en-US" w:eastAsia="zh-CN"/>
        </w:rPr>
        <w:t>6.3.3监测结果</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监测结果见表6.3.3-1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表6.3.3-1地表水监测结果</w:t>
      </w:r>
    </w:p>
    <w:tbl>
      <w:tblPr>
        <w:tblStyle w:val="1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63"/>
        <w:gridCol w:w="1650"/>
        <w:gridCol w:w="1700"/>
        <w:gridCol w:w="1179"/>
        <w:gridCol w:w="1"/>
        <w:gridCol w:w="1182"/>
        <w:gridCol w:w="1176"/>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28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检测项目</w:t>
            </w:r>
          </w:p>
        </w:tc>
        <w:tc>
          <w:tcPr>
            <w:tcW w:w="50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监测点位/采样日期/样品编号/检测结果</w:t>
            </w:r>
          </w:p>
        </w:tc>
        <w:tc>
          <w:tcPr>
            <w:tcW w:w="1180"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平均值</w:t>
            </w:r>
          </w:p>
        </w:tc>
        <w:tc>
          <w:tcPr>
            <w:tcW w:w="1182"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before="781" w:beforeLines="250" w:after="0" w:afterLines="0" w:line="240" w:lineRule="auto"/>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标准限值</w:t>
            </w:r>
          </w:p>
        </w:tc>
        <w:tc>
          <w:tcPr>
            <w:tcW w:w="1178"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5013" w:type="dxa"/>
            <w:gridSpan w:val="3"/>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麦架河汇入麦架河前150m</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9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-101</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-201</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-301</w:t>
            </w:r>
          </w:p>
        </w:tc>
        <w:tc>
          <w:tcPr>
            <w:tcW w:w="1179"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3"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6"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水温</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21.9</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22.5 </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流量</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/h）</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3.21</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3.03</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3.39</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eastAsia="宋体" w:cs="Times New Roman"/>
                <w:i w:val="0"/>
                <w:color w:val="FF0000"/>
                <w:kern w:val="0"/>
                <w:sz w:val="21"/>
                <w:szCs w:val="21"/>
                <w:u w:val="none"/>
                <w:lang w:val="en-US" w:eastAsia="zh-CN" w:bidi="ar"/>
              </w:rPr>
              <w:t>3.21</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pH</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（无量纲）</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7.51</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7.56</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7.59</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7.55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6~9</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17</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15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氨氮</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0.300</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0.403</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0.295</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0.333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1.0</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化学需氧量（mg/L）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24</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21</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23</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20</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vertAlign w:val="subscript"/>
                <w:lang w:eastAsia="zh-CN"/>
              </w:rPr>
            </w:pP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7.2</w:t>
            </w:r>
          </w:p>
        </w:tc>
        <w:tc>
          <w:tcPr>
            <w:tcW w:w="165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6.1</w:t>
            </w:r>
          </w:p>
        </w:tc>
        <w:tc>
          <w:tcPr>
            <w:tcW w:w="170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7.0</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 xml:space="preserve">7 </w:t>
            </w:r>
          </w:p>
        </w:tc>
        <w:tc>
          <w:tcPr>
            <w:tcW w:w="1183" w:type="dxa"/>
            <w:gridSpan w:val="2"/>
            <w:vAlign w:val="center"/>
          </w:tcPr>
          <w:p>
            <w:pPr>
              <w:widowControl/>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w:t>
            </w:r>
          </w:p>
        </w:tc>
        <w:tc>
          <w:tcPr>
            <w:tcW w:w="1176" w:type="dxa"/>
            <w:vAlign w:val="center"/>
          </w:tcPr>
          <w:p>
            <w:pPr>
              <w:widowControl/>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石油类</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0.31</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0.37</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0.34</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0.05</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9831" w:type="dxa"/>
            <w:gridSpan w:val="8"/>
            <w:vAlign w:val="top"/>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《地表水环境质量标准》（GB 3838-2002）</w:t>
            </w:r>
            <w:r>
              <w:rPr>
                <w:rFonts w:hint="eastAsia" w:ascii="宋体" w:hAnsi="宋体" w:eastAsia="宋体" w:cs="宋体"/>
                <w:bCs/>
                <w:sz w:val="21"/>
                <w:szCs w:val="21"/>
                <w:vertAlign w:val="baseline"/>
                <w:lang w:val="en-US" w:eastAsia="zh-CN"/>
              </w:rPr>
              <w:t>Ⅲ</w:t>
            </w:r>
            <w:r>
              <w:rPr>
                <w:rFonts w:hint="eastAsia" w:ascii="Times New Roman" w:hAnsi="Times New Roman" w:cs="Times New Roman"/>
                <w:bCs/>
                <w:sz w:val="21"/>
                <w:szCs w:val="21"/>
                <w:vertAlign w:val="baseline"/>
                <w:lang w:val="en-US" w:eastAsia="zh-CN"/>
              </w:rPr>
              <w:t>类水标准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从监测结果可以看出：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、石油类的监测结果均超标，超标指数分别为0.15、0.15、0.75、5.80；从环评报告上的数据可知环评阶段麦架河的COD、BOD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、石油类也存在超标，超标指数分别为1.21、2.14、8.40。由此可以看出本次验收调查期间麦架河的COD、BOD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、石油类的监测结果虽然超标，但比较环评阶段，麦架河的水质有所好转。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2" w:name="_Toc15159"/>
      <w:r>
        <w:rPr>
          <w:rFonts w:hint="eastAsia" w:ascii="Times New Roman" w:hAnsi="Times New Roman" w:eastAsia="宋体" w:cs="Times New Roman"/>
          <w:sz w:val="24"/>
          <w:szCs w:val="24"/>
          <w:lang w:val="en-US" w:eastAsia="zh-CN"/>
        </w:rPr>
        <w:t>6.3固体废物</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3" w:name="_Toc16947"/>
      <w:r>
        <w:rPr>
          <w:rFonts w:hint="eastAsia" w:ascii="Times New Roman" w:hAnsi="Times New Roman" w:eastAsia="宋体" w:cs="Times New Roman"/>
          <w:b/>
          <w:bCs/>
          <w:sz w:val="24"/>
          <w:szCs w:val="24"/>
          <w:lang w:val="en-US" w:eastAsia="zh-CN"/>
        </w:rPr>
        <w:t>7 环境管理与监测计划的落实</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4" w:name="_Toc16314"/>
      <w:r>
        <w:rPr>
          <w:rFonts w:hint="eastAsia" w:ascii="Times New Roman" w:hAnsi="Times New Roman" w:eastAsia="宋体" w:cs="Times New Roman"/>
          <w:sz w:val="24"/>
          <w:szCs w:val="24"/>
          <w:lang w:val="en-US" w:eastAsia="zh-CN"/>
        </w:rPr>
        <w:t>7.1环境管理情况</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5" w:name="_Toc11940"/>
      <w:r>
        <w:rPr>
          <w:rFonts w:hint="eastAsia" w:ascii="Times New Roman" w:hAnsi="Times New Roman" w:eastAsia="宋体" w:cs="Times New Roman"/>
          <w:sz w:val="24"/>
          <w:szCs w:val="24"/>
          <w:lang w:val="en-US" w:eastAsia="zh-CN"/>
        </w:rPr>
        <w:t>7.1.1施工期环境管理</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6" w:name="_Toc3736"/>
      <w:r>
        <w:rPr>
          <w:rFonts w:hint="eastAsia" w:ascii="Times New Roman" w:hAnsi="Times New Roman" w:eastAsia="宋体" w:cs="Times New Roman"/>
          <w:sz w:val="24"/>
          <w:szCs w:val="24"/>
          <w:lang w:val="en-US" w:eastAsia="zh-CN"/>
        </w:rPr>
        <w:t>7.1.2运营期环境管理</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7" w:name="_Toc32533"/>
      <w:r>
        <w:rPr>
          <w:rFonts w:hint="eastAsia" w:ascii="Times New Roman" w:hAnsi="Times New Roman" w:eastAsia="宋体" w:cs="Times New Roman"/>
          <w:sz w:val="24"/>
          <w:szCs w:val="24"/>
          <w:lang w:val="en-US" w:eastAsia="zh-CN"/>
        </w:rPr>
        <w:t>7.1.3建议</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68" w:name="_Toc31047"/>
      <w:r>
        <w:rPr>
          <w:rFonts w:hint="eastAsia" w:ascii="Times New Roman" w:hAnsi="Times New Roman" w:eastAsia="宋体" w:cs="Times New Roman"/>
          <w:sz w:val="24"/>
          <w:szCs w:val="24"/>
          <w:lang w:val="en-US" w:eastAsia="zh-CN"/>
        </w:rPr>
        <w:t>7.2监测计划的落实</w:t>
      </w:r>
      <w:bookmarkEnd w:id="6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干田村马场营组</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TSP</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7天/次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干田村马场营组</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麦架河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SS、COD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桥梁施工期间，1次/月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麦架河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氨氮、COD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每年随机抽查2次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9" w:name="_Toc29090"/>
      <w:r>
        <w:rPr>
          <w:rFonts w:hint="eastAsia" w:ascii="Times New Roman" w:hAnsi="Times New Roman" w:eastAsia="宋体" w:cs="Times New Roman"/>
          <w:b/>
          <w:bCs/>
          <w:sz w:val="24"/>
          <w:szCs w:val="24"/>
          <w:lang w:val="en-US" w:eastAsia="zh-CN"/>
        </w:rPr>
        <w:t>8 公众意见调查</w:t>
      </w:r>
      <w:bookmarkEnd w:id="69"/>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70" w:name="_Toc13801"/>
      <w:r>
        <w:rPr>
          <w:rFonts w:hint="eastAsia" w:ascii="Times New Roman" w:hAnsi="Times New Roman" w:eastAsia="宋体" w:cs="Times New Roman"/>
          <w:sz w:val="24"/>
          <w:szCs w:val="24"/>
          <w:lang w:val="en-US" w:eastAsia="zh-CN"/>
        </w:rPr>
        <w:t>8.1调查的目的、对象、方法</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1" w:name="_Toc31357"/>
      <w:r>
        <w:rPr>
          <w:rFonts w:hint="eastAsia" w:ascii="Times New Roman" w:hAnsi="Times New Roman" w:eastAsia="宋体" w:cs="Times New Roman"/>
          <w:sz w:val="24"/>
          <w:szCs w:val="24"/>
          <w:lang w:val="en-US" w:eastAsia="zh-CN"/>
        </w:rPr>
        <w:t>8.1.1调查的目的</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2" w:name="_Toc27702"/>
      <w:r>
        <w:rPr>
          <w:rFonts w:hint="eastAsia" w:ascii="Times New Roman" w:hAnsi="Times New Roman" w:eastAsia="宋体" w:cs="Times New Roman"/>
          <w:sz w:val="24"/>
          <w:szCs w:val="24"/>
          <w:lang w:val="en-US" w:eastAsia="zh-CN"/>
        </w:rPr>
        <w:t>8.1.2调查的对象</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3" w:name="_Toc15775"/>
      <w:r>
        <w:rPr>
          <w:rFonts w:hint="eastAsia" w:ascii="Times New Roman" w:hAnsi="Times New Roman" w:eastAsia="宋体" w:cs="Times New Roman"/>
          <w:sz w:val="24"/>
          <w:szCs w:val="24"/>
          <w:lang w:val="en-US" w:eastAsia="zh-CN"/>
        </w:rPr>
        <w:t>8.1.3调查的方式</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74" w:name="_Toc26332"/>
      <w:r>
        <w:rPr>
          <w:rFonts w:hint="eastAsia" w:ascii="Times New Roman" w:hAnsi="Times New Roman" w:eastAsia="宋体" w:cs="Times New Roman"/>
          <w:sz w:val="24"/>
          <w:szCs w:val="24"/>
          <w:lang w:val="en-US" w:eastAsia="zh-CN"/>
        </w:rPr>
        <w:t>8.2调查结果</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本项目调查期间道路通行车辆较少，未能采集到具有代表性的调查意见。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本项目调查期间道路沿线原有居民已大部分完成搬迁，不再受本项目直接影响，未能采集到具有代表性的调查意见。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因此本项目在调查期间未进行公众意见调查。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75" w:name="_Toc7978"/>
      <w:r>
        <w:rPr>
          <w:rFonts w:hint="eastAsia" w:ascii="Times New Roman" w:hAnsi="Times New Roman" w:eastAsia="宋体" w:cs="Times New Roman"/>
          <w:b/>
          <w:bCs/>
          <w:sz w:val="24"/>
          <w:szCs w:val="24"/>
          <w:lang w:val="en-US" w:eastAsia="zh-CN"/>
        </w:rPr>
        <w:t>9 风险事故防范与应急措施调查</w:t>
      </w:r>
      <w:bookmarkEnd w:id="75"/>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6" w:name="_Toc29915"/>
      <w:r>
        <w:rPr>
          <w:rFonts w:hint="eastAsia" w:ascii="Times New Roman" w:hAnsi="Times New Roman" w:eastAsia="宋体" w:cs="Times New Roman"/>
          <w:sz w:val="24"/>
          <w:szCs w:val="24"/>
          <w:lang w:val="en-US" w:eastAsia="zh-CN"/>
        </w:rPr>
        <w:t>9.1风险因素调查</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77" w:name="_Toc26599"/>
      <w:r>
        <w:rPr>
          <w:rFonts w:hint="eastAsia" w:ascii="Times New Roman" w:hAnsi="Times New Roman" w:eastAsia="宋体" w:cs="Times New Roman"/>
          <w:sz w:val="24"/>
          <w:szCs w:val="24"/>
          <w:lang w:val="en-US" w:eastAsia="zh-CN"/>
        </w:rPr>
        <w:t>9.2风险防范与预防措施</w:t>
      </w:r>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8" w:name="_Toc8858"/>
      <w:r>
        <w:rPr>
          <w:rFonts w:hint="eastAsia" w:ascii="Times New Roman" w:hAnsi="Times New Roman" w:eastAsia="宋体" w:cs="Times New Roman"/>
          <w:sz w:val="24"/>
          <w:szCs w:val="24"/>
          <w:lang w:val="en-US" w:eastAsia="zh-CN"/>
        </w:rPr>
        <w:t>9.2.1主要预防措施</w:t>
      </w:r>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准运证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驾驶员证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押运员证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和危险品运输行车路单（以下简称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9" w:name="_Toc9841"/>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麦架河，为保护水质，应对拟建道路高山河、麦架河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0" w:name="_Toc28873"/>
      <w:r>
        <w:rPr>
          <w:rFonts w:hint="eastAsia" w:ascii="Times New Roman" w:hAnsi="Times New Roman" w:eastAsia="宋体" w:cs="Times New Roman"/>
          <w:sz w:val="24"/>
          <w:szCs w:val="24"/>
          <w:lang w:val="en-US" w:eastAsia="zh-CN"/>
        </w:rPr>
        <w:t>9.2.3应急预案</w:t>
      </w:r>
      <w:bookmarkEnd w:id="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贵阳市市政道路管理单位应成立3～5人应急救援小组，指定专人担任应急救援组长，由应急救援组长负责、指挥和对相关单位的协调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拟建道路项目一旦发生环境风险的事故，道路管理单位和沿途单位、小区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大量泄漏时采取事故应急池受纳，用泵转移至槽车或专用收集器内回收运至废物处理场所处置。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81" w:name="_Toc31512"/>
      <w:r>
        <w:rPr>
          <w:rFonts w:hint="eastAsia" w:ascii="Times New Roman" w:hAnsi="Times New Roman" w:eastAsia="宋体" w:cs="Times New Roman"/>
          <w:b/>
          <w:bCs/>
          <w:sz w:val="24"/>
          <w:szCs w:val="24"/>
          <w:lang w:val="en-US" w:eastAsia="zh-CN"/>
        </w:rPr>
        <w:t>10 调查结论及建议</w:t>
      </w:r>
      <w:bookmarkEnd w:id="81"/>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2" w:name="_Toc8023"/>
      <w:r>
        <w:rPr>
          <w:rFonts w:hint="eastAsia" w:ascii="Times New Roman" w:hAnsi="Times New Roman" w:eastAsia="宋体" w:cs="Times New Roman"/>
          <w:sz w:val="24"/>
          <w:szCs w:val="24"/>
          <w:lang w:val="en-US" w:eastAsia="zh-CN"/>
        </w:rPr>
        <w:t>10.1调查结论</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3" w:name="_Toc11138"/>
      <w:r>
        <w:rPr>
          <w:rFonts w:hint="eastAsia" w:ascii="Times New Roman" w:hAnsi="Times New Roman" w:eastAsia="宋体" w:cs="Times New Roman"/>
          <w:sz w:val="24"/>
          <w:szCs w:val="24"/>
          <w:lang w:val="en-US" w:eastAsia="zh-CN"/>
        </w:rPr>
        <w:t>10.1.1工程概况</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马南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马南路道路工程为新建城市道路，项目起点连接麦沙大道，经干田村马场营组、苏庄村苏庄组，终点连接麦苏路。道路总长1.886km，宽20m，为城市I级支路，设计车速30km/h。项目总投资额13507.65万元。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4" w:name="_Toc5373"/>
      <w:r>
        <w:rPr>
          <w:rFonts w:hint="eastAsia" w:ascii="Times New Roman" w:hAnsi="Times New Roman" w:eastAsia="宋体" w:cs="Times New Roman"/>
          <w:sz w:val="24"/>
          <w:szCs w:val="24"/>
          <w:lang w:val="en-US" w:eastAsia="zh-CN"/>
        </w:rPr>
        <w:t>10.1.2环保措施落实情况</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本工程已按环评要求及相关环保要求建设了相应的设施，施工便道、临时弃土场等已得到恢复，本次调查结果显示，相关环保措施已基本落实，未对沿线环境造成较大的影响。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5" w:name="_Toc1160"/>
      <w:r>
        <w:rPr>
          <w:rFonts w:hint="eastAsia" w:ascii="Times New Roman" w:hAnsi="Times New Roman" w:eastAsia="宋体" w:cs="Times New Roman"/>
          <w:sz w:val="24"/>
          <w:szCs w:val="24"/>
          <w:lang w:val="en-US" w:eastAsia="zh-CN"/>
        </w:rPr>
        <w:t>10.1.3生态环境</w:t>
      </w:r>
      <w:bookmarkEnd w:id="8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本项目建设道路挖方5.13万m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，填方10.15万m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，绿化复土0.09万m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，借方5.11万m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（从同期建设的麦苏路调运），无弃方</w:t>
      </w:r>
      <w:r>
        <w:rPr>
          <w:rFonts w:hint="eastAsia" w:ascii="Times New Roman" w:hAnsi="Times New Roman" w:eastAsia="宋体" w:cs="Times New Roman"/>
          <w:sz w:val="24"/>
          <w:szCs w:val="24"/>
          <w:lang w:val="en-US" w:eastAsia="zh-CN"/>
        </w:rPr>
        <w:t>。永久性占地4.15hm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、灌木林地0.06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、荒草地0.30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、梯坪地4.21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、交通用地0.08</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、水田0.90</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路线共设置桥梁35m/1座，平面交叉5处。本项目所有砂、石料都采取外购，不单独设置砂、石取料场。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本项目所需要的沥青混凝土全部采用外购解决，不设置沥青混凝土拌合站。本道路不设收费站、服务区和养护工区等服务设施。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经实地勘察，本项目已按要求完成边坡建设，临时堆场恢复，沿线施工扰动区已进行生态恢复，基本完成水土保持要求。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6" w:name="_Toc28713"/>
      <w:r>
        <w:rPr>
          <w:rFonts w:hint="eastAsia" w:ascii="Times New Roman" w:hAnsi="Times New Roman" w:eastAsia="宋体" w:cs="Times New Roman"/>
          <w:sz w:val="24"/>
          <w:szCs w:val="24"/>
          <w:lang w:val="en-US" w:eastAsia="zh-CN"/>
        </w:rPr>
        <w:t>10.1.4水环境</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、石油类的监测结果均超标，超标指数分别为0.15、0.15、0.75、5.80；从环评报告上的数据可知环评阶段麦架河的COD、BOD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、石油类也存在超标，超标指数分别为0.19、1.03、8.40。由此可以看出本次验收调查期间麦架河的COD、BOD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、石油类的监测结果虽然超标，但比较环评阶段，麦架河的水质有所好转。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7" w:name="_Toc1005"/>
      <w:r>
        <w:rPr>
          <w:rFonts w:hint="eastAsia" w:ascii="Times New Roman" w:hAnsi="Times New Roman" w:eastAsia="宋体" w:cs="Times New Roman"/>
          <w:sz w:val="24"/>
          <w:szCs w:val="24"/>
          <w:lang w:val="en-US" w:eastAsia="zh-CN"/>
        </w:rPr>
        <w:t>10.1.5环境空气</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本工程定期安排环卫人员清扫道路上洒落的散装物料减少车辆通过引起起尘，沿线种植行道树，在干燥天气对路面采取洒水措施，有效降低扬尘，对大气环境影响较小。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沿线敏感点监测结果满足</w:t>
      </w:r>
      <w:r>
        <w:rPr>
          <w:spacing w:val="-4"/>
          <w:sz w:val="24"/>
          <w:szCs w:val="24"/>
        </w:rPr>
        <w:t>《环境空气质量标准</w:t>
      </w:r>
      <w:r>
        <w:rPr>
          <w:spacing w:val="-140"/>
          <w:sz w:val="24"/>
          <w:szCs w:val="24"/>
        </w:rPr>
        <w:t>》</w:t>
      </w:r>
      <w:r>
        <w:rPr>
          <w:sz w:val="24"/>
          <w:szCs w:val="24"/>
        </w:rPr>
        <w:t>（</w:t>
      </w:r>
      <w:r>
        <w:rPr>
          <w:rFonts w:ascii="Times New Roman" w:eastAsia="Times New Roman"/>
          <w:sz w:val="24"/>
          <w:szCs w:val="24"/>
        </w:rPr>
        <w:t>GB3095-1996</w:t>
      </w:r>
      <w:r>
        <w:rPr>
          <w:sz w:val="24"/>
          <w:szCs w:val="24"/>
        </w:rPr>
        <w:t>）</w:t>
      </w:r>
      <w:r>
        <w:rPr>
          <w:spacing w:val="-5"/>
          <w:sz w:val="24"/>
          <w:szCs w:val="24"/>
        </w:rPr>
        <w:t>标准限值</w:t>
      </w:r>
      <w:r>
        <w:rPr>
          <w:rFonts w:hint="eastAsia"/>
          <w:spacing w:val="-5"/>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29784"/>
      <w:r>
        <w:rPr>
          <w:rFonts w:hint="eastAsia" w:ascii="Times New Roman" w:hAnsi="Times New Roman" w:eastAsia="宋体" w:cs="Times New Roman"/>
          <w:sz w:val="24"/>
          <w:szCs w:val="24"/>
          <w:lang w:val="en-US" w:eastAsia="zh-CN"/>
        </w:rPr>
        <w:t>10.1.6声环境</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9" w:name="_Toc20705"/>
      <w:r>
        <w:rPr>
          <w:rFonts w:hint="eastAsia" w:ascii="Times New Roman" w:hAnsi="Times New Roman" w:eastAsia="宋体" w:cs="Times New Roman"/>
          <w:sz w:val="24"/>
          <w:szCs w:val="24"/>
          <w:lang w:val="en-US" w:eastAsia="zh-CN"/>
        </w:rPr>
        <w:t>10.1.7固体废物</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本工程沿线设置了垃圾池或垃圾箱，对生活垃圾收集后定期交由环卫部门清运，不向周边环境排弃，亦没有生活垃圾过多堆存不清运的情况，没有造成不良的环境影响。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0" w:name="_Toc24346"/>
      <w:r>
        <w:rPr>
          <w:rFonts w:hint="eastAsia" w:ascii="Times New Roman" w:hAnsi="Times New Roman" w:eastAsia="宋体" w:cs="Times New Roman"/>
          <w:sz w:val="24"/>
          <w:szCs w:val="24"/>
          <w:lang w:val="en-US" w:eastAsia="zh-CN"/>
        </w:rPr>
        <w:t>10.1.8应急预案</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沙文生态科技产业园马南路道路工程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91" w:name="_Toc357"/>
      <w:r>
        <w:rPr>
          <w:rFonts w:hint="eastAsia" w:ascii="Times New Roman" w:hAnsi="Times New Roman" w:eastAsia="宋体" w:cs="Times New Roman"/>
          <w:sz w:val="24"/>
          <w:szCs w:val="24"/>
          <w:lang w:val="en-US" w:eastAsia="zh-CN"/>
        </w:rPr>
        <w:t>10.2建议</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2" w:name="_Toc19027"/>
      <w:r>
        <w:rPr>
          <w:rFonts w:hint="eastAsia" w:ascii="Times New Roman" w:hAnsi="Times New Roman" w:eastAsia="宋体" w:cs="Times New Roman"/>
          <w:sz w:val="24"/>
          <w:szCs w:val="24"/>
          <w:lang w:val="en-US" w:eastAsia="zh-CN"/>
        </w:rPr>
        <w:t>附件一：立项文件批复</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44" name="图片 44" descr="马南立项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马南立项批复1"/>
                    <pic:cNvPicPr>
                      <a:picLocks noChangeAspect="1"/>
                    </pic:cNvPicPr>
                  </pic:nvPicPr>
                  <pic:blipFill>
                    <a:blip r:embed="rId17"/>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34" name="图片 34" descr="马南立项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马南立项批复2"/>
                    <pic:cNvPicPr>
                      <a:picLocks noChangeAspect="1"/>
                    </pic:cNvPicPr>
                  </pic:nvPicPr>
                  <pic:blipFill>
                    <a:blip r:embed="rId18"/>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3" w:name="_Toc23566"/>
      <w:r>
        <w:rPr>
          <w:rFonts w:hint="eastAsia" w:ascii="Times New Roman" w:hAnsi="Times New Roman" w:eastAsia="宋体" w:cs="Times New Roman"/>
          <w:sz w:val="24"/>
          <w:szCs w:val="24"/>
          <w:lang w:val="en-US" w:eastAsia="zh-CN"/>
        </w:rPr>
        <w:t>附件二：环评批复文件</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46" name="图片 46" descr="马南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马南路1"/>
                    <pic:cNvPicPr>
                      <a:picLocks noChangeAspect="1"/>
                    </pic:cNvPicPr>
                  </pic:nvPicPr>
                  <pic:blipFill>
                    <a:blip r:embed="rId19"/>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45" name="图片 45" descr="马南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马南路2"/>
                    <pic:cNvPicPr>
                      <a:picLocks noChangeAspect="1"/>
                    </pic:cNvPicPr>
                  </pic:nvPicPr>
                  <pic:blipFill>
                    <a:blip r:embed="rId20"/>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4" w:name="_Toc11644"/>
      <w:r>
        <w:rPr>
          <w:rFonts w:hint="eastAsia" w:ascii="Times New Roman" w:hAnsi="Times New Roman" w:eastAsia="宋体" w:cs="Times New Roman"/>
          <w:sz w:val="24"/>
          <w:szCs w:val="24"/>
          <w:lang w:val="en-US" w:eastAsia="zh-CN"/>
        </w:rPr>
        <w:t>附件三：验收监测报告</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1"/>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2"/>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3"/>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4"/>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5"/>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6"/>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7"/>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8"/>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9"/>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0"/>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1"/>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2"/>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3"/>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4"/>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5"/>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6"/>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37"/>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38"/>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39"/>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0"/>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1"/>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2"/>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3"/>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4"/>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5"/>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46"/>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47"/>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48"/>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49"/>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0"/>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1"/>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2"/>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3"/>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4"/>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5"/>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56"/>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57"/>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58"/>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59"/>
                    <a:stretch>
                      <a:fillRect/>
                    </a:stretch>
                  </pic:blipFill>
                  <pic:spPr>
                    <a:xfrm>
                      <a:off x="0" y="0"/>
                      <a:ext cx="4981575" cy="7048500"/>
                    </a:xfrm>
                    <a:prstGeom prst="rect">
                      <a:avLst/>
                    </a:prstGeom>
                    <a:noFill/>
                    <a:ln>
                      <a:noFill/>
                    </a:ln>
                  </pic:spPr>
                </pic:pic>
              </a:graphicData>
            </a:graphic>
          </wp:inline>
        </w:drawing>
      </w: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lang w:val="en-US" w:eastAsia="zh-CN"/>
        </w:rPr>
      </w:pPr>
      <w:bookmarkStart w:id="95" w:name="_Toc195"/>
      <w:r>
        <w:rPr>
          <w:rFonts w:hint="eastAsia"/>
          <w:lang w:val="en-US" w:eastAsia="zh-CN"/>
        </w:rPr>
        <w:t>附件四：验收意见</w:t>
      </w:r>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810125" cy="696277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0"/>
                    <a:stretch>
                      <a:fillRect/>
                    </a:stretch>
                  </pic:blipFill>
                  <pic:spPr>
                    <a:xfrm>
                      <a:off x="0" y="0"/>
                      <a:ext cx="4810125" cy="6962775"/>
                    </a:xfrm>
                    <a:prstGeom prst="rect">
                      <a:avLst/>
                    </a:prstGeom>
                    <a:noFill/>
                    <a:ln>
                      <a:noFill/>
                    </a:ln>
                  </pic:spPr>
                </pic:pic>
              </a:graphicData>
            </a:graphic>
          </wp:inline>
        </w:drawing>
      </w:r>
      <w:r>
        <w:drawing>
          <wp:inline distT="0" distB="0" distL="114300" distR="114300">
            <wp:extent cx="4324350" cy="65913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1"/>
                    <a:stretch>
                      <a:fillRect/>
                    </a:stretch>
                  </pic:blipFill>
                  <pic:spPr>
                    <a:xfrm>
                      <a:off x="0" y="0"/>
                      <a:ext cx="4324350" cy="6591300"/>
                    </a:xfrm>
                    <a:prstGeom prst="rect">
                      <a:avLst/>
                    </a:prstGeom>
                    <a:noFill/>
                    <a:ln>
                      <a:noFill/>
                    </a:ln>
                  </pic:spPr>
                </pic:pic>
              </a:graphicData>
            </a:graphic>
          </wp:inline>
        </w:drawing>
      </w:r>
      <w:r>
        <w:drawing>
          <wp:inline distT="0" distB="0" distL="114300" distR="114300">
            <wp:extent cx="4905375" cy="677227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2"/>
                    <a:stretch>
                      <a:fillRect/>
                    </a:stretch>
                  </pic:blipFill>
                  <pic:spPr>
                    <a:xfrm>
                      <a:off x="0" y="0"/>
                      <a:ext cx="4905375" cy="6772275"/>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沙文生态科技产业园马南路道路工程竣工环境保护验收调查报告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B31472"/>
    <w:multiLevelType w:val="singleLevel"/>
    <w:tmpl w:val="88B31472"/>
    <w:lvl w:ilvl="0" w:tentative="0">
      <w:start w:val="1"/>
      <w:numFmt w:val="decimal"/>
      <w:suff w:val="nothing"/>
      <w:lvlText w:val="（%1）"/>
      <w:lvlJc w:val="left"/>
    </w:lvl>
  </w:abstractNum>
  <w:abstractNum w:abstractNumId="1">
    <w:nsid w:val="977FCFCB"/>
    <w:multiLevelType w:val="singleLevel"/>
    <w:tmpl w:val="977FCFCB"/>
    <w:lvl w:ilvl="0" w:tentative="0">
      <w:start w:val="1"/>
      <w:numFmt w:val="decimal"/>
      <w:suff w:val="nothing"/>
      <w:lvlText w:val="（%1）"/>
      <w:lvlJc w:val="left"/>
    </w:lvl>
  </w:abstractNum>
  <w:abstractNum w:abstractNumId="2">
    <w:nsid w:val="BC2ED5BA"/>
    <w:multiLevelType w:val="singleLevel"/>
    <w:tmpl w:val="BC2ED5BA"/>
    <w:lvl w:ilvl="0" w:tentative="0">
      <w:start w:val="1"/>
      <w:numFmt w:val="decimal"/>
      <w:suff w:val="nothing"/>
      <w:lvlText w:val="（%1）"/>
      <w:lvlJc w:val="left"/>
    </w:lvl>
  </w:abstractNum>
  <w:abstractNum w:abstractNumId="3">
    <w:nsid w:val="D0CE741F"/>
    <w:multiLevelType w:val="singleLevel"/>
    <w:tmpl w:val="D0CE741F"/>
    <w:lvl w:ilvl="0" w:tentative="0">
      <w:start w:val="1"/>
      <w:numFmt w:val="decimal"/>
      <w:suff w:val="nothing"/>
      <w:lvlText w:val="（%1）"/>
      <w:lvlJc w:val="left"/>
    </w:lvl>
  </w:abstractNum>
  <w:abstractNum w:abstractNumId="4">
    <w:nsid w:val="D655A637"/>
    <w:multiLevelType w:val="singleLevel"/>
    <w:tmpl w:val="D655A637"/>
    <w:lvl w:ilvl="0" w:tentative="0">
      <w:start w:val="1"/>
      <w:numFmt w:val="decimal"/>
      <w:suff w:val="nothing"/>
      <w:lvlText w:val="（%1）"/>
      <w:lvlJc w:val="left"/>
    </w:lvl>
  </w:abstractNum>
  <w:abstractNum w:abstractNumId="5">
    <w:nsid w:val="D679DC3A"/>
    <w:multiLevelType w:val="singleLevel"/>
    <w:tmpl w:val="D679DC3A"/>
    <w:lvl w:ilvl="0" w:tentative="0">
      <w:start w:val="1"/>
      <w:numFmt w:val="decimalEnclosedCircleChinese"/>
      <w:suff w:val="space"/>
      <w:lvlText w:val="%1"/>
      <w:lvlJc w:val="left"/>
      <w:rPr>
        <w:rFonts w:hint="eastAsia"/>
      </w:rPr>
    </w:lvl>
  </w:abstractNum>
  <w:abstractNum w:abstractNumId="6">
    <w:nsid w:val="D85C04E6"/>
    <w:multiLevelType w:val="singleLevel"/>
    <w:tmpl w:val="D85C04E6"/>
    <w:lvl w:ilvl="0" w:tentative="0">
      <w:start w:val="1"/>
      <w:numFmt w:val="decimal"/>
      <w:suff w:val="nothing"/>
      <w:lvlText w:val="（%1）"/>
      <w:lvlJc w:val="left"/>
    </w:lvl>
  </w:abstractNum>
  <w:abstractNum w:abstractNumId="7">
    <w:nsid w:val="D954F3EC"/>
    <w:multiLevelType w:val="singleLevel"/>
    <w:tmpl w:val="D954F3EC"/>
    <w:lvl w:ilvl="0" w:tentative="0">
      <w:start w:val="1"/>
      <w:numFmt w:val="decimal"/>
      <w:suff w:val="nothing"/>
      <w:lvlText w:val="（%1）"/>
      <w:lvlJc w:val="left"/>
    </w:lvl>
  </w:abstractNum>
  <w:abstractNum w:abstractNumId="8">
    <w:nsid w:val="DCEE3E4B"/>
    <w:multiLevelType w:val="singleLevel"/>
    <w:tmpl w:val="DCEE3E4B"/>
    <w:lvl w:ilvl="0" w:tentative="0">
      <w:start w:val="1"/>
      <w:numFmt w:val="decimal"/>
      <w:suff w:val="nothing"/>
      <w:lvlText w:val="（%1）"/>
      <w:lvlJc w:val="left"/>
    </w:lvl>
  </w:abstractNum>
  <w:abstractNum w:abstractNumId="9">
    <w:nsid w:val="E7839E30"/>
    <w:multiLevelType w:val="singleLevel"/>
    <w:tmpl w:val="E7839E30"/>
    <w:lvl w:ilvl="0" w:tentative="0">
      <w:start w:val="1"/>
      <w:numFmt w:val="decimal"/>
      <w:suff w:val="nothing"/>
      <w:lvlText w:val="（%1）"/>
      <w:lvlJc w:val="left"/>
    </w:lvl>
  </w:abstractNum>
  <w:abstractNum w:abstractNumId="10">
    <w:nsid w:val="EEDA5947"/>
    <w:multiLevelType w:val="singleLevel"/>
    <w:tmpl w:val="EEDA5947"/>
    <w:lvl w:ilvl="0" w:tentative="0">
      <w:start w:val="1"/>
      <w:numFmt w:val="decimal"/>
      <w:suff w:val="nothing"/>
      <w:lvlText w:val="（%1）"/>
      <w:lvlJc w:val="left"/>
    </w:lvl>
  </w:abstractNum>
  <w:abstractNum w:abstractNumId="11">
    <w:nsid w:val="EF373150"/>
    <w:multiLevelType w:val="singleLevel"/>
    <w:tmpl w:val="EF373150"/>
    <w:lvl w:ilvl="0" w:tentative="0">
      <w:start w:val="1"/>
      <w:numFmt w:val="decimal"/>
      <w:suff w:val="nothing"/>
      <w:lvlText w:val="%1、"/>
      <w:lvlJc w:val="left"/>
    </w:lvl>
  </w:abstractNum>
  <w:abstractNum w:abstractNumId="12">
    <w:nsid w:val="F03C1132"/>
    <w:multiLevelType w:val="singleLevel"/>
    <w:tmpl w:val="F03C1132"/>
    <w:lvl w:ilvl="0" w:tentative="0">
      <w:start w:val="1"/>
      <w:numFmt w:val="decimal"/>
      <w:suff w:val="nothing"/>
      <w:lvlText w:val="%1、"/>
      <w:lvlJc w:val="left"/>
    </w:lvl>
  </w:abstractNum>
  <w:abstractNum w:abstractNumId="13">
    <w:nsid w:val="F063513B"/>
    <w:multiLevelType w:val="singleLevel"/>
    <w:tmpl w:val="F063513B"/>
    <w:lvl w:ilvl="0" w:tentative="0">
      <w:start w:val="1"/>
      <w:numFmt w:val="decimal"/>
      <w:suff w:val="nothing"/>
      <w:lvlText w:val="%1、"/>
      <w:lvlJc w:val="left"/>
    </w:lvl>
  </w:abstractNum>
  <w:abstractNum w:abstractNumId="14">
    <w:nsid w:val="FFF9E4C2"/>
    <w:multiLevelType w:val="singleLevel"/>
    <w:tmpl w:val="FFF9E4C2"/>
    <w:lvl w:ilvl="0" w:tentative="0">
      <w:start w:val="1"/>
      <w:numFmt w:val="decimalEnclosedCircleChinese"/>
      <w:suff w:val="space"/>
      <w:lvlText w:val="%1"/>
      <w:lvlJc w:val="left"/>
      <w:rPr>
        <w:rFonts w:hint="eastAsia"/>
      </w:rPr>
    </w:lvl>
  </w:abstractNum>
  <w:abstractNum w:abstractNumId="15">
    <w:nsid w:val="01696CC6"/>
    <w:multiLevelType w:val="singleLevel"/>
    <w:tmpl w:val="01696CC6"/>
    <w:lvl w:ilvl="0" w:tentative="0">
      <w:start w:val="1"/>
      <w:numFmt w:val="decimal"/>
      <w:suff w:val="nothing"/>
      <w:lvlText w:val="（%1）"/>
      <w:lvlJc w:val="left"/>
    </w:lvl>
  </w:abstractNum>
  <w:abstractNum w:abstractNumId="16">
    <w:nsid w:val="02461E7D"/>
    <w:multiLevelType w:val="singleLevel"/>
    <w:tmpl w:val="02461E7D"/>
    <w:lvl w:ilvl="0" w:tentative="0">
      <w:start w:val="1"/>
      <w:numFmt w:val="decimal"/>
      <w:suff w:val="nothing"/>
      <w:lvlText w:val="（%1）"/>
      <w:lvlJc w:val="left"/>
    </w:lvl>
  </w:abstractNum>
  <w:abstractNum w:abstractNumId="17">
    <w:nsid w:val="038AA07A"/>
    <w:multiLevelType w:val="singleLevel"/>
    <w:tmpl w:val="038AA07A"/>
    <w:lvl w:ilvl="0" w:tentative="0">
      <w:start w:val="1"/>
      <w:numFmt w:val="decimal"/>
      <w:suff w:val="nothing"/>
      <w:lvlText w:val="（%1）"/>
      <w:lvlJc w:val="left"/>
    </w:lvl>
  </w:abstractNum>
  <w:abstractNum w:abstractNumId="18">
    <w:nsid w:val="072E998B"/>
    <w:multiLevelType w:val="singleLevel"/>
    <w:tmpl w:val="072E998B"/>
    <w:lvl w:ilvl="0" w:tentative="0">
      <w:start w:val="1"/>
      <w:numFmt w:val="decimal"/>
      <w:suff w:val="nothing"/>
      <w:lvlText w:val="（%1）"/>
      <w:lvlJc w:val="left"/>
    </w:lvl>
  </w:abstractNum>
  <w:abstractNum w:abstractNumId="19">
    <w:nsid w:val="0FF0F667"/>
    <w:multiLevelType w:val="singleLevel"/>
    <w:tmpl w:val="0FF0F667"/>
    <w:lvl w:ilvl="0" w:tentative="0">
      <w:start w:val="1"/>
      <w:numFmt w:val="decimal"/>
      <w:suff w:val="nothing"/>
      <w:lvlText w:val="（%1）"/>
      <w:lvlJc w:val="left"/>
    </w:lvl>
  </w:abstractNum>
  <w:abstractNum w:abstractNumId="20">
    <w:nsid w:val="1C734FDC"/>
    <w:multiLevelType w:val="singleLevel"/>
    <w:tmpl w:val="1C734FDC"/>
    <w:lvl w:ilvl="0" w:tentative="0">
      <w:start w:val="1"/>
      <w:numFmt w:val="decimal"/>
      <w:suff w:val="nothing"/>
      <w:lvlText w:val="（%1）"/>
      <w:lvlJc w:val="left"/>
    </w:lvl>
  </w:abstractNum>
  <w:abstractNum w:abstractNumId="21">
    <w:nsid w:val="21432364"/>
    <w:multiLevelType w:val="singleLevel"/>
    <w:tmpl w:val="21432364"/>
    <w:lvl w:ilvl="0" w:tentative="0">
      <w:start w:val="1"/>
      <w:numFmt w:val="decimal"/>
      <w:suff w:val="nothing"/>
      <w:lvlText w:val="（%1）"/>
      <w:lvlJc w:val="left"/>
    </w:lvl>
  </w:abstractNum>
  <w:abstractNum w:abstractNumId="22">
    <w:nsid w:val="29F3B1DE"/>
    <w:multiLevelType w:val="singleLevel"/>
    <w:tmpl w:val="29F3B1DE"/>
    <w:lvl w:ilvl="0" w:tentative="0">
      <w:start w:val="1"/>
      <w:numFmt w:val="decimal"/>
      <w:suff w:val="nothing"/>
      <w:lvlText w:val="（%1）"/>
      <w:lvlJc w:val="left"/>
    </w:lvl>
  </w:abstractNum>
  <w:abstractNum w:abstractNumId="23">
    <w:nsid w:val="3CFEF2C8"/>
    <w:multiLevelType w:val="singleLevel"/>
    <w:tmpl w:val="3CFEF2C8"/>
    <w:lvl w:ilvl="0" w:tentative="0">
      <w:start w:val="1"/>
      <w:numFmt w:val="decimal"/>
      <w:suff w:val="nothing"/>
      <w:lvlText w:val="（%1）"/>
      <w:lvlJc w:val="left"/>
    </w:lvl>
  </w:abstractNum>
  <w:abstractNum w:abstractNumId="24">
    <w:nsid w:val="3F6D92FD"/>
    <w:multiLevelType w:val="singleLevel"/>
    <w:tmpl w:val="3F6D92FD"/>
    <w:lvl w:ilvl="0" w:tentative="0">
      <w:start w:val="1"/>
      <w:numFmt w:val="decimal"/>
      <w:suff w:val="nothing"/>
      <w:lvlText w:val="（%1）"/>
      <w:lvlJc w:val="left"/>
    </w:lvl>
  </w:abstractNum>
  <w:abstractNum w:abstractNumId="25">
    <w:nsid w:val="4168A59C"/>
    <w:multiLevelType w:val="singleLevel"/>
    <w:tmpl w:val="4168A59C"/>
    <w:lvl w:ilvl="0" w:tentative="0">
      <w:start w:val="1"/>
      <w:numFmt w:val="decimal"/>
      <w:suff w:val="nothing"/>
      <w:lvlText w:val="（%1）"/>
      <w:lvlJc w:val="left"/>
    </w:lvl>
  </w:abstractNum>
  <w:abstractNum w:abstractNumId="26">
    <w:nsid w:val="502A8886"/>
    <w:multiLevelType w:val="singleLevel"/>
    <w:tmpl w:val="502A8886"/>
    <w:lvl w:ilvl="0" w:tentative="0">
      <w:start w:val="1"/>
      <w:numFmt w:val="decimal"/>
      <w:suff w:val="nothing"/>
      <w:lvlText w:val="（%1）"/>
      <w:lvlJc w:val="left"/>
    </w:lvl>
  </w:abstractNum>
  <w:abstractNum w:abstractNumId="27">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B3CDA16"/>
    <w:multiLevelType w:val="singleLevel"/>
    <w:tmpl w:val="5B3CDA16"/>
    <w:lvl w:ilvl="0" w:tentative="0">
      <w:start w:val="1"/>
      <w:numFmt w:val="chineseCounting"/>
      <w:suff w:val="nothing"/>
      <w:lvlText w:val="%1、"/>
      <w:lvlJc w:val="left"/>
      <w:rPr>
        <w:rFonts w:hint="eastAsia"/>
      </w:rPr>
    </w:lvl>
  </w:abstractNum>
  <w:abstractNum w:abstractNumId="29">
    <w:nsid w:val="5F348103"/>
    <w:multiLevelType w:val="singleLevel"/>
    <w:tmpl w:val="5F348103"/>
    <w:lvl w:ilvl="0" w:tentative="0">
      <w:start w:val="1"/>
      <w:numFmt w:val="decimal"/>
      <w:suff w:val="nothing"/>
      <w:lvlText w:val="（%1）"/>
      <w:lvlJc w:val="left"/>
    </w:lvl>
  </w:abstractNum>
  <w:abstractNum w:abstractNumId="30">
    <w:nsid w:val="70B67868"/>
    <w:multiLevelType w:val="singleLevel"/>
    <w:tmpl w:val="70B67868"/>
    <w:lvl w:ilvl="0" w:tentative="0">
      <w:start w:val="1"/>
      <w:numFmt w:val="decimal"/>
      <w:suff w:val="nothing"/>
      <w:lvlText w:val="（%1）"/>
      <w:lvlJc w:val="left"/>
    </w:lvl>
  </w:abstractNum>
  <w:num w:numId="1">
    <w:abstractNumId w:val="2"/>
  </w:num>
  <w:num w:numId="2">
    <w:abstractNumId w:val="25"/>
  </w:num>
  <w:num w:numId="3">
    <w:abstractNumId w:val="8"/>
  </w:num>
  <w:num w:numId="4">
    <w:abstractNumId w:val="6"/>
  </w:num>
  <w:num w:numId="5">
    <w:abstractNumId w:val="24"/>
  </w:num>
  <w:num w:numId="6">
    <w:abstractNumId w:val="19"/>
  </w:num>
  <w:num w:numId="7">
    <w:abstractNumId w:val="27"/>
  </w:num>
  <w:num w:numId="8">
    <w:abstractNumId w:val="7"/>
  </w:num>
  <w:num w:numId="9">
    <w:abstractNumId w:val="15"/>
  </w:num>
  <w:num w:numId="10">
    <w:abstractNumId w:val="22"/>
  </w:num>
  <w:num w:numId="11">
    <w:abstractNumId w:val="23"/>
  </w:num>
  <w:num w:numId="12">
    <w:abstractNumId w:val="3"/>
  </w:num>
  <w:num w:numId="13">
    <w:abstractNumId w:val="5"/>
  </w:num>
  <w:num w:numId="14">
    <w:abstractNumId w:val="30"/>
  </w:num>
  <w:num w:numId="15">
    <w:abstractNumId w:val="12"/>
  </w:num>
  <w:num w:numId="16">
    <w:abstractNumId w:val="26"/>
  </w:num>
  <w:num w:numId="17">
    <w:abstractNumId w:val="14"/>
  </w:num>
  <w:num w:numId="18">
    <w:abstractNumId w:val="21"/>
  </w:num>
  <w:num w:numId="19">
    <w:abstractNumId w:val="11"/>
  </w:num>
  <w:num w:numId="20">
    <w:abstractNumId w:val="4"/>
  </w:num>
  <w:num w:numId="21">
    <w:abstractNumId w:val="18"/>
  </w:num>
  <w:num w:numId="22">
    <w:abstractNumId w:val="28"/>
  </w:num>
  <w:num w:numId="23">
    <w:abstractNumId w:val="13"/>
  </w:num>
  <w:num w:numId="24">
    <w:abstractNumId w:val="1"/>
  </w:num>
  <w:num w:numId="25">
    <w:abstractNumId w:val="29"/>
  </w:num>
  <w:num w:numId="26">
    <w:abstractNumId w:val="9"/>
  </w:num>
  <w:num w:numId="27">
    <w:abstractNumId w:val="10"/>
  </w:num>
  <w:num w:numId="28">
    <w:abstractNumId w:val="20"/>
  </w:num>
  <w:num w:numId="29">
    <w:abstractNumId w:val="16"/>
  </w:num>
  <w:num w:numId="30">
    <w:abstractNumId w:val="1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711431A"/>
    <w:rsid w:val="08AD32B0"/>
    <w:rsid w:val="0B0223E3"/>
    <w:rsid w:val="0B4367D9"/>
    <w:rsid w:val="0DB012BD"/>
    <w:rsid w:val="0E657CCB"/>
    <w:rsid w:val="0ED95B69"/>
    <w:rsid w:val="100C0BDC"/>
    <w:rsid w:val="124B0BC6"/>
    <w:rsid w:val="17C10ED7"/>
    <w:rsid w:val="20C20CA1"/>
    <w:rsid w:val="21E4264F"/>
    <w:rsid w:val="254A619A"/>
    <w:rsid w:val="2C57657A"/>
    <w:rsid w:val="2F890CCE"/>
    <w:rsid w:val="302F661F"/>
    <w:rsid w:val="32EC6656"/>
    <w:rsid w:val="36E027A1"/>
    <w:rsid w:val="37634D3C"/>
    <w:rsid w:val="39022A5D"/>
    <w:rsid w:val="44767004"/>
    <w:rsid w:val="44A12A90"/>
    <w:rsid w:val="47883AB7"/>
    <w:rsid w:val="47BF0951"/>
    <w:rsid w:val="484F3B09"/>
    <w:rsid w:val="4C843543"/>
    <w:rsid w:val="4DC51E28"/>
    <w:rsid w:val="4EB11F17"/>
    <w:rsid w:val="5014056C"/>
    <w:rsid w:val="54CC0386"/>
    <w:rsid w:val="56F444CB"/>
    <w:rsid w:val="5B3648B4"/>
    <w:rsid w:val="5CC26C73"/>
    <w:rsid w:val="5E242803"/>
    <w:rsid w:val="600274E1"/>
    <w:rsid w:val="615A148F"/>
    <w:rsid w:val="6275397A"/>
    <w:rsid w:val="682D30C7"/>
    <w:rsid w:val="691E0569"/>
    <w:rsid w:val="719A4603"/>
    <w:rsid w:val="75D0142E"/>
    <w:rsid w:val="76CD1AAF"/>
    <w:rsid w:val="7D53312E"/>
    <w:rsid w:val="7E2B53D2"/>
    <w:rsid w:val="7F153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HAnsi" w:cstheme="minorBidi"/>
      <w:sz w:val="20"/>
      <w:szCs w:val="20"/>
    </w:rPr>
  </w:style>
  <w:style w:type="paragraph" w:customStyle="1" w:styleId="13">
    <w:name w:val="WPSOffice手动目录 2"/>
    <w:qFormat/>
    <w:uiPriority w:val="0"/>
    <w:pPr>
      <w:ind w:leftChars="200"/>
    </w:pPr>
    <w:rPr>
      <w:rFonts w:asciiTheme="minorHAnsi" w:hAnsiTheme="minorHAnsi" w:eastAsiaTheme="minorHAnsi" w:cstheme="minorBidi"/>
      <w:sz w:val="20"/>
      <w:szCs w:val="20"/>
    </w:rPr>
  </w:style>
  <w:style w:type="paragraph" w:customStyle="1" w:styleId="14">
    <w:name w:val="WPSOffice手动目录 3"/>
    <w:qFormat/>
    <w:uiPriority w:val="0"/>
    <w:pPr>
      <w:ind w:leftChars="400"/>
    </w:pPr>
    <w:rPr>
      <w:rFonts w:asciiTheme="minorHAnsi" w:hAnsiTheme="minorHAnsi" w:eastAsiaTheme="minorHAnsi" w:cstheme="minorBidi"/>
      <w:sz w:val="20"/>
      <w:szCs w:val="20"/>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6">
    <w:name w:val="font41"/>
    <w:basedOn w:val="11"/>
    <w:qFormat/>
    <w:uiPriority w:val="0"/>
    <w:rPr>
      <w:rFonts w:hint="eastAsia" w:ascii="MingLiU" w:hAnsi="MingLiU" w:eastAsia="MingLiU" w:cs="MingLiU"/>
      <w:color w:val="000000"/>
      <w:sz w:val="22"/>
      <w:szCs w:val="22"/>
      <w:u w:val="none"/>
    </w:rPr>
  </w:style>
  <w:style w:type="character" w:customStyle="1" w:styleId="17">
    <w:name w:val="font31"/>
    <w:basedOn w:val="11"/>
    <w:qFormat/>
    <w:uiPriority w:val="0"/>
    <w:rPr>
      <w:rFonts w:hint="default" w:ascii="Times New Roman" w:hAnsi="Times New Roman" w:cs="Times New Roman"/>
      <w:b/>
      <w:color w:val="000000"/>
      <w:sz w:val="22"/>
      <w:szCs w:val="22"/>
      <w:u w:val="none"/>
    </w:rPr>
  </w:style>
  <w:style w:type="character" w:customStyle="1" w:styleId="18">
    <w:name w:val="font01"/>
    <w:basedOn w:val="11"/>
    <w:qFormat/>
    <w:uiPriority w:val="0"/>
    <w:rPr>
      <w:rFonts w:hint="default" w:ascii="Times New Roman" w:hAnsi="Times New Roman" w:cs="Times New Roman"/>
      <w:color w:val="000000"/>
      <w:sz w:val="24"/>
      <w:szCs w:val="24"/>
      <w:u w:val="none"/>
    </w:rPr>
  </w:style>
  <w:style w:type="character" w:customStyle="1" w:styleId="19">
    <w:name w:val="font21"/>
    <w:basedOn w:val="11"/>
    <w:qFormat/>
    <w:uiPriority w:val="0"/>
    <w:rPr>
      <w:rFonts w:hint="default" w:ascii="Arial" w:hAnsi="Arial" w:cs="Arial"/>
      <w:i/>
      <w:color w:val="000000"/>
      <w:sz w:val="20"/>
      <w:szCs w:val="20"/>
      <w:u w:val="none"/>
    </w:rPr>
  </w:style>
  <w:style w:type="character" w:customStyle="1" w:styleId="20">
    <w:name w:val="font11"/>
    <w:basedOn w:val="11"/>
    <w:qFormat/>
    <w:uiPriority w:val="0"/>
    <w:rPr>
      <w:rFonts w:hint="default" w:ascii="Times New Roman" w:hAnsi="Times New Roman" w:cs="Times New Roman"/>
      <w:b/>
      <w:color w:val="000000"/>
      <w:sz w:val="18"/>
      <w:szCs w:val="18"/>
      <w:u w:val="none"/>
    </w:rPr>
  </w:style>
  <w:style w:type="character" w:customStyle="1" w:styleId="21">
    <w:name w:val="font61"/>
    <w:basedOn w:val="11"/>
    <w:qFormat/>
    <w:uiPriority w:val="0"/>
    <w:rPr>
      <w:rFonts w:hint="eastAsia" w:ascii="MingLiU" w:hAnsi="MingLiU" w:eastAsia="MingLiU" w:cs="MingLiU"/>
      <w:color w:val="000000"/>
      <w:sz w:val="14"/>
      <w:szCs w:val="14"/>
      <w:u w:val="none"/>
    </w:rPr>
  </w:style>
  <w:style w:type="character" w:customStyle="1" w:styleId="22">
    <w:name w:val="font51"/>
    <w:basedOn w:val="11"/>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2020-09-23T01:50:21Z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