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right"/>
        <w:rPr>
          <w:rFonts w:hint="eastAsia" w:ascii="Times New Roman" w:hAnsi="Times New Roman" w:cs="Times New Roman"/>
          <w:sz w:val="28"/>
          <w:szCs w:val="28"/>
          <w:lang w:eastAsia="zh-CN"/>
        </w:rPr>
      </w:pPr>
      <w:r>
        <w:rPr>
          <w:rFonts w:hint="eastAsia"/>
          <w:sz w:val="28"/>
          <w:szCs w:val="28"/>
          <w:lang w:eastAsia="zh-CN"/>
        </w:rPr>
        <w:t>项目编号：</w:t>
      </w:r>
      <w:r>
        <w:rPr>
          <w:rFonts w:hint="default" w:ascii="Times New Roman" w:hAnsi="Times New Roman" w:cs="Times New Roman"/>
          <w:sz w:val="28"/>
          <w:szCs w:val="28"/>
          <w:lang w:eastAsia="zh-CN"/>
        </w:rPr>
        <w:t>MDJ20-0064</w:t>
      </w:r>
      <w:r>
        <w:rPr>
          <w:rFonts w:hint="eastAsia" w:ascii="Times New Roman" w:hAnsi="Times New Roman" w:cs="Times New Roman"/>
          <w:sz w:val="28"/>
          <w:szCs w:val="28"/>
          <w:lang w:eastAsia="zh-CN"/>
        </w:rPr>
        <w:t>（</w:t>
      </w:r>
      <w:r>
        <w:rPr>
          <w:rFonts w:hint="eastAsia" w:ascii="Times New Roman" w:hAnsi="Times New Roman" w:cs="Times New Roman"/>
          <w:sz w:val="28"/>
          <w:szCs w:val="28"/>
          <w:lang w:val="en-US" w:eastAsia="zh-CN"/>
        </w:rPr>
        <w:t>2</w:t>
      </w:r>
      <w:r>
        <w:rPr>
          <w:rFonts w:hint="eastAsia" w:ascii="Times New Roman" w:hAnsi="Times New Roman" w:cs="Times New Roman"/>
          <w:sz w:val="28"/>
          <w:szCs w:val="28"/>
          <w:lang w:eastAsia="zh-CN"/>
        </w:rPr>
        <w:t>）</w:t>
      </w:r>
    </w:p>
    <w:p>
      <w:pPr>
        <w:jc w:val="center"/>
        <w:rPr>
          <w:rFonts w:hint="eastAsia" w:ascii="仿宋" w:hAnsi="仿宋" w:eastAsia="仿宋" w:cs="仿宋"/>
          <w:sz w:val="32"/>
          <w:szCs w:val="32"/>
          <w:lang w:eastAsia="zh-CN"/>
        </w:rPr>
      </w:pPr>
    </w:p>
    <w:p>
      <w:pPr>
        <w:jc w:val="center"/>
        <w:rPr>
          <w:rFonts w:hint="eastAsia" w:ascii="仿宋" w:hAnsi="仿宋" w:eastAsia="仿宋" w:cs="仿宋"/>
          <w:sz w:val="32"/>
          <w:szCs w:val="32"/>
          <w:lang w:eastAsia="zh-CN"/>
        </w:rPr>
      </w:pPr>
    </w:p>
    <w:p>
      <w:pPr>
        <w:jc w:val="center"/>
        <w:rPr>
          <w:rFonts w:hint="eastAsia" w:ascii="仿宋" w:hAnsi="仿宋" w:eastAsia="仿宋" w:cs="仿宋"/>
          <w:sz w:val="32"/>
          <w:szCs w:val="32"/>
          <w:lang w:eastAsia="zh-CN"/>
        </w:rPr>
      </w:pPr>
    </w:p>
    <w:p>
      <w:pPr>
        <w:jc w:val="center"/>
        <w:rPr>
          <w:rFonts w:hint="eastAsia" w:ascii="仿宋" w:hAnsi="仿宋" w:eastAsia="仿宋" w:cs="仿宋"/>
          <w:sz w:val="32"/>
          <w:szCs w:val="32"/>
          <w:lang w:eastAsia="zh-CN"/>
        </w:rPr>
      </w:pPr>
      <w:r>
        <w:rPr>
          <w:rFonts w:hint="eastAsia" w:ascii="仿宋" w:hAnsi="仿宋" w:eastAsia="仿宋" w:cs="仿宋"/>
          <w:sz w:val="32"/>
          <w:szCs w:val="32"/>
          <w:lang w:eastAsia="zh-CN"/>
        </w:rPr>
        <w:t>贵阳高新技术产业经济带沙文生态科技产业园</w:t>
      </w:r>
    </w:p>
    <w:p>
      <w:pPr>
        <w:jc w:val="center"/>
        <w:rPr>
          <w:rFonts w:hint="eastAsia" w:ascii="仿宋" w:hAnsi="仿宋" w:eastAsia="仿宋" w:cs="仿宋"/>
          <w:sz w:val="32"/>
          <w:szCs w:val="32"/>
          <w:lang w:eastAsia="zh-CN"/>
        </w:rPr>
      </w:pPr>
      <w:r>
        <w:rPr>
          <w:rFonts w:hint="eastAsia" w:ascii="仿宋" w:hAnsi="仿宋" w:eastAsia="仿宋" w:cs="仿宋"/>
          <w:sz w:val="32"/>
          <w:szCs w:val="32"/>
          <w:lang w:eastAsia="zh-CN"/>
        </w:rPr>
        <w:t>金苏大道道路工程</w:t>
      </w:r>
    </w:p>
    <w:p>
      <w:pPr>
        <w:jc w:val="center"/>
        <w:rPr>
          <w:rFonts w:hint="eastAsia" w:ascii="黑体" w:hAnsi="黑体" w:eastAsia="黑体" w:cs="黑体"/>
          <w:sz w:val="52"/>
          <w:szCs w:val="52"/>
          <w:lang w:eastAsia="zh-CN"/>
        </w:rPr>
      </w:pPr>
      <w:r>
        <w:rPr>
          <w:rFonts w:hint="eastAsia" w:ascii="黑体" w:hAnsi="黑体" w:eastAsia="黑体" w:cs="黑体"/>
          <w:sz w:val="52"/>
          <w:szCs w:val="52"/>
          <w:lang w:eastAsia="zh-CN"/>
        </w:rPr>
        <w:t>竣工环境保护验收调查报告</w:t>
      </w:r>
    </w:p>
    <w:p>
      <w:pPr>
        <w:jc w:val="left"/>
        <w:rPr>
          <w:rFonts w:hint="eastAsia" w:ascii="仿宋" w:hAnsi="仿宋" w:eastAsia="仿宋" w:cs="仿宋"/>
          <w:sz w:val="32"/>
          <w:szCs w:val="32"/>
          <w:lang w:eastAsia="zh-CN"/>
        </w:rPr>
      </w:pPr>
    </w:p>
    <w:p>
      <w:pPr>
        <w:jc w:val="left"/>
        <w:rPr>
          <w:rFonts w:hint="eastAsia" w:ascii="仿宋" w:hAnsi="仿宋" w:eastAsia="仿宋" w:cs="仿宋"/>
          <w:sz w:val="32"/>
          <w:szCs w:val="32"/>
          <w:lang w:eastAsia="zh-CN"/>
        </w:rPr>
      </w:pPr>
    </w:p>
    <w:p>
      <w:pPr>
        <w:jc w:val="left"/>
        <w:rPr>
          <w:rFonts w:hint="eastAsia" w:ascii="仿宋" w:hAnsi="仿宋" w:eastAsia="仿宋" w:cs="仿宋"/>
          <w:sz w:val="32"/>
          <w:szCs w:val="32"/>
          <w:lang w:eastAsia="zh-CN"/>
        </w:rPr>
      </w:pPr>
    </w:p>
    <w:p>
      <w:pPr>
        <w:jc w:val="left"/>
        <w:rPr>
          <w:rFonts w:hint="eastAsia" w:ascii="仿宋" w:hAnsi="仿宋" w:eastAsia="仿宋" w:cs="仿宋"/>
          <w:sz w:val="32"/>
          <w:szCs w:val="32"/>
          <w:lang w:eastAsia="zh-CN"/>
        </w:rPr>
      </w:pPr>
    </w:p>
    <w:p>
      <w:pPr>
        <w:jc w:val="left"/>
        <w:rPr>
          <w:rFonts w:hint="eastAsia" w:ascii="仿宋" w:hAnsi="仿宋" w:eastAsia="仿宋" w:cs="仿宋"/>
          <w:sz w:val="32"/>
          <w:szCs w:val="32"/>
          <w:lang w:eastAsia="zh-CN"/>
        </w:rPr>
      </w:pPr>
    </w:p>
    <w:p>
      <w:pPr>
        <w:jc w:val="left"/>
        <w:rPr>
          <w:rFonts w:hint="eastAsia" w:ascii="仿宋" w:hAnsi="仿宋" w:eastAsia="仿宋" w:cs="仿宋"/>
          <w:sz w:val="32"/>
          <w:szCs w:val="32"/>
          <w:lang w:eastAsia="zh-CN"/>
        </w:rPr>
      </w:pPr>
    </w:p>
    <w:p>
      <w:pPr>
        <w:ind w:firstLine="960" w:firstLineChars="300"/>
        <w:jc w:val="left"/>
        <w:rPr>
          <w:rFonts w:hint="eastAsia" w:ascii="仿宋" w:hAnsi="仿宋" w:eastAsia="仿宋" w:cs="仿宋"/>
          <w:sz w:val="32"/>
          <w:szCs w:val="32"/>
          <w:lang w:eastAsia="zh-CN"/>
        </w:rPr>
      </w:pPr>
      <w:r>
        <w:rPr>
          <w:rFonts w:hint="eastAsia" w:ascii="仿宋" w:hAnsi="仿宋" w:eastAsia="仿宋" w:cs="仿宋"/>
          <w:sz w:val="32"/>
          <w:szCs w:val="32"/>
          <w:lang w:eastAsia="zh-CN"/>
        </w:rPr>
        <w:t>建设单位：贵阳高科控股集团有限公司</w:t>
      </w:r>
    </w:p>
    <w:p>
      <w:pPr>
        <w:ind w:firstLine="960" w:firstLineChars="300"/>
        <w:jc w:val="left"/>
        <w:rPr>
          <w:rFonts w:hint="eastAsia" w:ascii="仿宋" w:hAnsi="仿宋" w:eastAsia="仿宋" w:cs="仿宋"/>
          <w:sz w:val="32"/>
          <w:szCs w:val="32"/>
          <w:lang w:eastAsia="zh-CN"/>
        </w:rPr>
      </w:pPr>
    </w:p>
    <w:p>
      <w:pPr>
        <w:ind w:firstLine="960" w:firstLineChars="300"/>
        <w:jc w:val="left"/>
        <w:rPr>
          <w:rFonts w:hint="eastAsia" w:ascii="仿宋" w:hAnsi="仿宋" w:eastAsia="仿宋" w:cs="仿宋"/>
          <w:sz w:val="32"/>
          <w:szCs w:val="32"/>
          <w:lang w:eastAsia="zh-CN"/>
        </w:rPr>
      </w:pPr>
      <w:r>
        <w:rPr>
          <w:rFonts w:hint="eastAsia" w:ascii="仿宋" w:hAnsi="仿宋" w:eastAsia="仿宋" w:cs="仿宋"/>
          <w:sz w:val="32"/>
          <w:szCs w:val="32"/>
          <w:lang w:eastAsia="zh-CN"/>
        </w:rPr>
        <w:t>委托单位：贵阳高科控股集团有限公司</w:t>
      </w:r>
    </w:p>
    <w:p>
      <w:pPr>
        <w:ind w:firstLine="960" w:firstLineChars="300"/>
        <w:jc w:val="left"/>
        <w:rPr>
          <w:rFonts w:hint="eastAsia" w:ascii="仿宋" w:hAnsi="仿宋" w:eastAsia="仿宋" w:cs="仿宋"/>
          <w:sz w:val="32"/>
          <w:szCs w:val="32"/>
          <w:lang w:eastAsia="zh-CN"/>
        </w:rPr>
      </w:pPr>
    </w:p>
    <w:p>
      <w:pPr>
        <w:ind w:firstLine="960" w:firstLineChars="300"/>
        <w:jc w:val="left"/>
        <w:rPr>
          <w:rFonts w:hint="eastAsia" w:ascii="仿宋" w:hAnsi="仿宋" w:eastAsia="仿宋" w:cs="仿宋"/>
          <w:sz w:val="32"/>
          <w:szCs w:val="32"/>
          <w:lang w:eastAsia="zh-CN"/>
        </w:rPr>
      </w:pPr>
      <w:r>
        <w:rPr>
          <w:rFonts w:hint="eastAsia" w:ascii="仿宋" w:hAnsi="仿宋" w:eastAsia="仿宋" w:cs="仿宋"/>
          <w:sz w:val="32"/>
          <w:szCs w:val="32"/>
          <w:lang w:eastAsia="zh-CN"/>
        </w:rPr>
        <w:t>调查单位：贵州明德工程咨询有限公司</w:t>
      </w:r>
    </w:p>
    <w:p>
      <w:pPr>
        <w:ind w:firstLine="960" w:firstLineChars="300"/>
        <w:jc w:val="left"/>
        <w:rPr>
          <w:rFonts w:hint="eastAsia" w:ascii="仿宋" w:hAnsi="仿宋" w:eastAsia="仿宋" w:cs="仿宋"/>
          <w:sz w:val="32"/>
          <w:szCs w:val="32"/>
          <w:lang w:eastAsia="zh-CN"/>
        </w:rPr>
      </w:pPr>
    </w:p>
    <w:p>
      <w:pPr>
        <w:ind w:firstLine="960" w:firstLineChars="300"/>
        <w:jc w:val="left"/>
        <w:rPr>
          <w:rFonts w:hint="eastAsia" w:ascii="仿宋" w:hAnsi="仿宋" w:eastAsia="仿宋" w:cs="仿宋"/>
          <w:sz w:val="32"/>
          <w:szCs w:val="32"/>
          <w:lang w:eastAsia="zh-CN"/>
        </w:rPr>
      </w:pPr>
      <w:r>
        <w:rPr>
          <w:rFonts w:hint="eastAsia" w:ascii="仿宋" w:hAnsi="仿宋" w:eastAsia="仿宋" w:cs="仿宋"/>
          <w:sz w:val="32"/>
          <w:szCs w:val="32"/>
          <w:lang w:eastAsia="zh-CN"/>
        </w:rPr>
        <w:t>完成时间：二零二零年九</w:t>
      </w:r>
      <w:bookmarkStart w:id="102" w:name="_GoBack"/>
      <w:bookmarkEnd w:id="102"/>
      <w:r>
        <w:rPr>
          <w:rFonts w:hint="eastAsia" w:ascii="仿宋" w:hAnsi="仿宋" w:eastAsia="仿宋" w:cs="仿宋"/>
          <w:sz w:val="32"/>
          <w:szCs w:val="32"/>
          <w:lang w:eastAsia="zh-CN"/>
        </w:rPr>
        <w:t>月</w:t>
      </w:r>
    </w:p>
    <w:p>
      <w:pPr>
        <w:rPr>
          <w:rFonts w:hint="eastAsia" w:ascii="仿宋" w:hAnsi="仿宋" w:eastAsia="仿宋" w:cs="仿宋"/>
          <w:sz w:val="32"/>
          <w:szCs w:val="32"/>
          <w:lang w:eastAsia="zh-CN"/>
        </w:rPr>
      </w:pPr>
      <w:r>
        <w:rPr>
          <w:rFonts w:hint="eastAsia" w:ascii="仿宋" w:hAnsi="仿宋" w:eastAsia="仿宋" w:cs="仿宋"/>
          <w:sz w:val="32"/>
          <w:szCs w:val="32"/>
          <w:lang w:eastAsia="zh-CN"/>
        </w:rPr>
        <w:br w:type="page"/>
      </w:r>
    </w:p>
    <w:p>
      <w:pPr>
        <w:jc w:val="left"/>
        <w:rPr>
          <w:rFonts w:hint="eastAsia" w:ascii="仿宋" w:hAnsi="仿宋" w:eastAsia="仿宋" w:cs="仿宋"/>
          <w:sz w:val="32"/>
          <w:szCs w:val="32"/>
          <w:lang w:val="en-US" w:eastAsia="zh-CN"/>
        </w:rPr>
      </w:pPr>
    </w:p>
    <w:p>
      <w:pPr>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调查单位名称：贵州明德工程咨询有限公司</w:t>
      </w:r>
    </w:p>
    <w:p>
      <w:pPr>
        <w:jc w:val="left"/>
        <w:rPr>
          <w:rFonts w:hint="eastAsia" w:ascii="仿宋" w:hAnsi="仿宋" w:eastAsia="仿宋" w:cs="仿宋"/>
          <w:sz w:val="32"/>
          <w:szCs w:val="32"/>
          <w:lang w:val="en-US" w:eastAsia="zh-CN"/>
        </w:rPr>
      </w:pPr>
    </w:p>
    <w:p>
      <w:pPr>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调查单位法人代表：吕均</w:t>
      </w:r>
    </w:p>
    <w:p>
      <w:pPr>
        <w:jc w:val="left"/>
        <w:rPr>
          <w:rFonts w:hint="eastAsia" w:ascii="仿宋" w:hAnsi="仿宋" w:eastAsia="仿宋" w:cs="仿宋"/>
          <w:sz w:val="32"/>
          <w:szCs w:val="32"/>
          <w:lang w:val="en-US" w:eastAsia="zh-CN"/>
        </w:rPr>
      </w:pPr>
    </w:p>
    <w:p>
      <w:pPr>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总技术负责人：唐田</w:t>
      </w:r>
    </w:p>
    <w:p>
      <w:pPr>
        <w:jc w:val="left"/>
        <w:rPr>
          <w:rFonts w:hint="eastAsia" w:ascii="仿宋" w:hAnsi="仿宋" w:eastAsia="仿宋" w:cs="仿宋"/>
          <w:sz w:val="32"/>
          <w:szCs w:val="32"/>
          <w:lang w:val="en-US" w:eastAsia="zh-CN"/>
        </w:rPr>
      </w:pPr>
    </w:p>
    <w:p>
      <w:pPr>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技术审核人：唐田</w:t>
      </w:r>
    </w:p>
    <w:p>
      <w:pPr>
        <w:jc w:val="left"/>
        <w:rPr>
          <w:rFonts w:hint="eastAsia" w:ascii="仿宋" w:hAnsi="仿宋" w:eastAsia="仿宋" w:cs="仿宋"/>
          <w:sz w:val="32"/>
          <w:szCs w:val="32"/>
          <w:lang w:val="en-US" w:eastAsia="zh-CN"/>
        </w:rPr>
      </w:pPr>
    </w:p>
    <w:p>
      <w:pPr>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项目负责人：杨雄</w:t>
      </w:r>
    </w:p>
    <w:p>
      <w:pPr>
        <w:jc w:val="left"/>
        <w:rPr>
          <w:rFonts w:hint="eastAsia" w:ascii="仿宋" w:hAnsi="仿宋" w:eastAsia="仿宋" w:cs="仿宋"/>
          <w:sz w:val="32"/>
          <w:szCs w:val="32"/>
          <w:lang w:val="en-US" w:eastAsia="zh-CN"/>
        </w:rPr>
      </w:pPr>
    </w:p>
    <w:p>
      <w:pPr>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编制人员：杨雄</w:t>
      </w:r>
    </w:p>
    <w:p>
      <w:pPr>
        <w:jc w:val="left"/>
        <w:rPr>
          <w:rFonts w:hint="eastAsia" w:ascii="仿宋" w:hAnsi="仿宋" w:eastAsia="仿宋" w:cs="仿宋"/>
          <w:sz w:val="32"/>
          <w:szCs w:val="32"/>
          <w:lang w:val="en-US" w:eastAsia="zh-CN"/>
        </w:rPr>
      </w:pPr>
    </w:p>
    <w:p>
      <w:pPr>
        <w:jc w:val="left"/>
        <w:rPr>
          <w:rFonts w:hint="eastAsia" w:ascii="仿宋" w:hAnsi="仿宋" w:eastAsia="仿宋" w:cs="仿宋"/>
          <w:sz w:val="32"/>
          <w:szCs w:val="32"/>
          <w:lang w:val="en-US" w:eastAsia="zh-CN"/>
        </w:rPr>
      </w:pPr>
    </w:p>
    <w:p>
      <w:pPr>
        <w:jc w:val="left"/>
        <w:rPr>
          <w:rFonts w:hint="eastAsia" w:ascii="仿宋" w:hAnsi="仿宋" w:eastAsia="仿宋" w:cs="仿宋"/>
          <w:sz w:val="32"/>
          <w:szCs w:val="32"/>
          <w:lang w:val="en-US" w:eastAsia="zh-CN"/>
        </w:rPr>
      </w:pPr>
    </w:p>
    <w:p>
      <w:pPr>
        <w:jc w:val="left"/>
        <w:rPr>
          <w:rFonts w:hint="eastAsia" w:ascii="仿宋" w:hAnsi="仿宋" w:eastAsia="仿宋" w:cs="仿宋"/>
          <w:sz w:val="32"/>
          <w:szCs w:val="32"/>
          <w:lang w:val="en-US" w:eastAsia="zh-CN"/>
        </w:rPr>
      </w:pPr>
    </w:p>
    <w:p>
      <w:pPr>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监测单位名称：贵州明德工程咨询有限公司</w:t>
      </w:r>
    </w:p>
    <w:p>
      <w:pPr>
        <w:jc w:val="left"/>
        <w:rPr>
          <w:rFonts w:hint="eastAsia" w:ascii="仿宋" w:hAnsi="仿宋" w:eastAsia="仿宋" w:cs="仿宋"/>
          <w:sz w:val="32"/>
          <w:szCs w:val="32"/>
          <w:lang w:val="en-US" w:eastAsia="zh-CN"/>
        </w:rPr>
      </w:pPr>
    </w:p>
    <w:p>
      <w:pPr>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监测单位参与人员：陶鹏程、彭登辉、周苹、罗芳、唐文香、翟凯吉、宋云</w:t>
      </w:r>
    </w:p>
    <w:p>
      <w:pPr>
        <w:jc w:val="left"/>
        <w:rPr>
          <w:rFonts w:hint="eastAsia" w:ascii="仿宋" w:hAnsi="仿宋" w:eastAsia="仿宋" w:cs="仿宋"/>
          <w:sz w:val="32"/>
          <w:szCs w:val="32"/>
          <w:lang w:val="en-US" w:eastAsia="zh-CN"/>
        </w:rPr>
      </w:pPr>
    </w:p>
    <w:p>
      <w:pPr>
        <w:rPr>
          <w:rFonts w:hint="default" w:ascii="仿宋" w:hAnsi="仿宋" w:eastAsia="仿宋" w:cs="仿宋"/>
          <w:sz w:val="32"/>
          <w:szCs w:val="32"/>
          <w:lang w:val="en-US" w:eastAsia="zh-CN"/>
        </w:rPr>
      </w:pPr>
      <w:r>
        <w:rPr>
          <w:rFonts w:hint="default" w:ascii="仿宋" w:hAnsi="仿宋" w:eastAsia="仿宋" w:cs="仿宋"/>
          <w:sz w:val="32"/>
          <w:szCs w:val="32"/>
          <w:lang w:val="en-US" w:eastAsia="zh-CN"/>
        </w:rPr>
        <w:br w:type="page"/>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6"/>
        <w:gridCol w:w="42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vAlign w:val="center"/>
          </w:tcPr>
          <w:p>
            <w:pPr>
              <w:jc w:val="center"/>
              <w:rPr>
                <w:rFonts w:hint="default" w:ascii="仿宋" w:hAnsi="仿宋" w:eastAsia="仿宋" w:cs="仿宋"/>
                <w:sz w:val="24"/>
                <w:szCs w:val="24"/>
                <w:vertAlign w:val="baseline"/>
                <w:lang w:val="en-US" w:eastAsia="zh-CN"/>
              </w:rPr>
            </w:pPr>
            <w:r>
              <w:rPr>
                <w:rFonts w:hint="default" w:ascii="仿宋" w:hAnsi="仿宋" w:eastAsia="仿宋" w:cs="仿宋"/>
                <w:sz w:val="24"/>
                <w:szCs w:val="24"/>
                <w:vertAlign w:val="baseline"/>
                <w:lang w:val="en-US" w:eastAsia="zh-CN"/>
              </w:rPr>
              <w:drawing>
                <wp:inline distT="0" distB="0" distL="114300" distR="114300">
                  <wp:extent cx="2560320" cy="1920240"/>
                  <wp:effectExtent l="0" t="0" r="11430" b="3810"/>
                  <wp:docPr id="85" name="图片 85" descr="IMG_20200518_14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IMG_20200518_141118"/>
                          <pic:cNvPicPr>
                            <a:picLocks noChangeAspect="1"/>
                          </pic:cNvPicPr>
                        </pic:nvPicPr>
                        <pic:blipFill>
                          <a:blip r:embed="rId6"/>
                          <a:stretch>
                            <a:fillRect/>
                          </a:stretch>
                        </pic:blipFill>
                        <pic:spPr>
                          <a:xfrm>
                            <a:off x="0" y="0"/>
                            <a:ext cx="2560320" cy="1920240"/>
                          </a:xfrm>
                          <a:prstGeom prst="rect">
                            <a:avLst/>
                          </a:prstGeom>
                        </pic:spPr>
                      </pic:pic>
                    </a:graphicData>
                  </a:graphic>
                </wp:inline>
              </w:drawing>
            </w:r>
          </w:p>
        </w:tc>
        <w:tc>
          <w:tcPr>
            <w:tcW w:w="4261" w:type="dxa"/>
            <w:vAlign w:val="center"/>
          </w:tcPr>
          <w:p>
            <w:pPr>
              <w:jc w:val="center"/>
              <w:rPr>
                <w:rFonts w:hint="default" w:ascii="仿宋" w:hAnsi="仿宋" w:eastAsia="仿宋" w:cs="仿宋"/>
                <w:sz w:val="24"/>
                <w:szCs w:val="24"/>
                <w:vertAlign w:val="baseline"/>
                <w:lang w:val="en-US" w:eastAsia="zh-CN"/>
              </w:rPr>
            </w:pPr>
            <w:r>
              <w:drawing>
                <wp:inline distT="0" distB="0" distL="114300" distR="114300">
                  <wp:extent cx="2560320" cy="1584325"/>
                  <wp:effectExtent l="0" t="0" r="11430" b="15875"/>
                  <wp:docPr id="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
                          <pic:cNvPicPr>
                            <a:picLocks noChangeAspect="1"/>
                          </pic:cNvPicPr>
                        </pic:nvPicPr>
                        <pic:blipFill>
                          <a:blip r:embed="rId7"/>
                          <a:stretch>
                            <a:fillRect/>
                          </a:stretch>
                        </pic:blipFill>
                        <pic:spPr>
                          <a:xfrm>
                            <a:off x="0" y="0"/>
                            <a:ext cx="2560320" cy="15843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vAlign w:val="center"/>
          </w:tcPr>
          <w:p>
            <w:pPr>
              <w:jc w:val="center"/>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金苏大道起点</w:t>
            </w:r>
          </w:p>
        </w:tc>
        <w:tc>
          <w:tcPr>
            <w:tcW w:w="4261" w:type="dxa"/>
            <w:vAlign w:val="center"/>
          </w:tcPr>
          <w:p>
            <w:pPr>
              <w:jc w:val="center"/>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1#弃土场现状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vAlign w:val="center"/>
          </w:tcPr>
          <w:p>
            <w:pPr>
              <w:jc w:val="center"/>
              <w:rPr>
                <w:rFonts w:hint="eastAsia" w:ascii="仿宋" w:hAnsi="仿宋" w:eastAsia="仿宋" w:cs="仿宋"/>
                <w:sz w:val="24"/>
                <w:szCs w:val="24"/>
                <w:vertAlign w:val="baseline"/>
                <w:lang w:val="en-US" w:eastAsia="zh-CN"/>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2576195" cy="1933575"/>
                  <wp:effectExtent l="0" t="0" r="14605" b="9525"/>
                  <wp:docPr id="3" name="图片 3" descr="IMG_1032(20200518-20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1032(20200518-201135)"/>
                          <pic:cNvPicPr>
                            <a:picLocks noChangeAspect="1"/>
                          </pic:cNvPicPr>
                        </pic:nvPicPr>
                        <pic:blipFill>
                          <a:blip r:embed="rId8"/>
                          <a:stretch>
                            <a:fillRect/>
                          </a:stretch>
                        </pic:blipFill>
                        <pic:spPr>
                          <a:xfrm>
                            <a:off x="0" y="0"/>
                            <a:ext cx="2576195" cy="1933575"/>
                          </a:xfrm>
                          <a:prstGeom prst="rect">
                            <a:avLst/>
                          </a:prstGeom>
                        </pic:spPr>
                      </pic:pic>
                    </a:graphicData>
                  </a:graphic>
                </wp:inline>
              </w:drawing>
            </w:r>
          </w:p>
        </w:tc>
        <w:tc>
          <w:tcPr>
            <w:tcW w:w="4261" w:type="dxa"/>
            <w:vAlign w:val="center"/>
          </w:tcPr>
          <w:p>
            <w:pPr>
              <w:jc w:val="center"/>
              <w:rPr>
                <w:rFonts w:hint="eastAsia" w:ascii="仿宋" w:hAnsi="仿宋" w:eastAsia="仿宋" w:cs="仿宋"/>
                <w:sz w:val="24"/>
                <w:szCs w:val="24"/>
                <w:vertAlign w:val="baseline"/>
                <w:lang w:val="en-US" w:eastAsia="zh-CN"/>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2515870" cy="1887855"/>
                  <wp:effectExtent l="0" t="0" r="17780" b="17145"/>
                  <wp:docPr id="8" name="图片 8" descr="IMG_0993(20200518-204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0993(20200518-204630)"/>
                          <pic:cNvPicPr>
                            <a:picLocks noChangeAspect="1"/>
                          </pic:cNvPicPr>
                        </pic:nvPicPr>
                        <pic:blipFill>
                          <a:blip r:embed="rId9"/>
                          <a:stretch>
                            <a:fillRect/>
                          </a:stretch>
                        </pic:blipFill>
                        <pic:spPr>
                          <a:xfrm>
                            <a:off x="0" y="0"/>
                            <a:ext cx="2515870" cy="18878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vAlign w:val="center"/>
          </w:tcPr>
          <w:p>
            <w:pPr>
              <w:jc w:val="center"/>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艳山红小学</w:t>
            </w:r>
          </w:p>
        </w:tc>
        <w:tc>
          <w:tcPr>
            <w:tcW w:w="4261" w:type="dxa"/>
            <w:vAlign w:val="center"/>
          </w:tcPr>
          <w:p>
            <w:pPr>
              <w:jc w:val="center"/>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沿线居民点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vAlign w:val="center"/>
          </w:tcPr>
          <w:p>
            <w:pPr>
              <w:jc w:val="center"/>
              <w:rPr>
                <w:rFonts w:hint="eastAsia" w:ascii="仿宋" w:hAnsi="仿宋" w:eastAsia="仿宋" w:cs="仿宋"/>
                <w:sz w:val="24"/>
                <w:szCs w:val="24"/>
                <w:vertAlign w:val="baseline"/>
                <w:lang w:val="en-US" w:eastAsia="zh-CN"/>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2570480" cy="1929130"/>
                  <wp:effectExtent l="0" t="0" r="1270" b="13970"/>
                  <wp:docPr id="87" name="图片 87" descr="IMG_0999(20200518-20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IMG_0999(20200518-204603)"/>
                          <pic:cNvPicPr>
                            <a:picLocks noChangeAspect="1"/>
                          </pic:cNvPicPr>
                        </pic:nvPicPr>
                        <pic:blipFill>
                          <a:blip r:embed="rId10"/>
                          <a:stretch>
                            <a:fillRect/>
                          </a:stretch>
                        </pic:blipFill>
                        <pic:spPr>
                          <a:xfrm>
                            <a:off x="0" y="0"/>
                            <a:ext cx="2570480" cy="1929130"/>
                          </a:xfrm>
                          <a:prstGeom prst="rect">
                            <a:avLst/>
                          </a:prstGeom>
                        </pic:spPr>
                      </pic:pic>
                    </a:graphicData>
                  </a:graphic>
                </wp:inline>
              </w:drawing>
            </w:r>
          </w:p>
        </w:tc>
        <w:tc>
          <w:tcPr>
            <w:tcW w:w="4261" w:type="dxa"/>
            <w:vAlign w:val="center"/>
          </w:tcPr>
          <w:p>
            <w:pPr>
              <w:jc w:val="center"/>
              <w:rPr>
                <w:rFonts w:hint="eastAsia" w:ascii="仿宋" w:hAnsi="仿宋" w:eastAsia="仿宋" w:cs="仿宋"/>
                <w:sz w:val="24"/>
                <w:szCs w:val="24"/>
                <w:vertAlign w:val="baseline"/>
                <w:lang w:val="en-US" w:eastAsia="zh-CN"/>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2531745" cy="1900555"/>
                  <wp:effectExtent l="0" t="0" r="1905" b="4445"/>
                  <wp:docPr id="9" name="图片 9" descr="IMG_0998(20200518-20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0998(20200518-204603)"/>
                          <pic:cNvPicPr>
                            <a:picLocks noChangeAspect="1"/>
                          </pic:cNvPicPr>
                        </pic:nvPicPr>
                        <pic:blipFill>
                          <a:blip r:embed="rId11"/>
                          <a:stretch>
                            <a:fillRect/>
                          </a:stretch>
                        </pic:blipFill>
                        <pic:spPr>
                          <a:xfrm>
                            <a:off x="0" y="0"/>
                            <a:ext cx="2531745" cy="19005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vAlign w:val="center"/>
          </w:tcPr>
          <w:p>
            <w:pPr>
              <w:jc w:val="center"/>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白云一中</w:t>
            </w:r>
          </w:p>
        </w:tc>
        <w:tc>
          <w:tcPr>
            <w:tcW w:w="4261" w:type="dxa"/>
            <w:vAlign w:val="center"/>
          </w:tcPr>
          <w:p>
            <w:pPr>
              <w:jc w:val="center"/>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贵铝医院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vAlign w:val="center"/>
          </w:tcPr>
          <w:p>
            <w:pPr>
              <w:jc w:val="center"/>
              <w:rPr>
                <w:rFonts w:hint="eastAsia" w:ascii="仿宋" w:hAnsi="仿宋" w:eastAsia="仿宋" w:cs="仿宋"/>
                <w:sz w:val="24"/>
                <w:szCs w:val="24"/>
                <w:vertAlign w:val="baseline"/>
                <w:lang w:val="en-US" w:eastAsia="zh-CN"/>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2516505" cy="1888490"/>
                  <wp:effectExtent l="0" t="0" r="17145" b="16510"/>
                  <wp:docPr id="88" name="图片 88" descr="IMG_1009(20200518-20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IMG_1009(20200518-204603)"/>
                          <pic:cNvPicPr>
                            <a:picLocks noChangeAspect="1"/>
                          </pic:cNvPicPr>
                        </pic:nvPicPr>
                        <pic:blipFill>
                          <a:blip r:embed="rId12"/>
                          <a:stretch>
                            <a:fillRect/>
                          </a:stretch>
                        </pic:blipFill>
                        <pic:spPr>
                          <a:xfrm>
                            <a:off x="0" y="0"/>
                            <a:ext cx="2516505" cy="1888490"/>
                          </a:xfrm>
                          <a:prstGeom prst="rect">
                            <a:avLst/>
                          </a:prstGeom>
                        </pic:spPr>
                      </pic:pic>
                    </a:graphicData>
                  </a:graphic>
                </wp:inline>
              </w:drawing>
            </w:r>
          </w:p>
        </w:tc>
        <w:tc>
          <w:tcPr>
            <w:tcW w:w="4261" w:type="dxa"/>
            <w:vAlign w:val="center"/>
          </w:tcPr>
          <w:p>
            <w:pPr>
              <w:jc w:val="center"/>
              <w:rPr>
                <w:rFonts w:hint="eastAsia" w:ascii="仿宋" w:hAnsi="仿宋" w:eastAsia="仿宋" w:cs="仿宋"/>
                <w:sz w:val="24"/>
                <w:szCs w:val="24"/>
                <w:vertAlign w:val="baseline"/>
                <w:lang w:val="en-US" w:eastAsia="zh-CN"/>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2548890" cy="1912620"/>
                  <wp:effectExtent l="0" t="0" r="3810" b="11430"/>
                  <wp:docPr id="89" name="图片 89" descr="IMG_1010(20200518-145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IMG_1010(20200518-145844)"/>
                          <pic:cNvPicPr>
                            <a:picLocks noChangeAspect="1"/>
                          </pic:cNvPicPr>
                        </pic:nvPicPr>
                        <pic:blipFill>
                          <a:blip r:embed="rId13"/>
                          <a:stretch>
                            <a:fillRect/>
                          </a:stretch>
                        </pic:blipFill>
                        <pic:spPr>
                          <a:xfrm>
                            <a:off x="0" y="0"/>
                            <a:ext cx="2548890" cy="19126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vAlign w:val="center"/>
          </w:tcPr>
          <w:p>
            <w:pPr>
              <w:jc w:val="center"/>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太阳湖滨河公园</w:t>
            </w:r>
          </w:p>
        </w:tc>
        <w:tc>
          <w:tcPr>
            <w:tcW w:w="4261" w:type="dxa"/>
            <w:vAlign w:val="center"/>
          </w:tcPr>
          <w:p>
            <w:pPr>
              <w:jc w:val="center"/>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沙子哨监狱</w:t>
            </w:r>
          </w:p>
        </w:tc>
      </w:tr>
    </w:tbl>
    <w:p>
      <w:pPr>
        <w:rPr>
          <w:rFonts w:hint="default" w:ascii="仿宋" w:hAnsi="仿宋" w:eastAsia="仿宋" w:cs="仿宋"/>
          <w:sz w:val="32"/>
          <w:szCs w:val="32"/>
          <w:lang w:val="en-US" w:eastAsia="zh-CN"/>
        </w:rPr>
      </w:pPr>
      <w:r>
        <w:rPr>
          <w:rFonts w:hint="default" w:ascii="仿宋" w:hAnsi="仿宋" w:eastAsia="仿宋" w:cs="仿宋"/>
          <w:sz w:val="32"/>
          <w:szCs w:val="32"/>
          <w:lang w:val="en-US" w:eastAsia="zh-CN"/>
        </w:rPr>
        <w:br w:type="page"/>
      </w:r>
    </w:p>
    <w:sdt>
      <w:sdtPr>
        <w:rPr>
          <w:rFonts w:ascii="宋体" w:hAnsi="宋体" w:eastAsia="宋体" w:cstheme="minorBidi"/>
          <w:kern w:val="2"/>
          <w:sz w:val="21"/>
          <w:szCs w:val="24"/>
          <w:lang w:val="en-US" w:eastAsia="zh-CN" w:bidi="ar-SA"/>
        </w:rPr>
        <w:id w:val="147478809"/>
        <w15:color w:val="DBDBDB"/>
        <w:docPartObj>
          <w:docPartGallery w:val="Table of Contents"/>
          <w:docPartUnique/>
        </w:docPartObj>
      </w:sdtPr>
      <w:sdtEndPr>
        <w:rPr>
          <w:rFonts w:hint="default" w:ascii="仿宋" w:hAnsi="仿宋" w:eastAsia="仿宋" w:cs="仿宋"/>
          <w:kern w:val="2"/>
          <w:sz w:val="21"/>
          <w:szCs w:val="32"/>
          <w:lang w:val="en-US" w:eastAsia="zh-CN" w:bidi="ar-SA"/>
        </w:rPr>
      </w:sdtEndPr>
      <w:sdtContent>
        <w:p>
          <w:pPr>
            <w:spacing w:before="0" w:beforeLines="0" w:after="0" w:afterLines="0" w:line="240" w:lineRule="auto"/>
            <w:ind w:left="0" w:leftChars="0" w:right="0" w:rightChars="0" w:firstLine="0" w:firstLineChars="0"/>
            <w:jc w:val="center"/>
          </w:pPr>
          <w:r>
            <w:rPr>
              <w:rFonts w:ascii="宋体" w:hAnsi="宋体" w:eastAsia="宋体"/>
              <w:sz w:val="21"/>
            </w:rPr>
            <w:t>目录</w:t>
          </w:r>
        </w:p>
        <w:p>
          <w:pPr>
            <w:pStyle w:val="7"/>
            <w:tabs>
              <w:tab w:val="right" w:leader="dot" w:pos="8306"/>
            </w:tabs>
          </w:pPr>
          <w:r>
            <w:rPr>
              <w:rFonts w:hint="default" w:ascii="仿宋" w:hAnsi="仿宋" w:eastAsia="仿宋" w:cs="仿宋"/>
              <w:sz w:val="32"/>
              <w:szCs w:val="32"/>
              <w:lang w:val="en-US" w:eastAsia="zh-CN"/>
            </w:rPr>
            <w:fldChar w:fldCharType="begin"/>
          </w:r>
          <w:r>
            <w:rPr>
              <w:rFonts w:hint="default" w:ascii="仿宋" w:hAnsi="仿宋" w:eastAsia="仿宋" w:cs="仿宋"/>
              <w:sz w:val="32"/>
              <w:szCs w:val="32"/>
              <w:lang w:val="en-US" w:eastAsia="zh-CN"/>
            </w:rPr>
            <w:instrText xml:space="preserve">TOC \o "1-3" \h \u </w:instrText>
          </w:r>
          <w:r>
            <w:rPr>
              <w:rFonts w:hint="default" w:ascii="仿宋" w:hAnsi="仿宋" w:eastAsia="仿宋" w:cs="仿宋"/>
              <w:sz w:val="32"/>
              <w:szCs w:val="32"/>
              <w:lang w:val="en-US" w:eastAsia="zh-CN"/>
            </w:rPr>
            <w:fldChar w:fldCharType="separate"/>
          </w: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_Toc15360 </w:instrText>
          </w:r>
          <w:r>
            <w:rPr>
              <w:rFonts w:hint="default" w:ascii="仿宋" w:hAnsi="仿宋" w:eastAsia="仿宋" w:cs="仿宋"/>
              <w:szCs w:val="32"/>
              <w:lang w:val="en-US" w:eastAsia="zh-CN"/>
            </w:rPr>
            <w:fldChar w:fldCharType="separate"/>
          </w:r>
          <w:r>
            <w:rPr>
              <w:rFonts w:hint="eastAsia" w:ascii="宋体" w:hAnsi="宋体" w:eastAsia="宋体" w:cs="宋体"/>
              <w:bCs/>
              <w:szCs w:val="32"/>
              <w:lang w:val="en-US" w:eastAsia="zh-CN"/>
            </w:rPr>
            <w:t>前  言</w:t>
          </w:r>
          <w:r>
            <w:tab/>
          </w:r>
          <w:r>
            <w:fldChar w:fldCharType="begin"/>
          </w:r>
          <w:r>
            <w:instrText xml:space="preserve"> PAGEREF _Toc15360 </w:instrText>
          </w:r>
          <w:r>
            <w:fldChar w:fldCharType="separate"/>
          </w:r>
          <w:r>
            <w:t>1</w:t>
          </w:r>
          <w:r>
            <w:fldChar w:fldCharType="end"/>
          </w:r>
          <w:r>
            <w:rPr>
              <w:rFonts w:hint="default" w:ascii="仿宋" w:hAnsi="仿宋" w:eastAsia="仿宋" w:cs="仿宋"/>
              <w:szCs w:val="32"/>
              <w:lang w:val="en-US" w:eastAsia="zh-CN"/>
            </w:rPr>
            <w:fldChar w:fldCharType="end"/>
          </w:r>
        </w:p>
        <w:p>
          <w:pPr>
            <w:pStyle w:val="7"/>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_Toc20412 </w:instrText>
          </w:r>
          <w:r>
            <w:rPr>
              <w:rFonts w:hint="default" w:ascii="仿宋" w:hAnsi="仿宋" w:eastAsia="仿宋" w:cs="仿宋"/>
              <w:szCs w:val="32"/>
              <w:lang w:val="en-US" w:eastAsia="zh-CN"/>
            </w:rPr>
            <w:fldChar w:fldCharType="separate"/>
          </w:r>
          <w:r>
            <w:rPr>
              <w:rFonts w:hint="default" w:ascii="Times New Roman" w:hAnsi="Times New Roman" w:eastAsia="宋体" w:cs="Times New Roman"/>
              <w:bCs/>
              <w:szCs w:val="28"/>
              <w:lang w:val="en-US" w:eastAsia="zh-CN"/>
            </w:rPr>
            <w:t>1 总论</w:t>
          </w:r>
          <w:r>
            <w:tab/>
          </w:r>
          <w:r>
            <w:fldChar w:fldCharType="begin"/>
          </w:r>
          <w:r>
            <w:instrText xml:space="preserve"> PAGEREF _Toc20412 </w:instrText>
          </w:r>
          <w:r>
            <w:fldChar w:fldCharType="separate"/>
          </w:r>
          <w:r>
            <w:t>3</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_Toc20533 </w:instrText>
          </w:r>
          <w:r>
            <w:rPr>
              <w:rFonts w:hint="default" w:ascii="仿宋" w:hAnsi="仿宋" w:eastAsia="仿宋" w:cs="仿宋"/>
              <w:szCs w:val="32"/>
              <w:lang w:val="en-US" w:eastAsia="zh-CN"/>
            </w:rPr>
            <w:fldChar w:fldCharType="separate"/>
          </w:r>
          <w:r>
            <w:rPr>
              <w:rFonts w:hint="default" w:ascii="Times New Roman" w:hAnsi="Times New Roman" w:eastAsia="宋体" w:cs="Times New Roman"/>
              <w:szCs w:val="24"/>
              <w:lang w:val="en-US" w:eastAsia="zh-CN"/>
            </w:rPr>
            <w:t>1.1编制依据</w:t>
          </w:r>
          <w:r>
            <w:tab/>
          </w:r>
          <w:r>
            <w:fldChar w:fldCharType="begin"/>
          </w:r>
          <w:r>
            <w:instrText xml:space="preserve"> PAGEREF _Toc20533 </w:instrText>
          </w:r>
          <w:r>
            <w:fldChar w:fldCharType="separate"/>
          </w:r>
          <w:r>
            <w:t>3</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_Toc6062 </w:instrText>
          </w:r>
          <w:r>
            <w:rPr>
              <w:rFonts w:hint="default" w:ascii="仿宋" w:hAnsi="仿宋" w:eastAsia="仿宋" w:cs="仿宋"/>
              <w:szCs w:val="32"/>
              <w:lang w:val="en-US" w:eastAsia="zh-CN"/>
            </w:rPr>
            <w:fldChar w:fldCharType="separate"/>
          </w:r>
          <w:r>
            <w:rPr>
              <w:rFonts w:hint="default" w:ascii="Times New Roman" w:hAnsi="Times New Roman" w:eastAsia="宋体" w:cs="Times New Roman"/>
              <w:szCs w:val="24"/>
              <w:lang w:val="en-US" w:eastAsia="zh-CN"/>
            </w:rPr>
            <w:t>1.1.1法律法规</w:t>
          </w:r>
          <w:r>
            <w:tab/>
          </w:r>
          <w:r>
            <w:fldChar w:fldCharType="begin"/>
          </w:r>
          <w:r>
            <w:instrText xml:space="preserve"> PAGEREF _Toc6062 </w:instrText>
          </w:r>
          <w:r>
            <w:fldChar w:fldCharType="separate"/>
          </w:r>
          <w:r>
            <w:t>3</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_Toc12996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1.1.2工程技术资料</w:t>
          </w:r>
          <w:r>
            <w:tab/>
          </w:r>
          <w:r>
            <w:fldChar w:fldCharType="begin"/>
          </w:r>
          <w:r>
            <w:instrText xml:space="preserve"> PAGEREF _Toc12996 </w:instrText>
          </w:r>
          <w:r>
            <w:fldChar w:fldCharType="separate"/>
          </w:r>
          <w:r>
            <w:t>4</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_Toc26738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1.2调查目的</w:t>
          </w:r>
          <w:r>
            <w:tab/>
          </w:r>
          <w:r>
            <w:fldChar w:fldCharType="begin"/>
          </w:r>
          <w:r>
            <w:instrText xml:space="preserve"> PAGEREF _Toc26738 </w:instrText>
          </w:r>
          <w:r>
            <w:fldChar w:fldCharType="separate"/>
          </w:r>
          <w:r>
            <w:t>4</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_Toc24648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1.3调查方法</w:t>
          </w:r>
          <w:r>
            <w:tab/>
          </w:r>
          <w:r>
            <w:fldChar w:fldCharType="begin"/>
          </w:r>
          <w:r>
            <w:instrText xml:space="preserve"> PAGEREF _Toc24648 </w:instrText>
          </w:r>
          <w:r>
            <w:fldChar w:fldCharType="separate"/>
          </w:r>
          <w:r>
            <w:t>4</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_Toc25876 </w:instrText>
          </w:r>
          <w:r>
            <w:rPr>
              <w:rFonts w:hint="default" w:ascii="仿宋" w:hAnsi="仿宋" w:eastAsia="仿宋" w:cs="仿宋"/>
              <w:szCs w:val="32"/>
              <w:lang w:val="en-US" w:eastAsia="zh-CN"/>
            </w:rPr>
            <w:fldChar w:fldCharType="separate"/>
          </w:r>
          <w:r>
            <w:rPr>
              <w:rFonts w:hint="default" w:ascii="Times New Roman" w:hAnsi="Times New Roman" w:cs="Times New Roman"/>
              <w:lang w:val="en-US" w:eastAsia="zh-CN"/>
            </w:rPr>
            <w:t>1.4调查范围及因子</w:t>
          </w:r>
          <w:r>
            <w:tab/>
          </w:r>
          <w:r>
            <w:fldChar w:fldCharType="begin"/>
          </w:r>
          <w:r>
            <w:instrText xml:space="preserve"> PAGEREF _Toc25876 </w:instrText>
          </w:r>
          <w:r>
            <w:fldChar w:fldCharType="separate"/>
          </w:r>
          <w:r>
            <w:t>5</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_Toc11513 </w:instrText>
          </w:r>
          <w:r>
            <w:rPr>
              <w:rFonts w:hint="default" w:ascii="仿宋" w:hAnsi="仿宋" w:eastAsia="仿宋" w:cs="仿宋"/>
              <w:szCs w:val="32"/>
              <w:lang w:val="en-US" w:eastAsia="zh-CN"/>
            </w:rPr>
            <w:fldChar w:fldCharType="separate"/>
          </w:r>
          <w:r>
            <w:rPr>
              <w:rFonts w:hint="default" w:ascii="Times New Roman" w:hAnsi="Times New Roman" w:cs="Times New Roman"/>
              <w:lang w:val="en-US" w:eastAsia="zh-CN"/>
            </w:rPr>
            <w:t>1.4.1</w:t>
          </w:r>
          <w:r>
            <w:rPr>
              <w:rFonts w:hint="eastAsia" w:ascii="Times New Roman" w:hAnsi="Times New Roman" w:cs="Times New Roman"/>
              <w:lang w:val="en-US" w:eastAsia="zh-CN"/>
            </w:rPr>
            <w:t>调查范围</w:t>
          </w:r>
          <w:r>
            <w:tab/>
          </w:r>
          <w:r>
            <w:fldChar w:fldCharType="begin"/>
          </w:r>
          <w:r>
            <w:instrText xml:space="preserve"> PAGEREF _Toc11513 </w:instrText>
          </w:r>
          <w:r>
            <w:fldChar w:fldCharType="separate"/>
          </w:r>
          <w:r>
            <w:t>5</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_Toc16607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1.4.2调查因子</w:t>
          </w:r>
          <w:r>
            <w:tab/>
          </w:r>
          <w:r>
            <w:fldChar w:fldCharType="begin"/>
          </w:r>
          <w:r>
            <w:instrText xml:space="preserve"> PAGEREF _Toc16607 </w:instrText>
          </w:r>
          <w:r>
            <w:fldChar w:fldCharType="separate"/>
          </w:r>
          <w:r>
            <w:t>7</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_Toc14109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1.5验收标准</w:t>
          </w:r>
          <w:r>
            <w:tab/>
          </w:r>
          <w:r>
            <w:fldChar w:fldCharType="begin"/>
          </w:r>
          <w:r>
            <w:instrText xml:space="preserve"> PAGEREF _Toc14109 </w:instrText>
          </w:r>
          <w:r>
            <w:fldChar w:fldCharType="separate"/>
          </w:r>
          <w:r>
            <w:t>7</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_Toc8323 </w:instrText>
          </w:r>
          <w:r>
            <w:rPr>
              <w:rFonts w:hint="default" w:ascii="仿宋" w:hAnsi="仿宋" w:eastAsia="仿宋" w:cs="仿宋"/>
              <w:szCs w:val="32"/>
              <w:lang w:val="en-US" w:eastAsia="zh-CN"/>
            </w:rPr>
            <w:fldChar w:fldCharType="separate"/>
          </w:r>
          <w:r>
            <w:rPr>
              <w:rFonts w:hint="default" w:ascii="Times New Roman" w:hAnsi="Times New Roman" w:cs="Times New Roman"/>
              <w:szCs w:val="24"/>
              <w:lang w:val="en-US" w:eastAsia="zh-CN"/>
            </w:rPr>
            <w:t>1.5.1</w:t>
          </w:r>
          <w:r>
            <w:rPr>
              <w:rFonts w:hint="eastAsia" w:ascii="Times New Roman" w:hAnsi="Times New Roman" w:cs="Times New Roman"/>
              <w:szCs w:val="24"/>
              <w:lang w:val="en-US" w:eastAsia="zh-CN"/>
            </w:rPr>
            <w:t>环境质量标准</w:t>
          </w:r>
          <w:r>
            <w:tab/>
          </w:r>
          <w:r>
            <w:fldChar w:fldCharType="begin"/>
          </w:r>
          <w:r>
            <w:instrText xml:space="preserve"> PAGEREF _Toc8323 </w:instrText>
          </w:r>
          <w:r>
            <w:fldChar w:fldCharType="separate"/>
          </w:r>
          <w:r>
            <w:t>7</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_Toc6686 </w:instrText>
          </w:r>
          <w:r>
            <w:rPr>
              <w:rFonts w:hint="default" w:ascii="仿宋" w:hAnsi="仿宋" w:eastAsia="仿宋" w:cs="仿宋"/>
              <w:szCs w:val="32"/>
              <w:lang w:val="en-US" w:eastAsia="zh-CN"/>
            </w:rPr>
            <w:fldChar w:fldCharType="separate"/>
          </w:r>
          <w:r>
            <w:rPr>
              <w:rFonts w:hint="eastAsia" w:ascii="Times New Roman" w:hAnsi="Times New Roman" w:cs="Times New Roman"/>
              <w:szCs w:val="24"/>
              <w:lang w:val="en-US" w:eastAsia="zh-CN"/>
            </w:rPr>
            <w:t>1.5.2污染物排放标准</w:t>
          </w:r>
          <w:r>
            <w:tab/>
          </w:r>
          <w:r>
            <w:fldChar w:fldCharType="begin"/>
          </w:r>
          <w:r>
            <w:instrText xml:space="preserve"> PAGEREF _Toc6686 </w:instrText>
          </w:r>
          <w:r>
            <w:fldChar w:fldCharType="separate"/>
          </w:r>
          <w:r>
            <w:t>8</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_Toc32086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1.6保护目标及调查重点</w:t>
          </w:r>
          <w:r>
            <w:tab/>
          </w:r>
          <w:r>
            <w:fldChar w:fldCharType="begin"/>
          </w:r>
          <w:r>
            <w:instrText xml:space="preserve"> PAGEREF _Toc32086 </w:instrText>
          </w:r>
          <w:r>
            <w:fldChar w:fldCharType="separate"/>
          </w:r>
          <w:r>
            <w:t>9</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_Toc20294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1.6.1生态环境保护目标</w:t>
          </w:r>
          <w:r>
            <w:tab/>
          </w:r>
          <w:r>
            <w:fldChar w:fldCharType="begin"/>
          </w:r>
          <w:r>
            <w:instrText xml:space="preserve"> PAGEREF _Toc20294 </w:instrText>
          </w:r>
          <w:r>
            <w:fldChar w:fldCharType="separate"/>
          </w:r>
          <w:r>
            <w:t>9</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_Toc25495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1.6.2环境空气及声环境保护目标</w:t>
          </w:r>
          <w:r>
            <w:tab/>
          </w:r>
          <w:r>
            <w:fldChar w:fldCharType="begin"/>
          </w:r>
          <w:r>
            <w:instrText xml:space="preserve"> PAGEREF _Toc25495 </w:instrText>
          </w:r>
          <w:r>
            <w:fldChar w:fldCharType="separate"/>
          </w:r>
          <w:r>
            <w:t>9</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_Toc20852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1.6.3水环境保护目标</w:t>
          </w:r>
          <w:r>
            <w:tab/>
          </w:r>
          <w:r>
            <w:fldChar w:fldCharType="begin"/>
          </w:r>
          <w:r>
            <w:instrText xml:space="preserve"> PAGEREF _Toc20852 </w:instrText>
          </w:r>
          <w:r>
            <w:fldChar w:fldCharType="separate"/>
          </w:r>
          <w:r>
            <w:t>9</w:t>
          </w:r>
          <w:r>
            <w:fldChar w:fldCharType="end"/>
          </w:r>
          <w:r>
            <w:rPr>
              <w:rFonts w:hint="default" w:ascii="仿宋" w:hAnsi="仿宋" w:eastAsia="仿宋" w:cs="仿宋"/>
              <w:szCs w:val="32"/>
              <w:lang w:val="en-US" w:eastAsia="zh-CN"/>
            </w:rPr>
            <w:fldChar w:fldCharType="end"/>
          </w:r>
        </w:p>
        <w:p>
          <w:pPr>
            <w:pStyle w:val="7"/>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_Toc27617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bCs/>
              <w:szCs w:val="24"/>
              <w:lang w:val="en-US" w:eastAsia="zh-CN"/>
            </w:rPr>
            <w:t>2 工程概况</w:t>
          </w:r>
          <w:r>
            <w:tab/>
          </w:r>
          <w:r>
            <w:fldChar w:fldCharType="begin"/>
          </w:r>
          <w:r>
            <w:instrText xml:space="preserve"> PAGEREF _Toc27617 </w:instrText>
          </w:r>
          <w:r>
            <w:fldChar w:fldCharType="separate"/>
          </w:r>
          <w:r>
            <w:t>15</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_Toc829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2.1地理位置及路线走向</w:t>
          </w:r>
          <w:r>
            <w:tab/>
          </w:r>
          <w:r>
            <w:fldChar w:fldCharType="begin"/>
          </w:r>
          <w:r>
            <w:instrText xml:space="preserve"> PAGEREF _Toc829 </w:instrText>
          </w:r>
          <w:r>
            <w:fldChar w:fldCharType="separate"/>
          </w:r>
          <w:r>
            <w:t>15</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_Toc4405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2.2项目建设过程</w:t>
          </w:r>
          <w:r>
            <w:tab/>
          </w:r>
          <w:r>
            <w:fldChar w:fldCharType="begin"/>
          </w:r>
          <w:r>
            <w:instrText xml:space="preserve"> PAGEREF _Toc4405 </w:instrText>
          </w:r>
          <w:r>
            <w:fldChar w:fldCharType="separate"/>
          </w:r>
          <w:r>
            <w:t>15</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_Toc4952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2.3建设内容</w:t>
          </w:r>
          <w:r>
            <w:tab/>
          </w:r>
          <w:r>
            <w:fldChar w:fldCharType="begin"/>
          </w:r>
          <w:r>
            <w:instrText xml:space="preserve"> PAGEREF _Toc4952 </w:instrText>
          </w:r>
          <w:r>
            <w:fldChar w:fldCharType="separate"/>
          </w:r>
          <w:r>
            <w:t>17</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_Toc20541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2.3.1建设规模及主要技术指标</w:t>
          </w:r>
          <w:r>
            <w:tab/>
          </w:r>
          <w:r>
            <w:fldChar w:fldCharType="begin"/>
          </w:r>
          <w:r>
            <w:instrText xml:space="preserve"> PAGEREF _Toc20541 </w:instrText>
          </w:r>
          <w:r>
            <w:fldChar w:fldCharType="separate"/>
          </w:r>
          <w:r>
            <w:t>17</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_Toc14674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2.3.2主要工程内容</w:t>
          </w:r>
          <w:r>
            <w:tab/>
          </w:r>
          <w:r>
            <w:fldChar w:fldCharType="begin"/>
          </w:r>
          <w:r>
            <w:instrText xml:space="preserve"> PAGEREF _Toc14674 </w:instrText>
          </w:r>
          <w:r>
            <w:fldChar w:fldCharType="separate"/>
          </w:r>
          <w:r>
            <w:t>19</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_Toc8630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2.3.3项目工程量</w:t>
          </w:r>
          <w:r>
            <w:tab/>
          </w:r>
          <w:r>
            <w:fldChar w:fldCharType="begin"/>
          </w:r>
          <w:r>
            <w:instrText xml:space="preserve"> PAGEREF _Toc8630 </w:instrText>
          </w:r>
          <w:r>
            <w:fldChar w:fldCharType="separate"/>
          </w:r>
          <w:r>
            <w:t>21</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_Toc13520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2.3.4项目变更情况</w:t>
          </w:r>
          <w:r>
            <w:tab/>
          </w:r>
          <w:r>
            <w:fldChar w:fldCharType="begin"/>
          </w:r>
          <w:r>
            <w:instrText xml:space="preserve"> PAGEREF _Toc13520 </w:instrText>
          </w:r>
          <w:r>
            <w:fldChar w:fldCharType="separate"/>
          </w:r>
          <w:r>
            <w:t>21</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_Toc12581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2.4交通量</w:t>
          </w:r>
          <w:r>
            <w:tab/>
          </w:r>
          <w:r>
            <w:fldChar w:fldCharType="begin"/>
          </w:r>
          <w:r>
            <w:instrText xml:space="preserve"> PAGEREF _Toc12581 </w:instrText>
          </w:r>
          <w:r>
            <w:fldChar w:fldCharType="separate"/>
          </w:r>
          <w:r>
            <w:t>21</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_Toc3048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2.5 环保投资</w:t>
          </w:r>
          <w:r>
            <w:tab/>
          </w:r>
          <w:r>
            <w:fldChar w:fldCharType="begin"/>
          </w:r>
          <w:r>
            <w:instrText xml:space="preserve"> PAGEREF _Toc3048 </w:instrText>
          </w:r>
          <w:r>
            <w:fldChar w:fldCharType="separate"/>
          </w:r>
          <w:r>
            <w:t>22</w:t>
          </w:r>
          <w:r>
            <w:fldChar w:fldCharType="end"/>
          </w:r>
          <w:r>
            <w:rPr>
              <w:rFonts w:hint="default" w:ascii="仿宋" w:hAnsi="仿宋" w:eastAsia="仿宋" w:cs="仿宋"/>
              <w:szCs w:val="32"/>
              <w:lang w:val="en-US" w:eastAsia="zh-CN"/>
            </w:rPr>
            <w:fldChar w:fldCharType="end"/>
          </w:r>
        </w:p>
        <w:p>
          <w:pPr>
            <w:pStyle w:val="7"/>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_Toc31303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bCs/>
              <w:szCs w:val="24"/>
              <w:lang w:val="en-US" w:eastAsia="zh-CN"/>
            </w:rPr>
            <w:t>3 环境影响评价报告回顾</w:t>
          </w:r>
          <w:r>
            <w:tab/>
          </w:r>
          <w:r>
            <w:fldChar w:fldCharType="begin"/>
          </w:r>
          <w:r>
            <w:instrText xml:space="preserve"> PAGEREF _Toc31303 </w:instrText>
          </w:r>
          <w:r>
            <w:fldChar w:fldCharType="separate"/>
          </w:r>
          <w:r>
            <w:t>24</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_Toc10596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3.1环境影响影响评价报告的主要结论</w:t>
          </w:r>
          <w:r>
            <w:tab/>
          </w:r>
          <w:r>
            <w:fldChar w:fldCharType="begin"/>
          </w:r>
          <w:r>
            <w:instrText xml:space="preserve"> PAGEREF _Toc10596 </w:instrText>
          </w:r>
          <w:r>
            <w:fldChar w:fldCharType="separate"/>
          </w:r>
          <w:r>
            <w:t>24</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_Toc2772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3.1.1工程概况</w:t>
          </w:r>
          <w:r>
            <w:tab/>
          </w:r>
          <w:r>
            <w:fldChar w:fldCharType="begin"/>
          </w:r>
          <w:r>
            <w:instrText xml:space="preserve"> PAGEREF _Toc2772 </w:instrText>
          </w:r>
          <w:r>
            <w:fldChar w:fldCharType="separate"/>
          </w:r>
          <w:r>
            <w:t>24</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_Toc16865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3.1.2规划符合性</w:t>
          </w:r>
          <w:r>
            <w:tab/>
          </w:r>
          <w:r>
            <w:fldChar w:fldCharType="begin"/>
          </w:r>
          <w:r>
            <w:instrText xml:space="preserve"> PAGEREF _Toc16865 </w:instrText>
          </w:r>
          <w:r>
            <w:fldChar w:fldCharType="separate"/>
          </w:r>
          <w:r>
            <w:t>24</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_Toc21391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3.1.3方案比选</w:t>
          </w:r>
          <w:r>
            <w:tab/>
          </w:r>
          <w:r>
            <w:fldChar w:fldCharType="begin"/>
          </w:r>
          <w:r>
            <w:instrText xml:space="preserve"> PAGEREF _Toc21391 </w:instrText>
          </w:r>
          <w:r>
            <w:fldChar w:fldCharType="separate"/>
          </w:r>
          <w:r>
            <w:t>25</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_Toc24367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3.1.4环境现状评价</w:t>
          </w:r>
          <w:r>
            <w:tab/>
          </w:r>
          <w:r>
            <w:fldChar w:fldCharType="begin"/>
          </w:r>
          <w:r>
            <w:instrText xml:space="preserve"> PAGEREF _Toc24367 </w:instrText>
          </w:r>
          <w:r>
            <w:fldChar w:fldCharType="separate"/>
          </w:r>
          <w:r>
            <w:t>25</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_Toc2757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3.1.5环境影响预测与评价</w:t>
          </w:r>
          <w:r>
            <w:tab/>
          </w:r>
          <w:r>
            <w:fldChar w:fldCharType="begin"/>
          </w:r>
          <w:r>
            <w:instrText xml:space="preserve"> PAGEREF _Toc2757 </w:instrText>
          </w:r>
          <w:r>
            <w:fldChar w:fldCharType="separate"/>
          </w:r>
          <w:r>
            <w:t>26</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_Toc11095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3.1.6主要环境影响减缓措施</w:t>
          </w:r>
          <w:r>
            <w:tab/>
          </w:r>
          <w:r>
            <w:fldChar w:fldCharType="begin"/>
          </w:r>
          <w:r>
            <w:instrText xml:space="preserve"> PAGEREF _Toc11095 </w:instrText>
          </w:r>
          <w:r>
            <w:fldChar w:fldCharType="separate"/>
          </w:r>
          <w:r>
            <w:t>32</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_Toc29587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3.1.7水土保持</w:t>
          </w:r>
          <w:r>
            <w:tab/>
          </w:r>
          <w:r>
            <w:fldChar w:fldCharType="begin"/>
          </w:r>
          <w:r>
            <w:instrText xml:space="preserve"> PAGEREF _Toc29587 </w:instrText>
          </w:r>
          <w:r>
            <w:fldChar w:fldCharType="separate"/>
          </w:r>
          <w:r>
            <w:t>37</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_Toc8501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3.1.8公众参与</w:t>
          </w:r>
          <w:r>
            <w:tab/>
          </w:r>
          <w:r>
            <w:fldChar w:fldCharType="begin"/>
          </w:r>
          <w:r>
            <w:instrText xml:space="preserve"> PAGEREF _Toc8501 </w:instrText>
          </w:r>
          <w:r>
            <w:fldChar w:fldCharType="separate"/>
          </w:r>
          <w:r>
            <w:t>38</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_Toc14525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3.1.9环境经济损益分析</w:t>
          </w:r>
          <w:r>
            <w:tab/>
          </w:r>
          <w:r>
            <w:fldChar w:fldCharType="begin"/>
          </w:r>
          <w:r>
            <w:instrText xml:space="preserve"> PAGEREF _Toc14525 </w:instrText>
          </w:r>
          <w:r>
            <w:fldChar w:fldCharType="separate"/>
          </w:r>
          <w:r>
            <w:t>38</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_Toc13965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3.1.10环评结论</w:t>
          </w:r>
          <w:r>
            <w:tab/>
          </w:r>
          <w:r>
            <w:fldChar w:fldCharType="begin"/>
          </w:r>
          <w:r>
            <w:instrText xml:space="preserve"> PAGEREF _Toc13965 </w:instrText>
          </w:r>
          <w:r>
            <w:fldChar w:fldCharType="separate"/>
          </w:r>
          <w:r>
            <w:t>38</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_Toc16087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3.2环境影响评价报告建议</w:t>
          </w:r>
          <w:r>
            <w:tab/>
          </w:r>
          <w:r>
            <w:fldChar w:fldCharType="begin"/>
          </w:r>
          <w:r>
            <w:instrText xml:space="preserve"> PAGEREF _Toc16087 </w:instrText>
          </w:r>
          <w:r>
            <w:fldChar w:fldCharType="separate"/>
          </w:r>
          <w:r>
            <w:t>38</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_Toc29687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3.3环境影响评价报告批复</w:t>
          </w:r>
          <w:r>
            <w:tab/>
          </w:r>
          <w:r>
            <w:fldChar w:fldCharType="begin"/>
          </w:r>
          <w:r>
            <w:instrText xml:space="preserve"> PAGEREF _Toc29687 </w:instrText>
          </w:r>
          <w:r>
            <w:fldChar w:fldCharType="separate"/>
          </w:r>
          <w:r>
            <w:t>39</w:t>
          </w:r>
          <w:r>
            <w:fldChar w:fldCharType="end"/>
          </w:r>
          <w:r>
            <w:rPr>
              <w:rFonts w:hint="default" w:ascii="仿宋" w:hAnsi="仿宋" w:eastAsia="仿宋" w:cs="仿宋"/>
              <w:szCs w:val="32"/>
              <w:lang w:val="en-US" w:eastAsia="zh-CN"/>
            </w:rPr>
            <w:fldChar w:fldCharType="end"/>
          </w:r>
        </w:p>
        <w:p>
          <w:pPr>
            <w:pStyle w:val="7"/>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_Toc12555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bCs/>
              <w:szCs w:val="24"/>
              <w:lang w:val="en-US" w:eastAsia="zh-CN"/>
            </w:rPr>
            <w:t>4 环保措施落实情况</w:t>
          </w:r>
          <w:r>
            <w:tab/>
          </w:r>
          <w:r>
            <w:fldChar w:fldCharType="begin"/>
          </w:r>
          <w:r>
            <w:instrText xml:space="preserve"> PAGEREF _Toc12555 </w:instrText>
          </w:r>
          <w:r>
            <w:fldChar w:fldCharType="separate"/>
          </w:r>
          <w:r>
            <w:t>42</w:t>
          </w:r>
          <w:r>
            <w:fldChar w:fldCharType="end"/>
          </w:r>
          <w:r>
            <w:rPr>
              <w:rFonts w:hint="default" w:ascii="仿宋" w:hAnsi="仿宋" w:eastAsia="仿宋" w:cs="仿宋"/>
              <w:szCs w:val="32"/>
              <w:lang w:val="en-US" w:eastAsia="zh-CN"/>
            </w:rPr>
            <w:fldChar w:fldCharType="end"/>
          </w:r>
        </w:p>
        <w:p>
          <w:pPr>
            <w:pStyle w:val="7"/>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_Toc20773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bCs/>
              <w:szCs w:val="24"/>
              <w:lang w:val="en-US" w:eastAsia="zh-CN"/>
            </w:rPr>
            <w:t>5 施工期环境影响调查</w:t>
          </w:r>
          <w:r>
            <w:tab/>
          </w:r>
          <w:r>
            <w:fldChar w:fldCharType="begin"/>
          </w:r>
          <w:r>
            <w:instrText xml:space="preserve"> PAGEREF _Toc20773 </w:instrText>
          </w:r>
          <w:r>
            <w:fldChar w:fldCharType="separate"/>
          </w:r>
          <w:r>
            <w:t>47</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_Toc25798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bCs w:val="0"/>
              <w:szCs w:val="24"/>
              <w:lang w:val="en-US" w:eastAsia="zh-CN"/>
            </w:rPr>
            <w:t>5.1生态环境</w:t>
          </w:r>
          <w:r>
            <w:tab/>
          </w:r>
          <w:r>
            <w:fldChar w:fldCharType="begin"/>
          </w:r>
          <w:r>
            <w:instrText xml:space="preserve"> PAGEREF _Toc25798 </w:instrText>
          </w:r>
          <w:r>
            <w:fldChar w:fldCharType="separate"/>
          </w:r>
          <w:r>
            <w:t>47</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_Toc8261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bCs w:val="0"/>
              <w:szCs w:val="24"/>
              <w:lang w:val="en-US" w:eastAsia="zh-CN"/>
            </w:rPr>
            <w:t>5.2水环境</w:t>
          </w:r>
          <w:r>
            <w:tab/>
          </w:r>
          <w:r>
            <w:fldChar w:fldCharType="begin"/>
          </w:r>
          <w:r>
            <w:instrText xml:space="preserve"> PAGEREF _Toc8261 </w:instrText>
          </w:r>
          <w:r>
            <w:fldChar w:fldCharType="separate"/>
          </w:r>
          <w:r>
            <w:t>48</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_Toc21518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5.3环境空气</w:t>
          </w:r>
          <w:r>
            <w:tab/>
          </w:r>
          <w:r>
            <w:fldChar w:fldCharType="begin"/>
          </w:r>
          <w:r>
            <w:instrText xml:space="preserve"> PAGEREF _Toc21518 </w:instrText>
          </w:r>
          <w:r>
            <w:fldChar w:fldCharType="separate"/>
          </w:r>
          <w:r>
            <w:t>48</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_Toc27027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5.4声环境</w:t>
          </w:r>
          <w:r>
            <w:tab/>
          </w:r>
          <w:r>
            <w:fldChar w:fldCharType="begin"/>
          </w:r>
          <w:r>
            <w:instrText xml:space="preserve"> PAGEREF _Toc27027 </w:instrText>
          </w:r>
          <w:r>
            <w:fldChar w:fldCharType="separate"/>
          </w:r>
          <w:r>
            <w:t>48</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_Toc11092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5.5固体废物</w:t>
          </w:r>
          <w:r>
            <w:tab/>
          </w:r>
          <w:r>
            <w:fldChar w:fldCharType="begin"/>
          </w:r>
          <w:r>
            <w:instrText xml:space="preserve"> PAGEREF _Toc11092 </w:instrText>
          </w:r>
          <w:r>
            <w:fldChar w:fldCharType="separate"/>
          </w:r>
          <w:r>
            <w:t>48</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_Toc24660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5.6小结</w:t>
          </w:r>
          <w:r>
            <w:tab/>
          </w:r>
          <w:r>
            <w:fldChar w:fldCharType="begin"/>
          </w:r>
          <w:r>
            <w:instrText xml:space="preserve"> PAGEREF _Toc24660 </w:instrText>
          </w:r>
          <w:r>
            <w:fldChar w:fldCharType="separate"/>
          </w:r>
          <w:r>
            <w:t>49</w:t>
          </w:r>
          <w:r>
            <w:fldChar w:fldCharType="end"/>
          </w:r>
          <w:r>
            <w:rPr>
              <w:rFonts w:hint="default" w:ascii="仿宋" w:hAnsi="仿宋" w:eastAsia="仿宋" w:cs="仿宋"/>
              <w:szCs w:val="32"/>
              <w:lang w:val="en-US" w:eastAsia="zh-CN"/>
            </w:rPr>
            <w:fldChar w:fldCharType="end"/>
          </w:r>
        </w:p>
        <w:p>
          <w:pPr>
            <w:pStyle w:val="7"/>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_Toc3833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bCs/>
              <w:szCs w:val="24"/>
              <w:lang w:val="en-US" w:eastAsia="zh-CN"/>
            </w:rPr>
            <w:t>6 运营期环境影响调查</w:t>
          </w:r>
          <w:r>
            <w:tab/>
          </w:r>
          <w:r>
            <w:fldChar w:fldCharType="begin"/>
          </w:r>
          <w:r>
            <w:instrText xml:space="preserve"> PAGEREF _Toc3833 </w:instrText>
          </w:r>
          <w:r>
            <w:fldChar w:fldCharType="separate"/>
          </w:r>
          <w:r>
            <w:t>49</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_Toc9425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6.1生态环境</w:t>
          </w:r>
          <w:r>
            <w:tab/>
          </w:r>
          <w:r>
            <w:fldChar w:fldCharType="begin"/>
          </w:r>
          <w:r>
            <w:instrText xml:space="preserve"> PAGEREF _Toc9425 </w:instrText>
          </w:r>
          <w:r>
            <w:fldChar w:fldCharType="separate"/>
          </w:r>
          <w:r>
            <w:t>49</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_Toc7650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6.1.1工程占地</w:t>
          </w:r>
          <w:r>
            <w:tab/>
          </w:r>
          <w:r>
            <w:fldChar w:fldCharType="begin"/>
          </w:r>
          <w:r>
            <w:instrText xml:space="preserve"> PAGEREF _Toc7650 </w:instrText>
          </w:r>
          <w:r>
            <w:fldChar w:fldCharType="separate"/>
          </w:r>
          <w:r>
            <w:t>49</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_Toc25360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vertAlign w:val="baseline"/>
              <w:lang w:val="en-US" w:eastAsia="zh-CN"/>
            </w:rPr>
            <w:t>6.1.2土石方</w:t>
          </w:r>
          <w:r>
            <w:tab/>
          </w:r>
          <w:r>
            <w:fldChar w:fldCharType="begin"/>
          </w:r>
          <w:r>
            <w:instrText xml:space="preserve"> PAGEREF _Toc25360 </w:instrText>
          </w:r>
          <w:r>
            <w:fldChar w:fldCharType="separate"/>
          </w:r>
          <w:r>
            <w:t>49</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_Toc8659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6.1.3取、弃土场</w:t>
          </w:r>
          <w:r>
            <w:tab/>
          </w:r>
          <w:r>
            <w:fldChar w:fldCharType="begin"/>
          </w:r>
          <w:r>
            <w:instrText xml:space="preserve"> PAGEREF _Toc8659 </w:instrText>
          </w:r>
          <w:r>
            <w:fldChar w:fldCharType="separate"/>
          </w:r>
          <w:r>
            <w:t>49</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_Toc7252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6.1.4水土保持</w:t>
          </w:r>
          <w:r>
            <w:tab/>
          </w:r>
          <w:r>
            <w:fldChar w:fldCharType="begin"/>
          </w:r>
          <w:r>
            <w:instrText xml:space="preserve"> PAGEREF _Toc7252 </w:instrText>
          </w:r>
          <w:r>
            <w:fldChar w:fldCharType="separate"/>
          </w:r>
          <w:r>
            <w:t>49</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_Toc9058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6.1.5绿化与景观</w:t>
          </w:r>
          <w:r>
            <w:tab/>
          </w:r>
          <w:r>
            <w:fldChar w:fldCharType="begin"/>
          </w:r>
          <w:r>
            <w:instrText xml:space="preserve"> PAGEREF _Toc9058 </w:instrText>
          </w:r>
          <w:r>
            <w:fldChar w:fldCharType="separate"/>
          </w:r>
          <w:r>
            <w:t>49</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_Toc6579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6.2环境空气及噪声环境</w:t>
          </w:r>
          <w:r>
            <w:tab/>
          </w:r>
          <w:r>
            <w:fldChar w:fldCharType="begin"/>
          </w:r>
          <w:r>
            <w:instrText xml:space="preserve"> PAGEREF _Toc6579 </w:instrText>
          </w:r>
          <w:r>
            <w:fldChar w:fldCharType="separate"/>
          </w:r>
          <w:r>
            <w:t>50</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_Toc1730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6.2.1敏感点调查</w:t>
          </w:r>
          <w:r>
            <w:tab/>
          </w:r>
          <w:r>
            <w:fldChar w:fldCharType="begin"/>
          </w:r>
          <w:r>
            <w:instrText xml:space="preserve"> PAGEREF _Toc1730 </w:instrText>
          </w:r>
          <w:r>
            <w:fldChar w:fldCharType="separate"/>
          </w:r>
          <w:r>
            <w:t>50</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_Toc14400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6.2.2现状监测内容</w:t>
          </w:r>
          <w:r>
            <w:tab/>
          </w:r>
          <w:r>
            <w:fldChar w:fldCharType="begin"/>
          </w:r>
          <w:r>
            <w:instrText xml:space="preserve"> PAGEREF _Toc14400 </w:instrText>
          </w:r>
          <w:r>
            <w:fldChar w:fldCharType="separate"/>
          </w:r>
          <w:r>
            <w:t>51</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_Toc16315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6.2.3监测结果</w:t>
          </w:r>
          <w:r>
            <w:tab/>
          </w:r>
          <w:r>
            <w:fldChar w:fldCharType="begin"/>
          </w:r>
          <w:r>
            <w:instrText xml:space="preserve"> PAGEREF _Toc16315 </w:instrText>
          </w:r>
          <w:r>
            <w:fldChar w:fldCharType="separate"/>
          </w:r>
          <w:r>
            <w:t>57</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_Toc919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6.3水环境</w:t>
          </w:r>
          <w:r>
            <w:tab/>
          </w:r>
          <w:r>
            <w:fldChar w:fldCharType="begin"/>
          </w:r>
          <w:r>
            <w:instrText xml:space="preserve"> PAGEREF _Toc919 </w:instrText>
          </w:r>
          <w:r>
            <w:fldChar w:fldCharType="separate"/>
          </w:r>
          <w:r>
            <w:t>69</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_Toc24200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6.3.1水环境污染源调查</w:t>
          </w:r>
          <w:r>
            <w:tab/>
          </w:r>
          <w:r>
            <w:fldChar w:fldCharType="begin"/>
          </w:r>
          <w:r>
            <w:instrText xml:space="preserve"> PAGEREF _Toc24200 </w:instrText>
          </w:r>
          <w:r>
            <w:fldChar w:fldCharType="separate"/>
          </w:r>
          <w:r>
            <w:t>69</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_Toc31192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6.3.2监测内容</w:t>
          </w:r>
          <w:r>
            <w:tab/>
          </w:r>
          <w:r>
            <w:fldChar w:fldCharType="begin"/>
          </w:r>
          <w:r>
            <w:instrText xml:space="preserve"> PAGEREF _Toc31192 </w:instrText>
          </w:r>
          <w:r>
            <w:fldChar w:fldCharType="separate"/>
          </w:r>
          <w:r>
            <w:t>70</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_Toc1135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6.3.3监测结果</w:t>
          </w:r>
          <w:r>
            <w:tab/>
          </w:r>
          <w:r>
            <w:fldChar w:fldCharType="begin"/>
          </w:r>
          <w:r>
            <w:instrText xml:space="preserve"> PAGEREF _Toc1135 </w:instrText>
          </w:r>
          <w:r>
            <w:fldChar w:fldCharType="separate"/>
          </w:r>
          <w:r>
            <w:t>70</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_Toc27720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6.4固体废物</w:t>
          </w:r>
          <w:r>
            <w:tab/>
          </w:r>
          <w:r>
            <w:fldChar w:fldCharType="begin"/>
          </w:r>
          <w:r>
            <w:instrText xml:space="preserve"> PAGEREF _Toc27720 </w:instrText>
          </w:r>
          <w:r>
            <w:fldChar w:fldCharType="separate"/>
          </w:r>
          <w:r>
            <w:t>71</w:t>
          </w:r>
          <w:r>
            <w:fldChar w:fldCharType="end"/>
          </w:r>
          <w:r>
            <w:rPr>
              <w:rFonts w:hint="default" w:ascii="仿宋" w:hAnsi="仿宋" w:eastAsia="仿宋" w:cs="仿宋"/>
              <w:szCs w:val="32"/>
              <w:lang w:val="en-US" w:eastAsia="zh-CN"/>
            </w:rPr>
            <w:fldChar w:fldCharType="end"/>
          </w:r>
        </w:p>
        <w:p>
          <w:pPr>
            <w:pStyle w:val="7"/>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_Toc1614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bCs/>
              <w:szCs w:val="24"/>
              <w:lang w:val="en-US" w:eastAsia="zh-CN"/>
            </w:rPr>
            <w:t>7 环境管理与监测计划的落实</w:t>
          </w:r>
          <w:r>
            <w:tab/>
          </w:r>
          <w:r>
            <w:fldChar w:fldCharType="begin"/>
          </w:r>
          <w:r>
            <w:instrText xml:space="preserve"> PAGEREF _Toc1614 </w:instrText>
          </w:r>
          <w:r>
            <w:fldChar w:fldCharType="separate"/>
          </w:r>
          <w:r>
            <w:t>71</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_Toc19000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7.1环境管理情况</w:t>
          </w:r>
          <w:r>
            <w:tab/>
          </w:r>
          <w:r>
            <w:fldChar w:fldCharType="begin"/>
          </w:r>
          <w:r>
            <w:instrText xml:space="preserve"> PAGEREF _Toc19000 </w:instrText>
          </w:r>
          <w:r>
            <w:fldChar w:fldCharType="separate"/>
          </w:r>
          <w:r>
            <w:t>71</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_Toc29819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7.1.1施工期环境管理</w:t>
          </w:r>
          <w:r>
            <w:tab/>
          </w:r>
          <w:r>
            <w:fldChar w:fldCharType="begin"/>
          </w:r>
          <w:r>
            <w:instrText xml:space="preserve"> PAGEREF _Toc29819 </w:instrText>
          </w:r>
          <w:r>
            <w:fldChar w:fldCharType="separate"/>
          </w:r>
          <w:r>
            <w:t>71</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_Toc20446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7.1.2运营期环境管理</w:t>
          </w:r>
          <w:r>
            <w:tab/>
          </w:r>
          <w:r>
            <w:fldChar w:fldCharType="begin"/>
          </w:r>
          <w:r>
            <w:instrText xml:space="preserve"> PAGEREF _Toc20446 </w:instrText>
          </w:r>
          <w:r>
            <w:fldChar w:fldCharType="separate"/>
          </w:r>
          <w:r>
            <w:t>71</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_Toc15009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7.1.3建议</w:t>
          </w:r>
          <w:r>
            <w:tab/>
          </w:r>
          <w:r>
            <w:fldChar w:fldCharType="begin"/>
          </w:r>
          <w:r>
            <w:instrText xml:space="preserve"> PAGEREF _Toc15009 </w:instrText>
          </w:r>
          <w:r>
            <w:fldChar w:fldCharType="separate"/>
          </w:r>
          <w:r>
            <w:t>71</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_Toc8518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7.2监测计划的落实</w:t>
          </w:r>
          <w:r>
            <w:tab/>
          </w:r>
          <w:r>
            <w:fldChar w:fldCharType="begin"/>
          </w:r>
          <w:r>
            <w:instrText xml:space="preserve"> PAGEREF _Toc8518 </w:instrText>
          </w:r>
          <w:r>
            <w:fldChar w:fldCharType="separate"/>
          </w:r>
          <w:r>
            <w:t>71</w:t>
          </w:r>
          <w:r>
            <w:fldChar w:fldCharType="end"/>
          </w:r>
          <w:r>
            <w:rPr>
              <w:rFonts w:hint="default" w:ascii="仿宋" w:hAnsi="仿宋" w:eastAsia="仿宋" w:cs="仿宋"/>
              <w:szCs w:val="32"/>
              <w:lang w:val="en-US" w:eastAsia="zh-CN"/>
            </w:rPr>
            <w:fldChar w:fldCharType="end"/>
          </w:r>
        </w:p>
        <w:p>
          <w:pPr>
            <w:pStyle w:val="7"/>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_Toc24447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bCs/>
              <w:szCs w:val="24"/>
              <w:lang w:val="en-US" w:eastAsia="zh-CN"/>
            </w:rPr>
            <w:t>8 公众意见调查</w:t>
          </w:r>
          <w:r>
            <w:tab/>
          </w:r>
          <w:r>
            <w:fldChar w:fldCharType="begin"/>
          </w:r>
          <w:r>
            <w:instrText xml:space="preserve"> PAGEREF _Toc24447 </w:instrText>
          </w:r>
          <w:r>
            <w:fldChar w:fldCharType="separate"/>
          </w:r>
          <w:r>
            <w:t>74</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_Toc22922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8.1调查的目的、对象、方法</w:t>
          </w:r>
          <w:r>
            <w:tab/>
          </w:r>
          <w:r>
            <w:fldChar w:fldCharType="begin"/>
          </w:r>
          <w:r>
            <w:instrText xml:space="preserve"> PAGEREF _Toc22922 </w:instrText>
          </w:r>
          <w:r>
            <w:fldChar w:fldCharType="separate"/>
          </w:r>
          <w:r>
            <w:t>74</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_Toc27578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8.1.1调查的目的</w:t>
          </w:r>
          <w:r>
            <w:tab/>
          </w:r>
          <w:r>
            <w:fldChar w:fldCharType="begin"/>
          </w:r>
          <w:r>
            <w:instrText xml:space="preserve"> PAGEREF _Toc27578 </w:instrText>
          </w:r>
          <w:r>
            <w:fldChar w:fldCharType="separate"/>
          </w:r>
          <w:r>
            <w:t>74</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_Toc6374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8.1.2调查的对象</w:t>
          </w:r>
          <w:r>
            <w:tab/>
          </w:r>
          <w:r>
            <w:fldChar w:fldCharType="begin"/>
          </w:r>
          <w:r>
            <w:instrText xml:space="preserve"> PAGEREF _Toc6374 </w:instrText>
          </w:r>
          <w:r>
            <w:fldChar w:fldCharType="separate"/>
          </w:r>
          <w:r>
            <w:t>74</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_Toc30750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8.1.3调查的方式</w:t>
          </w:r>
          <w:r>
            <w:tab/>
          </w:r>
          <w:r>
            <w:fldChar w:fldCharType="begin"/>
          </w:r>
          <w:r>
            <w:instrText xml:space="preserve"> PAGEREF _Toc30750 </w:instrText>
          </w:r>
          <w:r>
            <w:fldChar w:fldCharType="separate"/>
          </w:r>
          <w:r>
            <w:t>74</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_Toc12398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8.2调查结果</w:t>
          </w:r>
          <w:r>
            <w:tab/>
          </w:r>
          <w:r>
            <w:fldChar w:fldCharType="begin"/>
          </w:r>
          <w:r>
            <w:instrText xml:space="preserve"> PAGEREF _Toc12398 </w:instrText>
          </w:r>
          <w:r>
            <w:fldChar w:fldCharType="separate"/>
          </w:r>
          <w:r>
            <w:t>74</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_Toc9986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8.2.1司乘人员</w:t>
          </w:r>
          <w:r>
            <w:tab/>
          </w:r>
          <w:r>
            <w:fldChar w:fldCharType="begin"/>
          </w:r>
          <w:r>
            <w:instrText xml:space="preserve"> PAGEREF _Toc9986 </w:instrText>
          </w:r>
          <w:r>
            <w:fldChar w:fldCharType="separate"/>
          </w:r>
          <w:r>
            <w:t>74</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_Toc16493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8.2.2道路沿线公众</w:t>
          </w:r>
          <w:r>
            <w:tab/>
          </w:r>
          <w:r>
            <w:fldChar w:fldCharType="begin"/>
          </w:r>
          <w:r>
            <w:instrText xml:space="preserve"> PAGEREF _Toc16493 </w:instrText>
          </w:r>
          <w:r>
            <w:fldChar w:fldCharType="separate"/>
          </w:r>
          <w:r>
            <w:t>77</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_Toc10664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8.2.3小结与建议</w:t>
          </w:r>
          <w:r>
            <w:tab/>
          </w:r>
          <w:r>
            <w:fldChar w:fldCharType="begin"/>
          </w:r>
          <w:r>
            <w:instrText xml:space="preserve"> PAGEREF _Toc10664 </w:instrText>
          </w:r>
          <w:r>
            <w:fldChar w:fldCharType="separate"/>
          </w:r>
          <w:r>
            <w:t>79</w:t>
          </w:r>
          <w:r>
            <w:fldChar w:fldCharType="end"/>
          </w:r>
          <w:r>
            <w:rPr>
              <w:rFonts w:hint="default" w:ascii="仿宋" w:hAnsi="仿宋" w:eastAsia="仿宋" w:cs="仿宋"/>
              <w:szCs w:val="32"/>
              <w:lang w:val="en-US" w:eastAsia="zh-CN"/>
            </w:rPr>
            <w:fldChar w:fldCharType="end"/>
          </w:r>
        </w:p>
        <w:p>
          <w:pPr>
            <w:pStyle w:val="7"/>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_Toc1714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bCs/>
              <w:szCs w:val="24"/>
              <w:lang w:val="en-US" w:eastAsia="zh-CN"/>
            </w:rPr>
            <w:t>9 风险事故防范与应急措施调查</w:t>
          </w:r>
          <w:r>
            <w:tab/>
          </w:r>
          <w:r>
            <w:fldChar w:fldCharType="begin"/>
          </w:r>
          <w:r>
            <w:instrText xml:space="preserve"> PAGEREF _Toc1714 </w:instrText>
          </w:r>
          <w:r>
            <w:fldChar w:fldCharType="separate"/>
          </w:r>
          <w:r>
            <w:t>79</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_Toc14805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9.1风险因素调查</w:t>
          </w:r>
          <w:r>
            <w:tab/>
          </w:r>
          <w:r>
            <w:fldChar w:fldCharType="begin"/>
          </w:r>
          <w:r>
            <w:instrText xml:space="preserve"> PAGEREF _Toc14805 </w:instrText>
          </w:r>
          <w:r>
            <w:fldChar w:fldCharType="separate"/>
          </w:r>
          <w:r>
            <w:t>79</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_Toc17497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9.2风险防范与预防措施</w:t>
          </w:r>
          <w:r>
            <w:tab/>
          </w:r>
          <w:r>
            <w:fldChar w:fldCharType="begin"/>
          </w:r>
          <w:r>
            <w:instrText xml:space="preserve"> PAGEREF _Toc17497 </w:instrText>
          </w:r>
          <w:r>
            <w:fldChar w:fldCharType="separate"/>
          </w:r>
          <w:r>
            <w:t>80</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_Toc28918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9.2.1主要预防措施</w:t>
          </w:r>
          <w:r>
            <w:tab/>
          </w:r>
          <w:r>
            <w:fldChar w:fldCharType="begin"/>
          </w:r>
          <w:r>
            <w:instrText xml:space="preserve"> PAGEREF _Toc28918 </w:instrText>
          </w:r>
          <w:r>
            <w:fldChar w:fldCharType="separate"/>
          </w:r>
          <w:r>
            <w:t>80</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_Toc7892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9.2.2</w:t>
          </w:r>
          <w:r>
            <w:rPr>
              <w:rFonts w:hint="default" w:ascii="Times New Roman" w:hAnsi="Times New Roman" w:eastAsia="宋体" w:cs="Times New Roman"/>
              <w:szCs w:val="24"/>
              <w:lang w:val="en-US" w:eastAsia="zh-CN"/>
            </w:rPr>
            <w:t>主要应急措施</w:t>
          </w:r>
          <w:r>
            <w:tab/>
          </w:r>
          <w:r>
            <w:fldChar w:fldCharType="begin"/>
          </w:r>
          <w:r>
            <w:instrText xml:space="preserve"> PAGEREF _Toc7892 </w:instrText>
          </w:r>
          <w:r>
            <w:fldChar w:fldCharType="separate"/>
          </w:r>
          <w:r>
            <w:t>81</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_Toc29062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9.2.3应急预案</w:t>
          </w:r>
          <w:r>
            <w:tab/>
          </w:r>
          <w:r>
            <w:fldChar w:fldCharType="begin"/>
          </w:r>
          <w:r>
            <w:instrText xml:space="preserve"> PAGEREF _Toc29062 </w:instrText>
          </w:r>
          <w:r>
            <w:fldChar w:fldCharType="separate"/>
          </w:r>
          <w:r>
            <w:t>83</w:t>
          </w:r>
          <w:r>
            <w:fldChar w:fldCharType="end"/>
          </w:r>
          <w:r>
            <w:rPr>
              <w:rFonts w:hint="default" w:ascii="仿宋" w:hAnsi="仿宋" w:eastAsia="仿宋" w:cs="仿宋"/>
              <w:szCs w:val="32"/>
              <w:lang w:val="en-US" w:eastAsia="zh-CN"/>
            </w:rPr>
            <w:fldChar w:fldCharType="end"/>
          </w:r>
        </w:p>
        <w:p>
          <w:pPr>
            <w:pStyle w:val="7"/>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_Toc15935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bCs/>
              <w:szCs w:val="24"/>
              <w:lang w:val="en-US" w:eastAsia="zh-CN"/>
            </w:rPr>
            <w:t>10 调查结论及建议</w:t>
          </w:r>
          <w:r>
            <w:tab/>
          </w:r>
          <w:r>
            <w:fldChar w:fldCharType="begin"/>
          </w:r>
          <w:r>
            <w:instrText xml:space="preserve"> PAGEREF _Toc15935 </w:instrText>
          </w:r>
          <w:r>
            <w:fldChar w:fldCharType="separate"/>
          </w:r>
          <w:r>
            <w:t>84</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_Toc15510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10.1调查结论</w:t>
          </w:r>
          <w:r>
            <w:tab/>
          </w:r>
          <w:r>
            <w:fldChar w:fldCharType="begin"/>
          </w:r>
          <w:r>
            <w:instrText xml:space="preserve"> PAGEREF _Toc15510 </w:instrText>
          </w:r>
          <w:r>
            <w:fldChar w:fldCharType="separate"/>
          </w:r>
          <w:r>
            <w:t>84</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_Toc15167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10.1.1工程概况</w:t>
          </w:r>
          <w:r>
            <w:tab/>
          </w:r>
          <w:r>
            <w:fldChar w:fldCharType="begin"/>
          </w:r>
          <w:r>
            <w:instrText xml:space="preserve"> PAGEREF _Toc15167 </w:instrText>
          </w:r>
          <w:r>
            <w:fldChar w:fldCharType="separate"/>
          </w:r>
          <w:r>
            <w:t>84</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_Toc7332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10.1.2环保措施落实情况</w:t>
          </w:r>
          <w:r>
            <w:tab/>
          </w:r>
          <w:r>
            <w:fldChar w:fldCharType="begin"/>
          </w:r>
          <w:r>
            <w:instrText xml:space="preserve"> PAGEREF _Toc7332 </w:instrText>
          </w:r>
          <w:r>
            <w:fldChar w:fldCharType="separate"/>
          </w:r>
          <w:r>
            <w:t>85</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_Toc16644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10.1.3生态环境</w:t>
          </w:r>
          <w:r>
            <w:tab/>
          </w:r>
          <w:r>
            <w:fldChar w:fldCharType="begin"/>
          </w:r>
          <w:r>
            <w:instrText xml:space="preserve"> PAGEREF _Toc16644 </w:instrText>
          </w:r>
          <w:r>
            <w:fldChar w:fldCharType="separate"/>
          </w:r>
          <w:r>
            <w:t>85</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_Toc6185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10.1.4水环境</w:t>
          </w:r>
          <w:r>
            <w:tab/>
          </w:r>
          <w:r>
            <w:fldChar w:fldCharType="begin"/>
          </w:r>
          <w:r>
            <w:instrText xml:space="preserve"> PAGEREF _Toc6185 </w:instrText>
          </w:r>
          <w:r>
            <w:fldChar w:fldCharType="separate"/>
          </w:r>
          <w:r>
            <w:t>85</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_Toc11296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10.1.5环境空气</w:t>
          </w:r>
          <w:r>
            <w:tab/>
          </w:r>
          <w:r>
            <w:fldChar w:fldCharType="begin"/>
          </w:r>
          <w:r>
            <w:instrText xml:space="preserve"> PAGEREF _Toc11296 </w:instrText>
          </w:r>
          <w:r>
            <w:fldChar w:fldCharType="separate"/>
          </w:r>
          <w:r>
            <w:t>85</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_Toc12668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10.1.6声环境</w:t>
          </w:r>
          <w:r>
            <w:tab/>
          </w:r>
          <w:r>
            <w:fldChar w:fldCharType="begin"/>
          </w:r>
          <w:r>
            <w:instrText xml:space="preserve"> PAGEREF _Toc12668 </w:instrText>
          </w:r>
          <w:r>
            <w:fldChar w:fldCharType="separate"/>
          </w:r>
          <w:r>
            <w:t>86</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_Toc30032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10.1.7固体废物</w:t>
          </w:r>
          <w:r>
            <w:tab/>
          </w:r>
          <w:r>
            <w:fldChar w:fldCharType="begin"/>
          </w:r>
          <w:r>
            <w:instrText xml:space="preserve"> PAGEREF _Toc30032 </w:instrText>
          </w:r>
          <w:r>
            <w:fldChar w:fldCharType="separate"/>
          </w:r>
          <w:r>
            <w:t>86</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_Toc9992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10.1.8公众调查</w:t>
          </w:r>
          <w:r>
            <w:tab/>
          </w:r>
          <w:r>
            <w:fldChar w:fldCharType="begin"/>
          </w:r>
          <w:r>
            <w:instrText xml:space="preserve"> PAGEREF _Toc9992 </w:instrText>
          </w:r>
          <w:r>
            <w:fldChar w:fldCharType="separate"/>
          </w:r>
          <w:r>
            <w:t>86</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_Toc28533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10.1.9应急预案</w:t>
          </w:r>
          <w:r>
            <w:tab/>
          </w:r>
          <w:r>
            <w:fldChar w:fldCharType="begin"/>
          </w:r>
          <w:r>
            <w:instrText xml:space="preserve"> PAGEREF _Toc28533 </w:instrText>
          </w:r>
          <w:r>
            <w:fldChar w:fldCharType="separate"/>
          </w:r>
          <w:r>
            <w:t>86</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_Toc15839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10.2建议</w:t>
          </w:r>
          <w:r>
            <w:tab/>
          </w:r>
          <w:r>
            <w:fldChar w:fldCharType="begin"/>
          </w:r>
          <w:r>
            <w:instrText xml:space="preserve"> PAGEREF _Toc15839 </w:instrText>
          </w:r>
          <w:r>
            <w:fldChar w:fldCharType="separate"/>
          </w:r>
          <w:r>
            <w:t>86</w:t>
          </w:r>
          <w:r>
            <w:fldChar w:fldCharType="end"/>
          </w:r>
          <w:r>
            <w:rPr>
              <w:rFonts w:hint="default" w:ascii="仿宋" w:hAnsi="仿宋" w:eastAsia="仿宋" w:cs="仿宋"/>
              <w:szCs w:val="32"/>
              <w:lang w:val="en-US" w:eastAsia="zh-CN"/>
            </w:rPr>
            <w:fldChar w:fldCharType="end"/>
          </w:r>
        </w:p>
        <w:p>
          <w:pPr>
            <w:pStyle w:val="7"/>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_Toc23104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附件一：立项文件批复</w:t>
          </w:r>
          <w:r>
            <w:tab/>
          </w:r>
          <w:r>
            <w:fldChar w:fldCharType="begin"/>
          </w:r>
          <w:r>
            <w:instrText xml:space="preserve"> PAGEREF _Toc23104 </w:instrText>
          </w:r>
          <w:r>
            <w:fldChar w:fldCharType="separate"/>
          </w:r>
          <w:r>
            <w:t>87</w:t>
          </w:r>
          <w:r>
            <w:fldChar w:fldCharType="end"/>
          </w:r>
          <w:r>
            <w:rPr>
              <w:rFonts w:hint="default" w:ascii="仿宋" w:hAnsi="仿宋" w:eastAsia="仿宋" w:cs="仿宋"/>
              <w:szCs w:val="32"/>
              <w:lang w:val="en-US" w:eastAsia="zh-CN"/>
            </w:rPr>
            <w:fldChar w:fldCharType="end"/>
          </w:r>
        </w:p>
        <w:p>
          <w:pPr>
            <w:pStyle w:val="7"/>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_Toc12846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附件二：环评批复文件</w:t>
          </w:r>
          <w:r>
            <w:tab/>
          </w:r>
          <w:r>
            <w:fldChar w:fldCharType="begin"/>
          </w:r>
          <w:r>
            <w:instrText xml:space="preserve"> PAGEREF _Toc12846 </w:instrText>
          </w:r>
          <w:r>
            <w:fldChar w:fldCharType="separate"/>
          </w:r>
          <w:r>
            <w:t>89</w:t>
          </w:r>
          <w:r>
            <w:fldChar w:fldCharType="end"/>
          </w:r>
          <w:r>
            <w:rPr>
              <w:rFonts w:hint="default" w:ascii="仿宋" w:hAnsi="仿宋" w:eastAsia="仿宋" w:cs="仿宋"/>
              <w:szCs w:val="32"/>
              <w:lang w:val="en-US" w:eastAsia="zh-CN"/>
            </w:rPr>
            <w:fldChar w:fldCharType="end"/>
          </w:r>
        </w:p>
        <w:p>
          <w:pPr>
            <w:pStyle w:val="7"/>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_Toc5990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附件三：验收监测报告</w:t>
          </w:r>
          <w:r>
            <w:tab/>
          </w:r>
          <w:r>
            <w:fldChar w:fldCharType="begin"/>
          </w:r>
          <w:r>
            <w:instrText xml:space="preserve"> PAGEREF _Toc5990 </w:instrText>
          </w:r>
          <w:r>
            <w:fldChar w:fldCharType="separate"/>
          </w:r>
          <w:r>
            <w:t>94</w:t>
          </w:r>
          <w:r>
            <w:fldChar w:fldCharType="end"/>
          </w:r>
          <w:r>
            <w:rPr>
              <w:rFonts w:hint="default" w:ascii="仿宋" w:hAnsi="仿宋" w:eastAsia="仿宋" w:cs="仿宋"/>
              <w:szCs w:val="32"/>
              <w:lang w:val="en-US" w:eastAsia="zh-CN"/>
            </w:rPr>
            <w:fldChar w:fldCharType="end"/>
          </w:r>
        </w:p>
        <w:p>
          <w:pPr>
            <w:pStyle w:val="7"/>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_Toc1062 </w:instrText>
          </w:r>
          <w:r>
            <w:rPr>
              <w:rFonts w:hint="default" w:ascii="仿宋" w:hAnsi="仿宋" w:eastAsia="仿宋" w:cs="仿宋"/>
              <w:szCs w:val="32"/>
              <w:lang w:val="en-US" w:eastAsia="zh-CN"/>
            </w:rPr>
            <w:fldChar w:fldCharType="separate"/>
          </w:r>
          <w:r>
            <w:rPr>
              <w:rFonts w:hint="eastAsia"/>
              <w:lang w:val="en-US" w:eastAsia="zh-CN"/>
            </w:rPr>
            <w:t>附件四：验收意见</w:t>
          </w:r>
          <w:r>
            <w:tab/>
          </w:r>
          <w:r>
            <w:fldChar w:fldCharType="begin"/>
          </w:r>
          <w:r>
            <w:instrText xml:space="preserve"> PAGEREF _Toc1062 </w:instrText>
          </w:r>
          <w:r>
            <w:fldChar w:fldCharType="separate"/>
          </w:r>
          <w:r>
            <w:t>133</w:t>
          </w:r>
          <w:r>
            <w:fldChar w:fldCharType="end"/>
          </w:r>
          <w:r>
            <w:rPr>
              <w:rFonts w:hint="default" w:ascii="仿宋" w:hAnsi="仿宋" w:eastAsia="仿宋" w:cs="仿宋"/>
              <w:szCs w:val="32"/>
              <w:lang w:val="en-US" w:eastAsia="zh-CN"/>
            </w:rPr>
            <w:fldChar w:fldCharType="end"/>
          </w:r>
        </w:p>
        <w:p>
          <w:pPr>
            <w:jc w:val="left"/>
            <w:rPr>
              <w:rFonts w:hint="default" w:ascii="仿宋" w:hAnsi="仿宋" w:eastAsia="仿宋" w:cs="仿宋"/>
              <w:sz w:val="32"/>
              <w:szCs w:val="32"/>
              <w:lang w:val="en-US" w:eastAsia="zh-CN"/>
            </w:rPr>
            <w:sectPr>
              <w:pgSz w:w="11906" w:h="16838"/>
              <w:pgMar w:top="1440" w:right="1800" w:bottom="1440" w:left="1800" w:header="851" w:footer="992" w:gutter="0"/>
              <w:cols w:space="425" w:num="1"/>
              <w:docGrid w:type="lines" w:linePitch="312" w:charSpace="0"/>
            </w:sectPr>
          </w:pPr>
          <w:r>
            <w:rPr>
              <w:rFonts w:hint="default" w:ascii="仿宋" w:hAnsi="仿宋" w:eastAsia="仿宋" w:cs="仿宋"/>
              <w:szCs w:val="32"/>
              <w:lang w:val="en-US" w:eastAsia="zh-CN"/>
            </w:rPr>
            <w:fldChar w:fldCharType="end"/>
          </w:r>
        </w:p>
      </w:sdtContent>
    </w:sdt>
    <w:p>
      <w:pPr>
        <w:keepNext w:val="0"/>
        <w:keepLines w:val="0"/>
        <w:pageBreakBefore w:val="0"/>
        <w:widowControl w:val="0"/>
        <w:kinsoku/>
        <w:wordWrap/>
        <w:overflowPunct/>
        <w:topLinePunct w:val="0"/>
        <w:autoSpaceDE/>
        <w:autoSpaceDN/>
        <w:bidi w:val="0"/>
        <w:adjustRightInd/>
        <w:snapToGrid/>
        <w:spacing w:line="360" w:lineRule="auto"/>
        <w:jc w:val="left"/>
        <w:textAlignment w:val="auto"/>
        <w:outlineLvl w:val="0"/>
        <w:rPr>
          <w:rFonts w:hint="eastAsia" w:ascii="宋体" w:hAnsi="宋体" w:eastAsia="宋体" w:cs="宋体"/>
          <w:b/>
          <w:bCs/>
          <w:sz w:val="32"/>
          <w:szCs w:val="32"/>
          <w:lang w:val="en-US" w:eastAsia="zh-CN"/>
        </w:rPr>
      </w:pPr>
      <w:bookmarkStart w:id="0" w:name="_Toc15360"/>
      <w:r>
        <w:rPr>
          <w:rFonts w:hint="eastAsia" w:ascii="宋体" w:hAnsi="宋体" w:eastAsia="宋体" w:cs="宋体"/>
          <w:b/>
          <w:bCs/>
          <w:sz w:val="32"/>
          <w:szCs w:val="32"/>
          <w:lang w:val="en-US" w:eastAsia="zh-CN"/>
        </w:rPr>
        <w:t>前  言</w:t>
      </w:r>
      <w:bookmarkEnd w:id="0"/>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贵阳高新技术产业经济带沙文生态科技产业园</w:t>
      </w:r>
      <w:r>
        <w:rPr>
          <w:rFonts w:hint="eastAsia" w:ascii="Times New Roman" w:hAnsi="Times New Roman" w:eastAsia="宋体" w:cs="Times New Roman"/>
          <w:b w:val="0"/>
          <w:bCs w:val="0"/>
          <w:sz w:val="24"/>
          <w:szCs w:val="24"/>
          <w:lang w:val="en-US" w:eastAsia="zh-CN"/>
        </w:rPr>
        <w:t>金苏大道道路工程</w:t>
      </w:r>
      <w:r>
        <w:rPr>
          <w:rFonts w:hint="default" w:ascii="Times New Roman" w:hAnsi="Times New Roman" w:eastAsia="宋体" w:cs="Times New Roman"/>
          <w:b w:val="0"/>
          <w:bCs w:val="0"/>
          <w:sz w:val="24"/>
          <w:szCs w:val="24"/>
          <w:lang w:val="en-US" w:eastAsia="zh-CN"/>
        </w:rPr>
        <w:t>是据《贵阳市城区道路网规划（2006~2020）》</w:t>
      </w:r>
      <w:r>
        <w:rPr>
          <w:rFonts w:hint="eastAsia" w:ascii="Times New Roman" w:hAnsi="Times New Roman" w:eastAsia="宋体" w:cs="Times New Roman"/>
          <w:b w:val="0"/>
          <w:bCs w:val="0"/>
          <w:sz w:val="24"/>
          <w:szCs w:val="24"/>
          <w:lang w:val="en-US" w:eastAsia="zh-CN"/>
        </w:rPr>
        <w:t>而规划建设建设的一条主干道。本项目的建设使白云片区、产业园区增加一条横向主要通道，有利于白云区、产业园区的联系，利于各片区资源之间的经贸往来，对产业园区的发展有重大意义。</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贵阳高新技术经济带沙文生态科技产业园控制性详细规划》中交通道路规划，区内将依托老210国道、贵遵高等级公路、环城高速等城市干道，改造实施大沙路、白沙路，新建苏庄路、麦苏路东段、高沙路、金蒙路、</w:t>
      </w:r>
      <w:r>
        <w:rPr>
          <w:rFonts w:hint="eastAsia" w:ascii="Times New Roman" w:hAnsi="Times New Roman" w:eastAsia="宋体" w:cs="Times New Roman"/>
          <w:sz w:val="24"/>
          <w:szCs w:val="24"/>
          <w:lang w:eastAsia="zh-CN"/>
        </w:rPr>
        <w:t>金苏大道</w:t>
      </w:r>
      <w:r>
        <w:rPr>
          <w:rFonts w:hint="default" w:ascii="Times New Roman" w:hAnsi="Times New Roman" w:eastAsia="宋体" w:cs="Times New Roman"/>
          <w:sz w:val="24"/>
          <w:szCs w:val="24"/>
        </w:rPr>
        <w:t>、金苏大道、金干路、新210国道，内部形成</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五横三纵一节点</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的干道骨架，与白云经济开发区道路网衔接完善，构成完整的道路体系。</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4"/>
        </w:rPr>
      </w:pPr>
      <w:r>
        <w:rPr>
          <w:rFonts w:hint="eastAsia" w:ascii="Times New Roman" w:hAnsi="Times New Roman" w:eastAsia="宋体" w:cs="Times New Roman"/>
          <w:sz w:val="24"/>
          <w:szCs w:val="24"/>
          <w:lang w:eastAsia="zh-CN"/>
        </w:rPr>
        <w:t>金苏大道</w:t>
      </w:r>
      <w:r>
        <w:rPr>
          <w:rFonts w:hint="default" w:ascii="Times New Roman" w:hAnsi="Times New Roman" w:eastAsia="宋体" w:cs="Times New Roman"/>
          <w:sz w:val="24"/>
          <w:szCs w:val="24"/>
        </w:rPr>
        <w:t>是麦架沙文高新产业发展用地</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一横一纵</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道路主骨架重要的</w:t>
      </w:r>
      <w:r>
        <w:rPr>
          <w:rFonts w:hint="eastAsia" w:ascii="Times New Roman" w:hAnsi="Times New Roman" w:eastAsia="宋体" w:cs="Times New Roman"/>
          <w:sz w:val="24"/>
          <w:szCs w:val="24"/>
          <w:lang w:eastAsia="zh-CN"/>
        </w:rPr>
        <w:t>纵</w:t>
      </w:r>
      <w:r>
        <w:rPr>
          <w:rFonts w:hint="default" w:ascii="Times New Roman" w:hAnsi="Times New Roman" w:eastAsia="宋体" w:cs="Times New Roman"/>
          <w:sz w:val="24"/>
          <w:szCs w:val="24"/>
        </w:rPr>
        <w:t>向组成部分，是规划布局的纵向主轴线，南接长岭北路延伸段、刚玉路。道路等级为城市</w:t>
      </w:r>
      <w:r>
        <w:rPr>
          <w:rFonts w:hint="eastAsia" w:ascii="Times New Roman" w:hAnsi="Times New Roman" w:eastAsia="宋体" w:cs="Times New Roman"/>
          <w:sz w:val="24"/>
          <w:szCs w:val="24"/>
          <w:lang w:eastAsia="zh-CN"/>
        </w:rPr>
        <w:t>道路</w:t>
      </w:r>
      <w:r>
        <w:rPr>
          <w:rFonts w:hint="eastAsia" w:ascii="宋体" w:hAnsi="宋体" w:eastAsia="宋体" w:cs="宋体"/>
          <w:sz w:val="24"/>
          <w:szCs w:val="24"/>
          <w:lang w:eastAsia="zh-CN"/>
        </w:rPr>
        <w:t>Ⅰ</w:t>
      </w:r>
      <w:r>
        <w:rPr>
          <w:rFonts w:hint="eastAsia" w:ascii="Times New Roman" w:hAnsi="Times New Roman" w:eastAsia="宋体" w:cs="Times New Roman"/>
          <w:sz w:val="24"/>
          <w:szCs w:val="24"/>
          <w:lang w:eastAsia="zh-CN"/>
        </w:rPr>
        <w:t>级</w:t>
      </w:r>
      <w:r>
        <w:rPr>
          <w:rFonts w:hint="default" w:ascii="Times New Roman" w:hAnsi="Times New Roman" w:eastAsia="宋体" w:cs="Times New Roman"/>
          <w:sz w:val="24"/>
          <w:szCs w:val="24"/>
        </w:rPr>
        <w:t>，</w:t>
      </w:r>
      <w:r>
        <w:rPr>
          <w:rFonts w:hint="eastAsia" w:ascii="Times New Roman" w:hAnsi="Times New Roman" w:eastAsia="宋体" w:cs="Times New Roman"/>
          <w:sz w:val="24"/>
          <w:szCs w:val="24"/>
          <w:lang w:eastAsia="zh-CN"/>
        </w:rPr>
        <w:t>路面</w:t>
      </w:r>
      <w:r>
        <w:rPr>
          <w:rFonts w:hint="default" w:ascii="Times New Roman" w:hAnsi="Times New Roman" w:eastAsia="宋体" w:cs="Times New Roman"/>
          <w:sz w:val="24"/>
          <w:szCs w:val="24"/>
        </w:rPr>
        <w:t>宽度60m。</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贵阳高新技术产业经济带沙文生态科技产业园位于贵阳市城区北部，白云区北端，园区以发展高科技产业、实行高效能管理、培育高品位文化、体现高文明素质为目标，着力建设科技园区、生态科技产业园、文明园区。遵循</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资源节约型、环境友好型</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的方针政策，以此带动园区政治文明、物质文明和精神文明建设更快更好地发展。园区内现有西南通道一贵遵高速公路、贵阳三环线一西北绕城高速、210国道等多条主干公路从园区内穿过，交通优势明显。但作为一个生态科技产业园，园区内现状基本无市政道路和配套管网设施，根据片区的总体规划，片区内部主骨架路网将为</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一纵一横</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，内外路网的联系主要通过贵遵高速公路、西北绕城高速、210国道、金阳北部路网、白云大道等道路联系。为了园区的发展，首先应尽快启动实施园区的开发建设。而城市基础设施的建设应按照</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超前发展、先行一步</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的原则进行，因此园区内的基础设施建设就迫在眉睫，本项目作为园区内主干路网</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一纵一横</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之横向道路，必然成为启动园区基础设施建设的</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先头兵</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为此，</w:t>
      </w:r>
      <w:r>
        <w:rPr>
          <w:rFonts w:hint="eastAsia" w:ascii="Times New Roman" w:hAnsi="Times New Roman" w:eastAsia="宋体" w:cs="Times New Roman"/>
          <w:sz w:val="24"/>
          <w:szCs w:val="24"/>
          <w:lang w:eastAsia="zh-CN"/>
        </w:rPr>
        <w:t>贵阳高科控股集团有限公司</w:t>
      </w:r>
      <w:r>
        <w:rPr>
          <w:rFonts w:hint="default" w:ascii="Times New Roman" w:hAnsi="Times New Roman" w:eastAsia="宋体" w:cs="Times New Roman"/>
          <w:sz w:val="24"/>
          <w:szCs w:val="24"/>
        </w:rPr>
        <w:t>实施本项目，道路全段设计为60km/h行车速度、路宽60m的城市主干道，总长</w:t>
      </w:r>
      <w:r>
        <w:rPr>
          <w:rFonts w:hint="eastAsia" w:ascii="Times New Roman" w:hAnsi="Times New Roman" w:eastAsia="宋体" w:cs="Times New Roman"/>
          <w:sz w:val="24"/>
          <w:szCs w:val="24"/>
          <w:lang w:val="en-US" w:eastAsia="zh-CN"/>
        </w:rPr>
        <w:t>11.60</w:t>
      </w:r>
      <w:r>
        <w:rPr>
          <w:rFonts w:hint="default" w:ascii="Times New Roman" w:hAnsi="Times New Roman" w:eastAsia="宋体" w:cs="Times New Roman"/>
          <w:sz w:val="24"/>
          <w:szCs w:val="24"/>
        </w:rPr>
        <w:t>km</w:t>
      </w:r>
      <w:r>
        <w:rPr>
          <w:rFonts w:hint="eastAsia" w:ascii="Times New Roman" w:hAnsi="Times New Roman" w:eastAsia="宋体" w:cs="Times New Roman"/>
          <w:sz w:val="24"/>
          <w:szCs w:val="24"/>
          <w:lang w:eastAsia="zh-CN"/>
        </w:rPr>
        <w:t>，总投资</w:t>
      </w:r>
      <w:r>
        <w:rPr>
          <w:rFonts w:hint="eastAsia" w:ascii="Times New Roman" w:hAnsi="Times New Roman" w:eastAsia="宋体" w:cs="Times New Roman"/>
          <w:sz w:val="24"/>
          <w:szCs w:val="24"/>
          <w:lang w:val="en-US" w:eastAsia="zh-CN"/>
        </w:rPr>
        <w:t>126361.24万元</w:t>
      </w:r>
      <w:r>
        <w:rPr>
          <w:rFonts w:hint="default" w:ascii="Times New Roman" w:hAnsi="Times New Roman" w:eastAsia="宋体" w:cs="Times New Roman"/>
          <w:sz w:val="24"/>
          <w:szCs w:val="24"/>
        </w:rPr>
        <w:t>。贵阳建筑设计院有限公司于2008年6月编制了《贵阳高新技术产业经济带沙文生态科技产业园</w:t>
      </w:r>
      <w:r>
        <w:rPr>
          <w:rFonts w:hint="eastAsia" w:ascii="Times New Roman" w:hAnsi="Times New Roman" w:eastAsia="宋体" w:cs="Times New Roman"/>
          <w:sz w:val="24"/>
          <w:szCs w:val="24"/>
          <w:lang w:eastAsia="zh-CN"/>
        </w:rPr>
        <w:t>金苏大道</w:t>
      </w:r>
      <w:r>
        <w:rPr>
          <w:rFonts w:hint="default" w:ascii="Times New Roman" w:hAnsi="Times New Roman" w:eastAsia="宋体" w:cs="Times New Roman"/>
          <w:sz w:val="24"/>
          <w:szCs w:val="24"/>
        </w:rPr>
        <w:t>道路工程可行性研究报告》，贵阳市发展和改革委员会于2008年6月以筑发改投字[2008]42</w:t>
      </w:r>
      <w:r>
        <w:rPr>
          <w:rFonts w:hint="eastAsia" w:ascii="Times New Roman" w:hAnsi="Times New Roman" w:eastAsia="宋体" w:cs="Times New Roman"/>
          <w:sz w:val="24"/>
          <w:szCs w:val="24"/>
          <w:lang w:val="en-US" w:eastAsia="zh-CN"/>
        </w:rPr>
        <w:t>5</w:t>
      </w:r>
      <w:r>
        <w:rPr>
          <w:rFonts w:hint="default" w:ascii="Times New Roman" w:hAnsi="Times New Roman" w:eastAsia="宋体" w:cs="Times New Roman"/>
          <w:sz w:val="24"/>
          <w:szCs w:val="24"/>
        </w:rPr>
        <w:t>号文同意项目建设。</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4"/>
        </w:rPr>
      </w:pPr>
      <w:r>
        <w:rPr>
          <w:rFonts w:hint="eastAsia" w:ascii="Times New Roman" w:hAnsi="Times New Roman" w:eastAsia="宋体" w:cs="Times New Roman"/>
          <w:sz w:val="24"/>
          <w:szCs w:val="24"/>
          <w:lang w:val="en-US" w:eastAsia="zh-CN"/>
        </w:rPr>
        <w:t>根据《中华人民共和国环境保护法》及《建设项目竣工环境保护验收管理办法》（国家环保总局第</w:t>
      </w:r>
      <w:r>
        <w:rPr>
          <w:rFonts w:hint="default" w:ascii="Times New Roman" w:hAnsi="Times New Roman" w:eastAsia="宋体" w:cs="Times New Roman"/>
          <w:sz w:val="24"/>
          <w:szCs w:val="24"/>
          <w:lang w:val="en-US" w:eastAsia="zh-CN"/>
        </w:rPr>
        <w:t>13</w:t>
      </w:r>
      <w:r>
        <w:rPr>
          <w:rFonts w:hint="eastAsia" w:ascii="Times New Roman" w:hAnsi="Times New Roman" w:eastAsia="宋体" w:cs="Times New Roman"/>
          <w:sz w:val="24"/>
          <w:szCs w:val="24"/>
          <w:lang w:val="en-US" w:eastAsia="zh-CN"/>
        </w:rPr>
        <w:t>号令）等有关规定，按照环境保护设施与主体工程同时设计、同时施工、同时投入使用的“三同时”制度的要求，需查清工程在施工过程中对环境影响报告书和工程设计文件所提出的环境保护措施和建议的落实情况，调查分析公路在建设和运营期间对环境已造成的实际影响及可能存在的潜在影响，以便采取有效的环境保护补救措施，全面做好环境保护工作，为工程竣工环境保护验收提供依据。</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我公司于2020年3月份接受贵阳高科控股集团有限公司委托，对金苏大道道路工程进行竣工环境保护验收调查并组织监测，编制《贵阳高新技术产业经济带沙文生态科技产业园金苏大道道路工程竣工环境保护验收调查报告》。</w:t>
      </w:r>
    </w:p>
    <w:p>
      <w:pP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br w:type="page"/>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0"/>
        <w:rPr>
          <w:rFonts w:hint="default" w:ascii="Times New Roman" w:hAnsi="Times New Roman" w:eastAsia="宋体" w:cs="Times New Roman"/>
          <w:b/>
          <w:bCs/>
          <w:sz w:val="28"/>
          <w:szCs w:val="28"/>
          <w:lang w:val="en-US" w:eastAsia="zh-CN"/>
        </w:rPr>
      </w:pPr>
      <w:bookmarkStart w:id="1" w:name="_Toc20412"/>
      <w:r>
        <w:rPr>
          <w:rFonts w:hint="default" w:ascii="Times New Roman" w:hAnsi="Times New Roman" w:eastAsia="宋体" w:cs="Times New Roman"/>
          <w:b/>
          <w:bCs/>
          <w:sz w:val="28"/>
          <w:szCs w:val="28"/>
          <w:lang w:val="en-US" w:eastAsia="zh-CN"/>
        </w:rPr>
        <w:t>1 总论</w:t>
      </w:r>
      <w:bookmarkEnd w:id="1"/>
    </w:p>
    <w:p>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1"/>
        <w:rPr>
          <w:rFonts w:hint="default" w:ascii="Times New Roman" w:hAnsi="Times New Roman" w:eastAsia="宋体" w:cs="Times New Roman"/>
          <w:sz w:val="24"/>
          <w:szCs w:val="24"/>
          <w:lang w:val="en-US" w:eastAsia="zh-CN"/>
        </w:rPr>
      </w:pPr>
      <w:bookmarkStart w:id="2" w:name="_Toc20533"/>
      <w:r>
        <w:rPr>
          <w:rFonts w:hint="default" w:ascii="Times New Roman" w:hAnsi="Times New Roman" w:eastAsia="宋体" w:cs="Times New Roman"/>
          <w:sz w:val="24"/>
          <w:szCs w:val="24"/>
          <w:lang w:val="en-US" w:eastAsia="zh-CN"/>
        </w:rPr>
        <w:t>1.1编制依据</w:t>
      </w:r>
      <w:bookmarkEnd w:id="2"/>
    </w:p>
    <w:p>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2"/>
        <w:rPr>
          <w:rFonts w:hint="default" w:ascii="Times New Roman" w:hAnsi="Times New Roman" w:eastAsia="宋体" w:cs="Times New Roman"/>
          <w:sz w:val="24"/>
          <w:szCs w:val="24"/>
          <w:lang w:val="en-US" w:eastAsia="zh-CN"/>
        </w:rPr>
      </w:pPr>
      <w:bookmarkStart w:id="3" w:name="_Toc6062"/>
      <w:r>
        <w:rPr>
          <w:rFonts w:hint="default" w:ascii="Times New Roman" w:hAnsi="Times New Roman" w:eastAsia="宋体" w:cs="Times New Roman"/>
          <w:sz w:val="24"/>
          <w:szCs w:val="24"/>
          <w:lang w:val="en-US" w:eastAsia="zh-CN"/>
        </w:rPr>
        <w:t>1.1.1法律法规</w:t>
      </w:r>
      <w:bookmarkEnd w:id="3"/>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《中华人民共和国环境保护法》（2014.4.24）</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《中华人民共和国水土保持法》（201</w:t>
      </w:r>
      <w:r>
        <w:rPr>
          <w:rFonts w:hint="eastAsia" w:ascii="Times New Roman" w:hAnsi="Times New Roman" w:eastAsia="宋体" w:cs="Times New Roman"/>
          <w:sz w:val="24"/>
          <w:szCs w:val="24"/>
          <w:lang w:val="en-US" w:eastAsia="zh-CN"/>
        </w:rPr>
        <w:t>0</w:t>
      </w:r>
      <w:r>
        <w:rPr>
          <w:rFonts w:hint="default" w:ascii="Times New Roman" w:hAnsi="Times New Roman" w:eastAsia="宋体" w:cs="Times New Roman"/>
          <w:sz w:val="24"/>
          <w:szCs w:val="24"/>
          <w:lang w:val="en-US" w:eastAsia="zh-CN"/>
        </w:rPr>
        <w:t>.</w:t>
      </w:r>
      <w:r>
        <w:rPr>
          <w:rFonts w:hint="eastAsia" w:ascii="Times New Roman" w:hAnsi="Times New Roman" w:eastAsia="宋体" w:cs="Times New Roman"/>
          <w:sz w:val="24"/>
          <w:szCs w:val="24"/>
          <w:lang w:val="en-US" w:eastAsia="zh-CN"/>
        </w:rPr>
        <w:t>12.25</w:t>
      </w:r>
      <w:r>
        <w:rPr>
          <w:rFonts w:hint="default" w:ascii="Times New Roman" w:hAnsi="Times New Roman" w:eastAsia="宋体" w:cs="Times New Roman"/>
          <w:sz w:val="24"/>
          <w:szCs w:val="24"/>
          <w:lang w:val="en-US" w:eastAsia="zh-CN"/>
        </w:rPr>
        <w:t>）</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《中华人民共和国土地管理法》（2004.8.28）</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eastAsia"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《中华人民共和国环境噪声污染防治法》（1996.10.29）</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《中华人民共和国水污染防治法》（2008.2.28）</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《中华人民共和国大气污染防治法》（2000.4.29）</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《中华人民共和国固体废物污染环境防治法》（2004.12.29）</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《中华人民共和国环境影响评价法》（2002.10.28）</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《中华人民共和国公路法》（2004.8.28）</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《建设项目环境保护管理条例》（国务院令第</w:t>
      </w:r>
      <w:r>
        <w:rPr>
          <w:rFonts w:hint="eastAsia" w:ascii="Times New Roman" w:hAnsi="Times New Roman" w:eastAsia="宋体" w:cs="Times New Roman"/>
          <w:sz w:val="24"/>
          <w:szCs w:val="24"/>
          <w:lang w:val="en-US" w:eastAsia="zh-CN"/>
        </w:rPr>
        <w:t>682</w:t>
      </w:r>
      <w:r>
        <w:rPr>
          <w:rFonts w:hint="default" w:ascii="Times New Roman" w:hAnsi="Times New Roman" w:eastAsia="宋体" w:cs="Times New Roman"/>
          <w:sz w:val="24"/>
          <w:szCs w:val="24"/>
          <w:lang w:val="en-US" w:eastAsia="zh-CN"/>
        </w:rPr>
        <w:t>号，</w:t>
      </w:r>
      <w:r>
        <w:rPr>
          <w:rFonts w:hint="eastAsia" w:ascii="Times New Roman" w:hAnsi="Times New Roman" w:eastAsia="宋体" w:cs="Times New Roman"/>
          <w:sz w:val="24"/>
          <w:szCs w:val="24"/>
          <w:lang w:val="en-US" w:eastAsia="zh-CN"/>
        </w:rPr>
        <w:t>2017.07.16</w:t>
      </w:r>
      <w:r>
        <w:rPr>
          <w:rFonts w:hint="default" w:ascii="Times New Roman" w:hAnsi="Times New Roman" w:eastAsia="宋体" w:cs="Times New Roman"/>
          <w:sz w:val="24"/>
          <w:szCs w:val="24"/>
          <w:lang w:val="en-US" w:eastAsia="zh-CN"/>
        </w:rPr>
        <w:t>）</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《建设项目竣工环境保护验收</w:t>
      </w:r>
      <w:r>
        <w:rPr>
          <w:rFonts w:hint="eastAsia" w:ascii="Times New Roman" w:hAnsi="Times New Roman" w:eastAsia="宋体" w:cs="Times New Roman"/>
          <w:sz w:val="24"/>
          <w:szCs w:val="24"/>
          <w:lang w:val="en-US" w:eastAsia="zh-CN"/>
        </w:rPr>
        <w:t>暂行</w:t>
      </w:r>
      <w:r>
        <w:rPr>
          <w:rFonts w:hint="default" w:ascii="Times New Roman" w:hAnsi="Times New Roman" w:eastAsia="宋体" w:cs="Times New Roman"/>
          <w:sz w:val="24"/>
          <w:szCs w:val="24"/>
          <w:lang w:val="en-US" w:eastAsia="zh-CN"/>
        </w:rPr>
        <w:t>办法》（</w:t>
      </w:r>
      <w:r>
        <w:rPr>
          <w:rFonts w:hint="eastAsia" w:ascii="Times New Roman" w:hAnsi="Times New Roman" w:eastAsia="宋体" w:cs="Times New Roman"/>
          <w:sz w:val="24"/>
          <w:szCs w:val="24"/>
          <w:lang w:val="en-US" w:eastAsia="zh-CN"/>
        </w:rPr>
        <w:t>国环规环评[2017]4号，2017.11.20</w:t>
      </w:r>
      <w:r>
        <w:rPr>
          <w:rFonts w:hint="default" w:ascii="Times New Roman" w:hAnsi="Times New Roman" w:eastAsia="宋体" w:cs="Times New Roman"/>
          <w:sz w:val="24"/>
          <w:szCs w:val="24"/>
          <w:lang w:val="en-US" w:eastAsia="zh-CN"/>
        </w:rPr>
        <w:t>）</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《饮用水水源保护区污染防治管理规定》（国家环保总局</w:t>
      </w:r>
      <w:r>
        <w:rPr>
          <w:rFonts w:hint="eastAsia" w:ascii="Times New Roman" w:hAnsi="Times New Roman" w:eastAsia="宋体" w:cs="Times New Roman"/>
          <w:sz w:val="24"/>
          <w:szCs w:val="24"/>
          <w:lang w:val="en-US" w:eastAsia="zh-CN"/>
        </w:rPr>
        <w:t>2010.12.22</w:t>
      </w:r>
      <w:r>
        <w:rPr>
          <w:rFonts w:hint="default" w:ascii="Times New Roman" w:hAnsi="Times New Roman" w:eastAsia="宋体" w:cs="Times New Roman"/>
          <w:sz w:val="24"/>
          <w:szCs w:val="24"/>
          <w:lang w:val="en-US" w:eastAsia="zh-CN"/>
        </w:rPr>
        <w:t>）</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《基本农田保护条例》（国务院第257号令，1998.12.2</w:t>
      </w:r>
      <w:r>
        <w:rPr>
          <w:rFonts w:hint="eastAsia" w:ascii="Times New Roman" w:hAnsi="Times New Roman" w:eastAsia="宋体" w:cs="Times New Roman"/>
          <w:sz w:val="24"/>
          <w:szCs w:val="24"/>
          <w:lang w:val="en-US" w:eastAsia="zh-CN"/>
        </w:rPr>
        <w:t>4</w:t>
      </w:r>
      <w:r>
        <w:rPr>
          <w:rFonts w:hint="default" w:ascii="Times New Roman" w:hAnsi="Times New Roman" w:eastAsia="宋体" w:cs="Times New Roman"/>
          <w:sz w:val="24"/>
          <w:szCs w:val="24"/>
          <w:lang w:val="en-US" w:eastAsia="zh-CN"/>
        </w:rPr>
        <w:t>）</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《土地复垦规定》（国务院，198</w:t>
      </w:r>
      <w:r>
        <w:rPr>
          <w:rFonts w:hint="eastAsia" w:ascii="Times New Roman" w:hAnsi="Times New Roman" w:eastAsia="宋体" w:cs="Times New Roman"/>
          <w:sz w:val="24"/>
          <w:szCs w:val="24"/>
          <w:lang w:val="en-US" w:eastAsia="zh-CN"/>
        </w:rPr>
        <w:t>9.1.1</w:t>
      </w:r>
      <w:r>
        <w:rPr>
          <w:rFonts w:hint="default" w:ascii="Times New Roman" w:hAnsi="Times New Roman" w:eastAsia="宋体" w:cs="Times New Roman"/>
          <w:sz w:val="24"/>
          <w:szCs w:val="24"/>
          <w:lang w:val="en-US" w:eastAsia="zh-CN"/>
        </w:rPr>
        <w:t>）</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《关于环境保护若干问题的决定》（国发</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1996</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31号）</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《关于建设项目环境保护设施竣工验收监测管理有关问题的通知》（环发</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2000</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38号）</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《国务院进一步推行全国绿色通道建设的通知》（国发</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2000</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31号）</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《国务院关于坚决制止占用基本农田进行植树等行为的紧急通知》（国发明电</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2004</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1号）</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《国家环境保护总局、国家发展和改革委员会、交通部关于加强公路规划和建设环境影响评价工作的通知》（环发</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2007</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184号）</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《关于建设项目竣工环境保护验收实行公示的通知》（国家环保总局26号文，2003）</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《建设项目竣工环境保护验收技术规范生态影响类》（HJ/T394/2007，国家环境保护总局，2008.2.1）</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《环境保护部建设项目</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三同时</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监督检查和竣工环保验收管理规程（试行）》（环发</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2009</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150号，环境保护部）</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《建设项目竣工环境保护验收技术规范 公路》（HJ552-2010）</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《公路建设项目环境影响评价规范》（JT05-20</w:t>
      </w:r>
      <w:r>
        <w:rPr>
          <w:rFonts w:hint="eastAsia" w:ascii="Times New Roman" w:hAnsi="Times New Roman" w:eastAsia="宋体" w:cs="Times New Roman"/>
          <w:sz w:val="24"/>
          <w:szCs w:val="24"/>
          <w:lang w:val="en-US" w:eastAsia="zh-CN"/>
        </w:rPr>
        <w:t>0</w:t>
      </w:r>
      <w:r>
        <w:rPr>
          <w:rFonts w:hint="default" w:ascii="Times New Roman" w:hAnsi="Times New Roman" w:eastAsia="宋体" w:cs="Times New Roman"/>
          <w:sz w:val="24"/>
          <w:szCs w:val="24"/>
          <w:lang w:val="en-US" w:eastAsia="zh-CN"/>
        </w:rPr>
        <w:t>6，交通部）</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《贵州省环境保护条例》（2009.6）。</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2"/>
        <w:rPr>
          <w:rFonts w:hint="eastAsia" w:ascii="Times New Roman" w:hAnsi="Times New Roman" w:eastAsia="宋体" w:cs="Times New Roman"/>
          <w:sz w:val="24"/>
          <w:szCs w:val="24"/>
          <w:lang w:val="en-US" w:eastAsia="zh-CN"/>
        </w:rPr>
      </w:pPr>
      <w:bookmarkStart w:id="4" w:name="_Toc12996"/>
      <w:r>
        <w:rPr>
          <w:rFonts w:hint="eastAsia" w:ascii="Times New Roman" w:hAnsi="Times New Roman" w:eastAsia="宋体" w:cs="Times New Roman"/>
          <w:sz w:val="24"/>
          <w:szCs w:val="24"/>
          <w:lang w:val="en-US" w:eastAsia="zh-CN"/>
        </w:rPr>
        <w:t>1.1.2工程技术资料</w:t>
      </w:r>
      <w:bookmarkEnd w:id="4"/>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《关于贵阳高新技术产业经济带沙文生态科技产业园金苏大道道路工程建设项目立项的批复》（筑发改投字[2008]425号），贵阳市发展和和改革委员会，2008.06.25；</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《贵阳高新技术产业经济带沙文生态科技产业园金苏大道道路工程环境影响评价报告书》，贵州省环境科学研究设计院，2009.03；</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《关于贵阳高新技术产业经济带沙文生态科技产业园金苏大道道路工程环境影响评价报告书的批复》（黔环函[2009]185号），贵州省环境保护厅，2009.04.03。</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1"/>
        <w:rPr>
          <w:rFonts w:hint="eastAsia" w:ascii="Times New Roman" w:hAnsi="Times New Roman" w:eastAsia="宋体" w:cs="Times New Roman"/>
          <w:sz w:val="24"/>
          <w:szCs w:val="24"/>
          <w:lang w:val="en-US" w:eastAsia="zh-CN"/>
        </w:rPr>
      </w:pPr>
      <w:bookmarkStart w:id="5" w:name="_Toc26738"/>
      <w:r>
        <w:rPr>
          <w:rFonts w:hint="eastAsia" w:ascii="Times New Roman" w:hAnsi="Times New Roman" w:eastAsia="宋体" w:cs="Times New Roman"/>
          <w:sz w:val="24"/>
          <w:szCs w:val="24"/>
          <w:lang w:val="en-US" w:eastAsia="zh-CN"/>
        </w:rPr>
        <w:t>1.2调查目的</w:t>
      </w:r>
      <w:bookmarkEnd w:id="5"/>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调查工程在设计、施工、运行和管理等方面落实环境影响报告书提出的环保措施情况，以及对各级行政主管部门批复要求的落实情况；</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调查本工程已采取的生态保护、水土保持及污染控制措施，并通过对项目所在区域环境现状监测和调查结果，分析各项措施实施的有效性，针对已产生的环境问题及可能存在的潜在环境影响，提出切实可行的补救措施，对已实施的尚不完善的措施提出改进意见；</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根据工程环境影响情况的调查，客观、公正地从技术上论证该公路是否符合竣工环境保护验收条件。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1"/>
        <w:rPr>
          <w:rFonts w:hint="eastAsia" w:ascii="Times New Roman" w:hAnsi="Times New Roman" w:eastAsia="宋体" w:cs="Times New Roman"/>
          <w:sz w:val="24"/>
          <w:szCs w:val="24"/>
          <w:lang w:val="en-US" w:eastAsia="zh-CN"/>
        </w:rPr>
      </w:pPr>
      <w:bookmarkStart w:id="6" w:name="_Toc24648"/>
      <w:r>
        <w:rPr>
          <w:rFonts w:hint="eastAsia" w:ascii="Times New Roman" w:hAnsi="Times New Roman" w:eastAsia="宋体" w:cs="Times New Roman"/>
          <w:sz w:val="24"/>
          <w:szCs w:val="24"/>
          <w:lang w:val="en-US" w:eastAsia="zh-CN"/>
        </w:rPr>
        <w:t>1.3调查方法</w:t>
      </w:r>
      <w:bookmarkEnd w:id="6"/>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原则上采用《建设项目竣工环境保护验收技术规范</w:t>
      </w:r>
      <w:r>
        <w:rPr>
          <w:rFonts w:hint="eastAsia" w:ascii="Times New Roman" w:hAnsi="Times New Roman" w:eastAsia="宋体" w:cs="Times New Roman"/>
          <w:sz w:val="24"/>
          <w:szCs w:val="24"/>
          <w:lang w:val="en-US" w:eastAsia="zh-CN"/>
        </w:rPr>
        <w:t xml:space="preserve"> </w:t>
      </w:r>
      <w:r>
        <w:rPr>
          <w:rFonts w:hint="default" w:ascii="Times New Roman" w:hAnsi="Times New Roman" w:eastAsia="宋体" w:cs="Times New Roman"/>
          <w:sz w:val="24"/>
          <w:szCs w:val="24"/>
          <w:lang w:val="en-US" w:eastAsia="zh-CN"/>
        </w:rPr>
        <w:t>生态影响类》和《建设项目竣工环境保护验收技术规范 公路》要求执行，并参照《公路建设项目环境影响评价规范》规定的方法；</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环境影响分析采用资料调研、现场调查和现状监测相结合的方法；</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线路调查采用</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逐点逐段、点段结合、突出重点</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的方法；</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环境保护措施有效性分析采用改进已有措施与提出补救措施相结合的方法。</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pPr>
      <w:r>
        <w:drawing>
          <wp:inline distT="0" distB="0" distL="114300" distR="114300">
            <wp:extent cx="5271135" cy="6235065"/>
            <wp:effectExtent l="0" t="0" r="5715" b="1333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4"/>
                    <a:stretch>
                      <a:fillRect/>
                    </a:stretch>
                  </pic:blipFill>
                  <pic:spPr>
                    <a:xfrm>
                      <a:off x="0" y="0"/>
                      <a:ext cx="5271135" cy="623506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lang w:eastAsia="zh-CN"/>
        </w:rPr>
      </w:pPr>
      <w:r>
        <w:rPr>
          <w:rFonts w:hint="eastAsia"/>
          <w:lang w:eastAsia="zh-CN"/>
        </w:rPr>
        <w:t>验收调查工作流程图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1"/>
        <w:rPr>
          <w:rFonts w:hint="default" w:ascii="Times New Roman" w:hAnsi="Times New Roman" w:cs="Times New Roman"/>
          <w:lang w:val="en-US" w:eastAsia="zh-CN"/>
        </w:rPr>
      </w:pPr>
      <w:bookmarkStart w:id="7" w:name="_Toc25876"/>
      <w:r>
        <w:rPr>
          <w:rFonts w:hint="default" w:ascii="Times New Roman" w:hAnsi="Times New Roman" w:cs="Times New Roman"/>
          <w:lang w:val="en-US" w:eastAsia="zh-CN"/>
        </w:rPr>
        <w:t>1.4调查范围及因子</w:t>
      </w:r>
      <w:bookmarkEnd w:id="7"/>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2"/>
        <w:rPr>
          <w:rFonts w:hint="default" w:ascii="Times New Roman" w:hAnsi="Times New Roman" w:cs="Times New Roman"/>
          <w:lang w:val="en-US" w:eastAsia="zh-CN"/>
        </w:rPr>
      </w:pPr>
      <w:bookmarkStart w:id="8" w:name="_Toc11513"/>
      <w:r>
        <w:rPr>
          <w:rFonts w:hint="default" w:ascii="Times New Roman" w:hAnsi="Times New Roman" w:cs="Times New Roman"/>
          <w:lang w:val="en-US" w:eastAsia="zh-CN"/>
        </w:rPr>
        <w:t>1.4.1</w:t>
      </w:r>
      <w:r>
        <w:rPr>
          <w:rFonts w:hint="eastAsia" w:ascii="Times New Roman" w:hAnsi="Times New Roman" w:cs="Times New Roman"/>
          <w:lang w:val="en-US" w:eastAsia="zh-CN"/>
        </w:rPr>
        <w:t>调查范围</w:t>
      </w:r>
      <w:bookmarkEnd w:id="8"/>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sz w:val="24"/>
          <w:szCs w:val="24"/>
          <w:lang w:val="en-US" w:eastAsia="zh-CN"/>
        </w:rPr>
        <w:t>本次竣工环境保护验收调查的范围为高新技术产业经济带沙文生态科技产业园金苏大道道路工程沿线设施、敏感点等。</w:t>
      </w:r>
      <w:r>
        <w:rPr>
          <w:rFonts w:hint="eastAsia" w:ascii="Times New Roman" w:hAnsi="Times New Roman" w:eastAsia="宋体" w:cs="Times New Roman"/>
          <w:color w:val="auto"/>
          <w:sz w:val="24"/>
          <w:szCs w:val="24"/>
          <w:lang w:val="en-US" w:eastAsia="zh-CN"/>
        </w:rPr>
        <w:t>本项目南起金阳新区长岭路北段、金岭路交叉口（K0000），在该处形成十字形的平面交叉口，与长岭路北段在该处做一500m半径；向北经白云大道（K1）与白云大道平面交叉，后上跨艳山红铁路编组站（K1+200，该段道路平面左转弯，曲线半径为1000m；在贵阳耐火材料厂（K2+500）段道路右偏，曲线半径为1000m；后道路向北直行，过同心路与白沙大道转盘（K2+900），再向北沿现状白沙大道两侧拓宽改造，该段道路平面线型基本同现状道路，在有条件路段尽量采用较好的平面线型。后道路在K4+＋900处上跨绕城高速公路，向北经格林山庄（K5），在该段设一右偏的1000m半径；后在武警交通二工程处八支队（K5+800）设一右偏的1000m半径，以躲避其主要建筑物；在苏庄干田砖厂（K7）附近设一1000m半径的左转弯，道路沿正北方向布线。向正北方向在白云麻堡小学处与金苏大道相接交（K8），在K8+700 处与现状 150县道（沙文～麦架）相交，从沙子哨第四监区西侧经过；道路向北经周家山、邓家坡、大坡、杨冲大坡、团坡等地，终点（K11+060）接新寨处规划的青山路。路线全长11.6km。</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color w:val="auto"/>
          <w:sz w:val="24"/>
          <w:szCs w:val="24"/>
          <w:lang w:val="en-US" w:eastAsia="zh-CN"/>
        </w:rPr>
        <w:t>本工程主要控制点主要控制点∶起点接线平交、白云大道平交、同心路平交、现状白沙路、上跨绕城高速、金苏大道平交、青山路平交等相交道路及沿线地形。</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依据环境影响报告书，结合工程的具体情况，此次验收调查范围如下：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（1）生态调查范围：公路中心线两侧各300m以内区域，弃渣场、料场等。经过景区范围内时调查范围扩大到2~8km或整个敏感区内。</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（2）声环境调查范围：道路中心线两侧200m范围内的居民住宅、学校等声环境敏感点，重点调查100m范围内受影响的敏感点。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（3）地表水环境（含运输事故风险）调查范围：公路中心线两侧各200m以内的水库、河流、湖泊区域。跨河路段，范围延至桥位上游100m，下游1000m区域。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（4）环境空气调查范围：路中心线两侧各200m范围内。</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sectPr>
          <w:headerReference r:id="rId3" w:type="default"/>
          <w:footerReference r:id="rId4" w:type="default"/>
          <w:pgSz w:w="11906" w:h="16838"/>
          <w:pgMar w:top="1440" w:right="1800" w:bottom="1440" w:left="1800" w:header="850" w:footer="992" w:gutter="0"/>
          <w:pgNumType w:fmt="decimal" w:start="1"/>
          <w:cols w:space="425" w:num="1"/>
          <w:docGrid w:type="lines" w:linePitch="312" w:charSpace="0"/>
        </w:sectPr>
      </w:pPr>
      <w:r>
        <w:rPr>
          <w:rFonts w:hint="default" w:ascii="Times New Roman" w:hAnsi="Times New Roman" w:eastAsia="宋体" w:cs="Times New Roman"/>
          <w:sz w:val="24"/>
          <w:szCs w:val="24"/>
          <w:lang w:val="en-US" w:eastAsia="zh-CN"/>
        </w:rPr>
        <w:t>（5）社会环境调查范围：公路中心线两侧各200m以内的敏感点（如居民点、学校等）</w:t>
      </w:r>
      <w:r>
        <w:rPr>
          <w:rFonts w:hint="eastAsia" w:ascii="Times New Roman" w:hAnsi="Times New Roman" w:eastAsia="宋体" w:cs="Times New Roman"/>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drawing>
          <wp:inline distT="0" distB="0" distL="114300" distR="114300">
            <wp:extent cx="8004810" cy="4744085"/>
            <wp:effectExtent l="0" t="0" r="15240" b="18415"/>
            <wp:docPr id="97" name="图片 97" descr="IMG_20200808_150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IMG_20200808_150906"/>
                    <pic:cNvPicPr>
                      <a:picLocks noChangeAspect="1"/>
                    </pic:cNvPicPr>
                  </pic:nvPicPr>
                  <pic:blipFill>
                    <a:blip r:embed="rId15"/>
                    <a:srcRect l="10510" t="1734" r="24536" b="1734"/>
                    <a:stretch>
                      <a:fillRect/>
                    </a:stretch>
                  </pic:blipFill>
                  <pic:spPr>
                    <a:xfrm>
                      <a:off x="0" y="0"/>
                      <a:ext cx="8004810" cy="474408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图1.4.1-1项目走势图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drawing>
          <wp:inline distT="0" distB="0" distL="114300" distR="114300">
            <wp:extent cx="4817745" cy="7143750"/>
            <wp:effectExtent l="0" t="0" r="0" b="1905"/>
            <wp:docPr id="98" name="图片 98" descr="IMG_20200808_150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IMG_20200808_150921"/>
                    <pic:cNvPicPr>
                      <a:picLocks noChangeAspect="1"/>
                    </pic:cNvPicPr>
                  </pic:nvPicPr>
                  <pic:blipFill>
                    <a:blip r:embed="rId16"/>
                    <a:srcRect t="7681" b="23477"/>
                    <a:stretch>
                      <a:fillRect/>
                    </a:stretch>
                  </pic:blipFill>
                  <pic:spPr>
                    <a:xfrm rot="16200000">
                      <a:off x="0" y="0"/>
                      <a:ext cx="4817745" cy="71437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图1.4.1-2项目走势图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drawing>
          <wp:inline distT="0" distB="0" distL="114300" distR="114300">
            <wp:extent cx="4930775" cy="7098030"/>
            <wp:effectExtent l="0" t="0" r="7620" b="3175"/>
            <wp:docPr id="99" name="图片 99" descr="IMG_20200808_150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IMG_20200808_150932"/>
                    <pic:cNvPicPr>
                      <a:picLocks noChangeAspect="1"/>
                    </pic:cNvPicPr>
                  </pic:nvPicPr>
                  <pic:blipFill>
                    <a:blip r:embed="rId17"/>
                    <a:srcRect t="8343" b="24837"/>
                    <a:stretch>
                      <a:fillRect/>
                    </a:stretch>
                  </pic:blipFill>
                  <pic:spPr>
                    <a:xfrm rot="16200000">
                      <a:off x="0" y="0"/>
                      <a:ext cx="4930775" cy="709803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图1.4.1-3项目走势图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drawing>
          <wp:inline distT="0" distB="0" distL="114300" distR="114300">
            <wp:extent cx="4792980" cy="7056120"/>
            <wp:effectExtent l="0" t="0" r="11430" b="7620"/>
            <wp:docPr id="100" name="图片 100" descr="IMG_20200808_150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IMG_20200808_150944"/>
                    <pic:cNvPicPr>
                      <a:picLocks noChangeAspect="1"/>
                    </pic:cNvPicPr>
                  </pic:nvPicPr>
                  <pic:blipFill>
                    <a:blip r:embed="rId18"/>
                    <a:srcRect l="3890" t="9704" b="24609"/>
                    <a:stretch>
                      <a:fillRect/>
                    </a:stretch>
                  </pic:blipFill>
                  <pic:spPr>
                    <a:xfrm rot="16200000">
                      <a:off x="0" y="0"/>
                      <a:ext cx="4792980" cy="705612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图1.4.1-4项目走势图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drawing>
          <wp:inline distT="0" distB="0" distL="114300" distR="114300">
            <wp:extent cx="4887595" cy="7430135"/>
            <wp:effectExtent l="0" t="0" r="18415" b="8255"/>
            <wp:docPr id="101" name="图片 101" descr="IMG_20200808_150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IMG_20200808_150956"/>
                    <pic:cNvPicPr>
                      <a:picLocks noChangeAspect="1"/>
                    </pic:cNvPicPr>
                  </pic:nvPicPr>
                  <pic:blipFill>
                    <a:blip r:embed="rId19"/>
                    <a:srcRect l="5342" t="8584" b="24609"/>
                    <a:stretch>
                      <a:fillRect/>
                    </a:stretch>
                  </pic:blipFill>
                  <pic:spPr>
                    <a:xfrm rot="16200000">
                      <a:off x="0" y="0"/>
                      <a:ext cx="4887595" cy="743013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图1.4.1-5项目走势图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drawing>
          <wp:inline distT="0" distB="0" distL="114300" distR="114300">
            <wp:extent cx="4652645" cy="7122795"/>
            <wp:effectExtent l="0" t="0" r="1905" b="14605"/>
            <wp:docPr id="103" name="图片 103" descr="IMG_20200808_15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IMG_20200808_151116"/>
                    <pic:cNvPicPr>
                      <a:picLocks noChangeAspect="1"/>
                    </pic:cNvPicPr>
                  </pic:nvPicPr>
                  <pic:blipFill>
                    <a:blip r:embed="rId20"/>
                    <a:srcRect l="2905" t="11510" r="2438" b="21214"/>
                    <a:stretch>
                      <a:fillRect/>
                    </a:stretch>
                  </pic:blipFill>
                  <pic:spPr>
                    <a:xfrm rot="16200000">
                      <a:off x="0" y="0"/>
                      <a:ext cx="4652645" cy="712279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图1.4.1-6项目走势图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lang w:val="en-US" w:eastAsia="zh-CN"/>
        </w:rPr>
        <w:sectPr>
          <w:pgSz w:w="16838" w:h="11906" w:orient="landscape"/>
          <w:pgMar w:top="1800" w:right="1440" w:bottom="1800" w:left="1440" w:header="850" w:footer="992" w:gutter="0"/>
          <w:pgNumType w:fmt="decimal" w:start="1"/>
          <w:cols w:space="425" w:num="1"/>
          <w:docGrid w:type="lines" w:linePitch="312" w:charSpace="0"/>
        </w:sect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2"/>
        <w:rPr>
          <w:rFonts w:hint="default" w:ascii="Times New Roman" w:hAnsi="Times New Roman" w:eastAsia="宋体" w:cs="Times New Roman"/>
          <w:sz w:val="24"/>
          <w:szCs w:val="24"/>
          <w:lang w:val="en-US" w:eastAsia="zh-CN"/>
        </w:rPr>
      </w:pPr>
      <w:bookmarkStart w:id="9" w:name="_Toc16607"/>
      <w:r>
        <w:rPr>
          <w:rFonts w:hint="eastAsia" w:ascii="Times New Roman" w:hAnsi="Times New Roman" w:eastAsia="宋体" w:cs="Times New Roman"/>
          <w:sz w:val="24"/>
          <w:szCs w:val="24"/>
          <w:lang w:val="en-US" w:eastAsia="zh-CN"/>
        </w:rPr>
        <w:t>1.4.2调查因子</w:t>
      </w:r>
      <w:bookmarkEnd w:id="9"/>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生态环境：野生动植物、工程占地类型、取弃土（渣）场的生态恢复状况及已采取的措施、护坡工程及其效果、土地整治工程及其效果、绿化工程及其效果、路基及边坡排水工程的实施效果的调查等；</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声环境：等效声级L</w:t>
      </w:r>
      <w:r>
        <w:rPr>
          <w:rFonts w:hint="default" w:ascii="Times New Roman" w:hAnsi="Times New Roman" w:eastAsia="宋体" w:cs="Times New Roman"/>
          <w:sz w:val="24"/>
          <w:szCs w:val="24"/>
          <w:vertAlign w:val="subscript"/>
          <w:lang w:val="en-US" w:eastAsia="zh-CN"/>
        </w:rPr>
        <w:t>Aeq</w:t>
      </w:r>
      <w:r>
        <w:rPr>
          <w:rFonts w:hint="default" w:ascii="Times New Roman" w:hAnsi="Times New Roman" w:eastAsia="宋体" w:cs="Times New Roman"/>
          <w:sz w:val="24"/>
          <w:szCs w:val="24"/>
          <w:lang w:val="en-US" w:eastAsia="zh-CN"/>
        </w:rPr>
        <w:t>；</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水污染源：</w:t>
      </w:r>
      <w:r>
        <w:rPr>
          <w:rFonts w:hint="eastAsia" w:ascii="Times New Roman" w:hAnsi="Times New Roman" w:eastAsia="宋体" w:cs="Times New Roman"/>
          <w:sz w:val="24"/>
          <w:szCs w:val="24"/>
          <w:lang w:val="en-US" w:eastAsia="zh-CN"/>
        </w:rPr>
        <w:t>COD</w:t>
      </w:r>
      <w:r>
        <w:rPr>
          <w:rFonts w:hint="default" w:ascii="Times New Roman" w:hAnsi="Times New Roman" w:eastAsia="宋体" w:cs="Times New Roman"/>
          <w:sz w:val="24"/>
          <w:szCs w:val="24"/>
          <w:lang w:val="en-US" w:eastAsia="zh-CN"/>
        </w:rPr>
        <w:t>、SS、石油类、氨氮、</w:t>
      </w:r>
      <w:r>
        <w:rPr>
          <w:rFonts w:hint="eastAsia" w:ascii="Times New Roman" w:hAnsi="Times New Roman" w:eastAsia="宋体" w:cs="Times New Roman"/>
          <w:sz w:val="24"/>
          <w:szCs w:val="24"/>
          <w:lang w:val="en-US" w:eastAsia="zh-CN"/>
        </w:rPr>
        <w:t>p</w:t>
      </w:r>
      <w:r>
        <w:rPr>
          <w:rFonts w:hint="default" w:ascii="Times New Roman" w:hAnsi="Times New Roman" w:eastAsia="宋体" w:cs="Times New Roman"/>
          <w:sz w:val="24"/>
          <w:szCs w:val="24"/>
          <w:lang w:val="en-US" w:eastAsia="zh-CN"/>
        </w:rPr>
        <w:t>H，以及污（废）水排放量及排放去向；</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运输事故风险：排水设施、相关防范措施、应急预案及管理办法；</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大气污染源：NO</w:t>
      </w:r>
      <w:r>
        <w:rPr>
          <w:rFonts w:hint="default" w:ascii="Times New Roman" w:hAnsi="Times New Roman" w:eastAsia="宋体" w:cs="Times New Roman"/>
          <w:sz w:val="24"/>
          <w:szCs w:val="24"/>
          <w:vertAlign w:val="subscript"/>
          <w:lang w:val="en-US" w:eastAsia="zh-CN"/>
        </w:rPr>
        <w:t>2</w:t>
      </w:r>
      <w:r>
        <w:rPr>
          <w:rFonts w:hint="default" w:ascii="Times New Roman" w:hAnsi="Times New Roman" w:eastAsia="宋体" w:cs="Times New Roman"/>
          <w:sz w:val="24"/>
          <w:szCs w:val="24"/>
          <w:lang w:val="en-US" w:eastAsia="zh-CN"/>
        </w:rPr>
        <w:t>、TSP。</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1"/>
        <w:rPr>
          <w:rFonts w:hint="eastAsia" w:ascii="Times New Roman" w:hAnsi="Times New Roman" w:eastAsia="宋体" w:cs="Times New Roman"/>
          <w:sz w:val="24"/>
          <w:szCs w:val="24"/>
          <w:lang w:val="en-US" w:eastAsia="zh-CN"/>
        </w:rPr>
      </w:pPr>
      <w:bookmarkStart w:id="10" w:name="_Toc14109"/>
      <w:r>
        <w:rPr>
          <w:rFonts w:hint="eastAsia" w:ascii="Times New Roman" w:hAnsi="Times New Roman" w:eastAsia="宋体" w:cs="Times New Roman"/>
          <w:sz w:val="24"/>
          <w:szCs w:val="24"/>
          <w:lang w:val="en-US" w:eastAsia="zh-CN"/>
        </w:rPr>
        <w:t>1.5验收标准</w:t>
      </w:r>
      <w:bookmarkEnd w:id="10"/>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60" w:firstLineChars="200"/>
        <w:jc w:val="both"/>
        <w:textAlignment w:val="auto"/>
        <w:outlineLvl w:val="9"/>
        <w:rPr>
          <w:rFonts w:hint="eastAsia" w:ascii="宋体" w:hAnsi="宋体" w:eastAsia="宋体" w:cs="宋体"/>
          <w:sz w:val="24"/>
          <w:szCs w:val="24"/>
        </w:rPr>
      </w:pPr>
      <w:r>
        <w:rPr>
          <w:rFonts w:hint="eastAsia" w:ascii="宋体" w:hAnsi="宋体" w:eastAsia="宋体" w:cs="宋体"/>
          <w:spacing w:val="-5"/>
          <w:sz w:val="24"/>
          <w:szCs w:val="24"/>
        </w:rPr>
        <w:t>验收调查原则上采用环境影响报告书所采用的环境标准，对已修订重新颁布</w:t>
      </w:r>
      <w:r>
        <w:rPr>
          <w:rFonts w:hint="eastAsia" w:ascii="宋体" w:hAnsi="宋体" w:eastAsia="宋体" w:cs="宋体"/>
          <w:sz w:val="24"/>
          <w:szCs w:val="24"/>
        </w:rPr>
        <w:t>的标准则采用替代后的新标准进行校核。</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2"/>
        <w:rPr>
          <w:rFonts w:hint="eastAsia" w:ascii="Times New Roman" w:hAnsi="Times New Roman" w:cs="Times New Roman"/>
          <w:sz w:val="24"/>
          <w:szCs w:val="24"/>
          <w:lang w:val="en-US" w:eastAsia="zh-CN"/>
        </w:rPr>
      </w:pPr>
      <w:bookmarkStart w:id="11" w:name="_Toc8323"/>
      <w:r>
        <w:rPr>
          <w:rFonts w:hint="default" w:ascii="Times New Roman" w:hAnsi="Times New Roman" w:cs="Times New Roman"/>
          <w:sz w:val="24"/>
          <w:szCs w:val="24"/>
          <w:lang w:val="en-US" w:eastAsia="zh-CN"/>
        </w:rPr>
        <w:t>1.5.1</w:t>
      </w:r>
      <w:r>
        <w:rPr>
          <w:rFonts w:hint="eastAsia" w:ascii="Times New Roman" w:hAnsi="Times New Roman" w:cs="Times New Roman"/>
          <w:sz w:val="24"/>
          <w:szCs w:val="24"/>
          <w:lang w:val="en-US" w:eastAsia="zh-CN"/>
        </w:rPr>
        <w:t>环境质量标准</w:t>
      </w:r>
      <w:bookmarkEnd w:id="11"/>
    </w:p>
    <w:p>
      <w:pPr>
        <w:keepNext w:val="0"/>
        <w:keepLines w:val="0"/>
        <w:pageBreakBefore w:val="0"/>
        <w:widowControl w:val="0"/>
        <w:numPr>
          <w:ilvl w:val="0"/>
          <w:numId w:val="6"/>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声环境</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环境噪声执行《声环境质量标准》（GB3096-2008）。公路两侧红线外35m以内的区域执行4a 标准（昼70dB夜55dB），35m以外200m以内的区域执行2类标准（昼60dB夜50dB）；调查范围内的学校、医院等特殊敏感区域一律执行2类标准（昼60dB夜 0dB）。具体标准值见表1.5</w:t>
      </w:r>
      <w:r>
        <w:rPr>
          <w:rFonts w:hint="eastAsia" w:ascii="Times New Roman" w:hAnsi="Times New Roman" w:cs="Times New Roman"/>
          <w:sz w:val="24"/>
          <w:szCs w:val="24"/>
          <w:lang w:val="en-US" w:eastAsia="zh-CN"/>
        </w:rPr>
        <w:t>.1</w:t>
      </w:r>
      <w:r>
        <w:rPr>
          <w:rFonts w:hint="default" w:ascii="Times New Roman" w:hAnsi="Times New Roman" w:cs="Times New Roman"/>
          <w:sz w:val="24"/>
          <w:szCs w:val="24"/>
          <w:lang w:val="en-US" w:eastAsia="zh-CN"/>
        </w:rPr>
        <w:t>-1。</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表1.5.1-1 声环境质量标准（GB 3096-2008）</w:t>
      </w:r>
    </w:p>
    <w:tbl>
      <w:tblPr>
        <w:tblStyle w:val="1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7"/>
        <w:gridCol w:w="1450"/>
        <w:gridCol w:w="1317"/>
        <w:gridCol w:w="46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7"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textAlignment w:val="auto"/>
              <w:rPr>
                <w:rFonts w:hint="default" w:ascii="宋体" w:hAnsi="Times New Roman" w:eastAsia="宋体" w:cs="Times New Roman"/>
                <w:b/>
                <w:kern w:val="2"/>
                <w:sz w:val="21"/>
                <w:szCs w:val="21"/>
                <w:lang w:val="en-US" w:eastAsia="zh-CN" w:bidi="zh-CN"/>
              </w:rPr>
            </w:pPr>
            <w:r>
              <w:rPr>
                <w:rFonts w:hint="eastAsia" w:ascii="宋体" w:eastAsia="宋体"/>
                <w:b/>
                <w:sz w:val="21"/>
                <w:szCs w:val="21"/>
              </w:rPr>
              <w:t>类别</w:t>
            </w:r>
          </w:p>
        </w:tc>
        <w:tc>
          <w:tcPr>
            <w:tcW w:w="1450"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textAlignment w:val="auto"/>
              <w:rPr>
                <w:rFonts w:hint="default" w:ascii="宋体" w:hAnsi="Times New Roman" w:eastAsia="宋体" w:cs="Times New Roman"/>
                <w:b/>
                <w:kern w:val="2"/>
                <w:sz w:val="21"/>
                <w:szCs w:val="21"/>
                <w:lang w:val="en-US" w:eastAsia="zh-CN" w:bidi="zh-CN"/>
              </w:rPr>
            </w:pPr>
            <w:r>
              <w:rPr>
                <w:rFonts w:hint="eastAsia" w:ascii="宋体" w:eastAsia="宋体"/>
                <w:b/>
                <w:sz w:val="21"/>
                <w:szCs w:val="21"/>
              </w:rPr>
              <w:t>昼间</w:t>
            </w:r>
          </w:p>
        </w:tc>
        <w:tc>
          <w:tcPr>
            <w:tcW w:w="1317"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textAlignment w:val="auto"/>
              <w:rPr>
                <w:rFonts w:hint="default" w:ascii="宋体" w:hAnsi="Times New Roman" w:eastAsia="宋体" w:cs="Times New Roman"/>
                <w:b/>
                <w:kern w:val="2"/>
                <w:sz w:val="21"/>
                <w:szCs w:val="21"/>
                <w:lang w:val="en-US" w:eastAsia="zh-CN" w:bidi="zh-CN"/>
              </w:rPr>
            </w:pPr>
            <w:r>
              <w:rPr>
                <w:rFonts w:hint="eastAsia" w:ascii="宋体" w:eastAsia="宋体"/>
                <w:b/>
                <w:sz w:val="21"/>
                <w:szCs w:val="21"/>
              </w:rPr>
              <w:t>夜间</w:t>
            </w:r>
          </w:p>
        </w:tc>
        <w:tc>
          <w:tcPr>
            <w:tcW w:w="4688"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textAlignment w:val="auto"/>
              <w:rPr>
                <w:rFonts w:hint="default" w:ascii="宋体" w:eastAsia="宋体"/>
                <w:b/>
                <w:sz w:val="21"/>
                <w:szCs w:val="21"/>
                <w:lang w:val="en-US" w:eastAsia="zh-CN"/>
              </w:rPr>
            </w:pPr>
            <w:r>
              <w:rPr>
                <w:rFonts w:hint="eastAsia" w:ascii="宋体" w:eastAsia="宋体"/>
                <w:b/>
                <w:sz w:val="21"/>
                <w:szCs w:val="21"/>
              </w:rPr>
              <w:t>适用区域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right="0"/>
              <w:jc w:val="center"/>
              <w:textAlignment w:val="auto"/>
              <w:outlineLvl w:val="9"/>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2类</w:t>
            </w:r>
          </w:p>
        </w:tc>
        <w:tc>
          <w:tcPr>
            <w:tcW w:w="14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right="0"/>
              <w:jc w:val="center"/>
              <w:textAlignment w:val="auto"/>
              <w:outlineLvl w:val="9"/>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60dB</w:t>
            </w:r>
          </w:p>
        </w:tc>
        <w:tc>
          <w:tcPr>
            <w:tcW w:w="131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right="0"/>
              <w:jc w:val="center"/>
              <w:textAlignment w:val="auto"/>
              <w:outlineLvl w:val="9"/>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50dB</w:t>
            </w:r>
          </w:p>
        </w:tc>
        <w:tc>
          <w:tcPr>
            <w:tcW w:w="468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right="0"/>
              <w:jc w:val="center"/>
              <w:textAlignment w:val="auto"/>
              <w:outlineLvl w:val="9"/>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以商业金融、集市贸易为主要功能，或者居住、商业、工业混 杂，需要维护住宅安静的区域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right="0"/>
              <w:jc w:val="center"/>
              <w:textAlignment w:val="auto"/>
              <w:outlineLvl w:val="9"/>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4a类</w:t>
            </w:r>
          </w:p>
        </w:tc>
        <w:tc>
          <w:tcPr>
            <w:tcW w:w="14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right="0"/>
              <w:jc w:val="center"/>
              <w:textAlignment w:val="auto"/>
              <w:outlineLvl w:val="9"/>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70dB</w:t>
            </w:r>
          </w:p>
        </w:tc>
        <w:tc>
          <w:tcPr>
            <w:tcW w:w="131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right="0"/>
              <w:jc w:val="center"/>
              <w:textAlignment w:val="auto"/>
              <w:outlineLvl w:val="9"/>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55dB</w:t>
            </w:r>
          </w:p>
        </w:tc>
        <w:tc>
          <w:tcPr>
            <w:tcW w:w="468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right="0"/>
              <w:jc w:val="center"/>
              <w:textAlignment w:val="auto"/>
              <w:outlineLvl w:val="9"/>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高速公路、一级公路、二级公路、城市快速路、城市主干路 城市次干路、城市轨道交通（地面段）、内河航道两侧区域</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（2）环境空气</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default" w:ascii="Times New Roman" w:hAnsi="Times New Roman" w:eastAsia="宋体" w:cs="Times New Roman"/>
          <w:position w:val="2"/>
          <w:sz w:val="24"/>
          <w:szCs w:val="24"/>
        </w:rPr>
        <w:t>NO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pacing w:val="-17"/>
          <w:position w:val="2"/>
          <w:sz w:val="24"/>
          <w:szCs w:val="24"/>
        </w:rPr>
        <w:t>、</w:t>
      </w:r>
      <w:r>
        <w:rPr>
          <w:rFonts w:hint="default" w:ascii="Times New Roman" w:hAnsi="Times New Roman" w:eastAsia="宋体" w:cs="Times New Roman"/>
          <w:position w:val="2"/>
          <w:sz w:val="24"/>
          <w:szCs w:val="24"/>
        </w:rPr>
        <w:t>TSP</w:t>
      </w:r>
      <w:r>
        <w:rPr>
          <w:rFonts w:hint="default" w:ascii="Times New Roman" w:hAnsi="Times New Roman" w:eastAsia="宋体" w:cs="Times New Roman"/>
          <w:spacing w:val="-4"/>
          <w:position w:val="2"/>
          <w:sz w:val="24"/>
          <w:szCs w:val="24"/>
        </w:rPr>
        <w:t>均执行《环境空气质量标准</w:t>
      </w:r>
      <w:r>
        <w:rPr>
          <w:rFonts w:hint="default" w:ascii="Times New Roman" w:hAnsi="Times New Roman" w:eastAsia="宋体" w:cs="Times New Roman"/>
          <w:spacing w:val="-137"/>
          <w:position w:val="2"/>
          <w:sz w:val="24"/>
          <w:szCs w:val="24"/>
        </w:rPr>
        <w:t>》</w:t>
      </w:r>
      <w:r>
        <w:rPr>
          <w:rFonts w:hint="default" w:ascii="Times New Roman" w:hAnsi="Times New Roman" w:eastAsia="宋体" w:cs="Times New Roman"/>
          <w:position w:val="2"/>
          <w:sz w:val="24"/>
          <w:szCs w:val="24"/>
        </w:rPr>
        <w:t>（GB3095-1996）</w:t>
      </w:r>
      <w:r>
        <w:rPr>
          <w:rFonts w:hint="default" w:ascii="Times New Roman" w:hAnsi="Times New Roman" w:eastAsia="宋体" w:cs="Times New Roman"/>
          <w:spacing w:val="-4"/>
          <w:position w:val="2"/>
          <w:sz w:val="24"/>
          <w:szCs w:val="24"/>
        </w:rPr>
        <w:t>中的二级标准</w:t>
      </w:r>
      <w:r>
        <w:rPr>
          <w:rFonts w:hint="eastAsia" w:ascii="Times New Roman" w:hAnsi="Times New Roman" w:eastAsia="宋体" w:cs="Times New Roman"/>
          <w:spacing w:val="-4"/>
          <w:position w:val="2"/>
          <w:sz w:val="24"/>
          <w:szCs w:val="24"/>
          <w:lang w:eastAsia="zh-CN"/>
        </w:rPr>
        <w:t>。</w:t>
      </w:r>
      <w:r>
        <w:rPr>
          <w:rFonts w:hint="default" w:ascii="Times New Roman" w:hAnsi="Times New Roman" w:cs="Times New Roman"/>
          <w:sz w:val="24"/>
          <w:szCs w:val="24"/>
          <w:lang w:val="en-US" w:eastAsia="zh-CN"/>
        </w:rPr>
        <w:t>具体标准值见表1.5</w:t>
      </w:r>
      <w:r>
        <w:rPr>
          <w:rFonts w:hint="eastAsia" w:ascii="Times New Roman" w:hAnsi="Times New Roman" w:cs="Times New Roman"/>
          <w:sz w:val="24"/>
          <w:szCs w:val="24"/>
          <w:lang w:val="en-US" w:eastAsia="zh-CN"/>
        </w:rPr>
        <w:t>.1</w:t>
      </w:r>
      <w:r>
        <w:rPr>
          <w:rFonts w:hint="default" w:ascii="Times New Roman" w:hAnsi="Times New Roman" w:cs="Times New Roman"/>
          <w:sz w:val="24"/>
          <w:szCs w:val="24"/>
          <w:lang w:val="en-US" w:eastAsia="zh-CN"/>
        </w:rPr>
        <w:t>-</w:t>
      </w:r>
      <w:r>
        <w:rPr>
          <w:rFonts w:hint="eastAsia" w:ascii="Times New Roman" w:hAnsi="Times New Roman" w:cs="Times New Roman"/>
          <w:sz w:val="24"/>
          <w:szCs w:val="24"/>
          <w:lang w:val="en-US" w:eastAsia="zh-CN"/>
        </w:rPr>
        <w:t>2</w:t>
      </w:r>
    </w:p>
    <w:p>
      <w:pPr>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br w:type="page"/>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cs="Times New Roman"/>
          <w:sz w:val="24"/>
          <w:szCs w:val="24"/>
          <w:vertAlign w:val="baseline"/>
          <w:lang w:val="en-US" w:eastAsia="zh-CN"/>
        </w:rPr>
      </w:pPr>
      <w:r>
        <w:rPr>
          <w:rFonts w:hint="eastAsia" w:ascii="Times New Roman" w:hAnsi="Times New Roman" w:cs="Times New Roman"/>
          <w:sz w:val="24"/>
          <w:szCs w:val="24"/>
          <w:lang w:val="en-US" w:eastAsia="zh-CN"/>
        </w:rPr>
        <w:t>表1.5.1-2 环境空气质量标准</w:t>
      </w:r>
    </w:p>
    <w:tbl>
      <w:tblPr>
        <w:tblStyle w:val="10"/>
        <w:tblW w:w="853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4"/>
        <w:gridCol w:w="1093"/>
        <w:gridCol w:w="2330"/>
        <w:gridCol w:w="2284"/>
        <w:gridCol w:w="16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trPr>
        <w:tc>
          <w:tcPr>
            <w:tcW w:w="2155"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bCs/>
                <w:sz w:val="21"/>
                <w:szCs w:val="21"/>
                <w:vertAlign w:val="baseline"/>
                <w:lang w:val="en-US" w:eastAsia="zh-CN"/>
              </w:rPr>
            </w:pPr>
            <w:r>
              <w:rPr>
                <w:rFonts w:hint="eastAsia" w:ascii="Times New Roman" w:hAnsi="Times New Roman" w:cs="Times New Roman"/>
                <w:b/>
                <w:bCs/>
                <w:sz w:val="21"/>
                <w:szCs w:val="21"/>
                <w:vertAlign w:val="baseline"/>
                <w:lang w:val="en-US" w:eastAsia="zh-CN"/>
              </w:rPr>
              <w:t>项目</w:t>
            </w:r>
          </w:p>
        </w:tc>
        <w:tc>
          <w:tcPr>
            <w:tcW w:w="236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bCs/>
                <w:sz w:val="21"/>
                <w:szCs w:val="21"/>
                <w:vertAlign w:val="baseline"/>
                <w:lang w:val="en-US" w:eastAsia="zh-CN"/>
              </w:rPr>
            </w:pPr>
            <w:r>
              <w:rPr>
                <w:rFonts w:hint="eastAsia" w:ascii="Times New Roman" w:hAnsi="Times New Roman" w:cs="Times New Roman"/>
                <w:b/>
                <w:bCs/>
                <w:sz w:val="21"/>
                <w:szCs w:val="21"/>
                <w:vertAlign w:val="baseline"/>
                <w:lang w:val="en-US" w:eastAsia="zh-CN"/>
              </w:rPr>
              <w:t>评价等级</w:t>
            </w:r>
          </w:p>
        </w:tc>
        <w:tc>
          <w:tcPr>
            <w:tcW w:w="23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bCs/>
                <w:sz w:val="21"/>
                <w:szCs w:val="21"/>
                <w:vertAlign w:val="baseline"/>
                <w:lang w:val="en-US" w:eastAsia="zh-CN"/>
              </w:rPr>
            </w:pPr>
            <w:r>
              <w:rPr>
                <w:rFonts w:hint="eastAsia" w:ascii="Times New Roman" w:hAnsi="Times New Roman" w:cs="Times New Roman"/>
                <w:b/>
                <w:bCs/>
                <w:sz w:val="21"/>
                <w:szCs w:val="21"/>
                <w:vertAlign w:val="baseline"/>
                <w:lang w:val="en-US" w:eastAsia="zh-CN"/>
              </w:rPr>
              <w:t>标准要求</w:t>
            </w:r>
          </w:p>
        </w:tc>
        <w:tc>
          <w:tcPr>
            <w:tcW w:w="170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bCs/>
                <w:sz w:val="21"/>
                <w:szCs w:val="21"/>
                <w:vertAlign w:val="baseline"/>
                <w:lang w:val="en-US" w:eastAsia="zh-CN"/>
              </w:rPr>
            </w:pPr>
            <w:r>
              <w:rPr>
                <w:rFonts w:hint="eastAsia" w:ascii="Times New Roman" w:hAnsi="Times New Roman" w:cs="Times New Roman"/>
                <w:b/>
                <w:bCs/>
                <w:sz w:val="21"/>
                <w:szCs w:val="21"/>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53"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日均值（</w:t>
            </w:r>
            <w:r>
              <w:rPr>
                <w:rFonts w:hint="default" w:ascii="Times New Roman" w:hAnsi="Times New Roman" w:cs="Times New Roman"/>
                <w:sz w:val="21"/>
                <w:szCs w:val="21"/>
                <w:vertAlign w:val="baseline"/>
                <w:lang w:val="en-US" w:eastAsia="zh-CN"/>
              </w:rPr>
              <w:t>μ</w:t>
            </w:r>
            <w:r>
              <w:rPr>
                <w:rFonts w:hint="eastAsia" w:ascii="Times New Roman" w:hAnsi="Times New Roman" w:cs="Times New Roman"/>
                <w:sz w:val="21"/>
                <w:szCs w:val="21"/>
                <w:vertAlign w:val="baseline"/>
                <w:lang w:val="en-US" w:eastAsia="zh-CN"/>
              </w:rPr>
              <w:t>g/m</w:t>
            </w:r>
            <w:r>
              <w:rPr>
                <w:rFonts w:hint="eastAsia" w:ascii="Times New Roman" w:hAnsi="Times New Roman" w:cs="Times New Roman"/>
                <w:sz w:val="21"/>
                <w:szCs w:val="21"/>
                <w:vertAlign w:val="superscript"/>
                <w:lang w:val="en-US" w:eastAsia="zh-CN"/>
              </w:rPr>
              <w:t>3</w:t>
            </w:r>
            <w:r>
              <w:rPr>
                <w:rFonts w:hint="eastAsia" w:ascii="Times New Roman" w:hAnsi="Times New Roman" w:cs="Times New Roman"/>
                <w:sz w:val="21"/>
                <w:szCs w:val="21"/>
                <w:vertAlign w:val="baseline"/>
                <w:lang w:val="en-US" w:eastAsia="zh-CN"/>
              </w:rPr>
              <w:t>）</w:t>
            </w:r>
          </w:p>
        </w:tc>
        <w:tc>
          <w:tcPr>
            <w:tcW w:w="110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position w:val="2"/>
                <w:sz w:val="21"/>
                <w:szCs w:val="21"/>
              </w:rPr>
              <w:t>NO</w:t>
            </w:r>
            <w:r>
              <w:rPr>
                <w:rFonts w:hint="default" w:ascii="Times New Roman" w:hAnsi="Times New Roman" w:eastAsia="宋体" w:cs="Times New Roman"/>
                <w:sz w:val="21"/>
                <w:szCs w:val="21"/>
                <w:vertAlign w:val="subscript"/>
              </w:rPr>
              <w:t>2</w:t>
            </w:r>
          </w:p>
        </w:tc>
        <w:tc>
          <w:tcPr>
            <w:tcW w:w="236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二级标准</w:t>
            </w:r>
          </w:p>
        </w:tc>
        <w:tc>
          <w:tcPr>
            <w:tcW w:w="23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80</w:t>
            </w:r>
          </w:p>
        </w:tc>
        <w:tc>
          <w:tcPr>
            <w:tcW w:w="170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trPr>
        <w:tc>
          <w:tcPr>
            <w:tcW w:w="1053"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1"/>
                <w:szCs w:val="21"/>
                <w:vertAlign w:val="baseline"/>
                <w:lang w:val="en-US" w:eastAsia="zh-CN"/>
              </w:rPr>
            </w:pPr>
          </w:p>
        </w:tc>
        <w:tc>
          <w:tcPr>
            <w:tcW w:w="110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position w:val="2"/>
                <w:sz w:val="21"/>
                <w:szCs w:val="21"/>
              </w:rPr>
              <w:t>TSP</w:t>
            </w:r>
          </w:p>
        </w:tc>
        <w:tc>
          <w:tcPr>
            <w:tcW w:w="236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二级标准</w:t>
            </w:r>
          </w:p>
        </w:tc>
        <w:tc>
          <w:tcPr>
            <w:tcW w:w="23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300</w:t>
            </w:r>
          </w:p>
        </w:tc>
        <w:tc>
          <w:tcPr>
            <w:tcW w:w="170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1"/>
                <w:szCs w:val="21"/>
                <w:vertAlign w:val="baseline"/>
                <w:lang w:val="en-US" w:eastAsia="zh-CN"/>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（3）地表水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本项目跨越麦架河，麦架河水质执行《地表水环境质量标准》（GB3838-2002）</w:t>
      </w:r>
      <w:r>
        <w:rPr>
          <w:rFonts w:hint="eastAsia" w:ascii="宋体" w:hAnsi="宋体" w:eastAsia="宋体" w:cs="宋体"/>
          <w:sz w:val="24"/>
          <w:szCs w:val="24"/>
          <w:lang w:val="en-US" w:eastAsia="zh-CN"/>
        </w:rPr>
        <w:t>Ⅲ</w:t>
      </w:r>
      <w:r>
        <w:rPr>
          <w:rFonts w:hint="eastAsia" w:ascii="Times New Roman" w:hAnsi="Times New Roman" w:cs="Times New Roman"/>
          <w:sz w:val="24"/>
          <w:szCs w:val="24"/>
          <w:lang w:val="en-US" w:eastAsia="zh-CN"/>
        </w:rPr>
        <w:t>类水标准。</w:t>
      </w:r>
      <w:r>
        <w:rPr>
          <w:rFonts w:hint="default" w:ascii="Times New Roman" w:hAnsi="Times New Roman" w:cs="Times New Roman"/>
          <w:sz w:val="24"/>
          <w:szCs w:val="24"/>
          <w:lang w:val="en-US" w:eastAsia="zh-CN"/>
        </w:rPr>
        <w:t>具体标准值见表1.5</w:t>
      </w:r>
      <w:r>
        <w:rPr>
          <w:rFonts w:hint="eastAsia" w:ascii="Times New Roman" w:hAnsi="Times New Roman" w:cs="Times New Roman"/>
          <w:sz w:val="24"/>
          <w:szCs w:val="24"/>
          <w:lang w:val="en-US" w:eastAsia="zh-CN"/>
        </w:rPr>
        <w:t>.1</w:t>
      </w:r>
      <w:r>
        <w:rPr>
          <w:rFonts w:hint="default" w:ascii="Times New Roman" w:hAnsi="Times New Roman" w:cs="Times New Roman"/>
          <w:sz w:val="24"/>
          <w:szCs w:val="24"/>
          <w:lang w:val="en-US" w:eastAsia="zh-CN"/>
        </w:rPr>
        <w:t>-</w:t>
      </w:r>
      <w:r>
        <w:rPr>
          <w:rFonts w:hint="eastAsia" w:ascii="Times New Roman" w:hAnsi="Times New Roman" w:cs="Times New Roman"/>
          <w:sz w:val="24"/>
          <w:szCs w:val="24"/>
          <w:lang w:val="en-US" w:eastAsia="zh-CN"/>
        </w:rPr>
        <w:t>3</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表1.5.1-3地表水环境质量标准</w:t>
      </w:r>
    </w:p>
    <w:tbl>
      <w:tblPr>
        <w:tblStyle w:val="9"/>
        <w:tblW w:w="813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87"/>
        <w:gridCol w:w="1764"/>
        <w:gridCol w:w="1184"/>
        <w:gridCol w:w="1184"/>
        <w:gridCol w:w="953"/>
        <w:gridCol w:w="156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2" w:hRule="atLeast"/>
          <w:jc w:val="center"/>
        </w:trPr>
        <w:tc>
          <w:tcPr>
            <w:tcW w:w="1487" w:type="dxa"/>
            <w:vAlign w:val="center"/>
          </w:tcPr>
          <w:p>
            <w:pPr>
              <w:pStyle w:val="15"/>
              <w:spacing w:before="34"/>
              <w:ind w:left="237" w:right="223"/>
              <w:jc w:val="center"/>
              <w:rPr>
                <w:rFonts w:hint="eastAsia" w:ascii="宋体" w:eastAsia="宋体"/>
                <w:b/>
                <w:sz w:val="21"/>
              </w:rPr>
            </w:pPr>
            <w:r>
              <w:rPr>
                <w:rFonts w:hint="eastAsia" w:ascii="宋体" w:eastAsia="宋体"/>
                <w:b/>
                <w:sz w:val="21"/>
              </w:rPr>
              <w:t>污染物</w:t>
            </w:r>
          </w:p>
        </w:tc>
        <w:tc>
          <w:tcPr>
            <w:tcW w:w="1764" w:type="dxa"/>
            <w:vAlign w:val="center"/>
          </w:tcPr>
          <w:p>
            <w:pPr>
              <w:pStyle w:val="15"/>
              <w:spacing w:before="34"/>
              <w:ind w:left="153" w:right="141"/>
              <w:jc w:val="center"/>
              <w:rPr>
                <w:rFonts w:hint="default" w:ascii="宋体" w:eastAsia="宋体"/>
                <w:b/>
                <w:sz w:val="21"/>
                <w:lang w:val="en-US" w:eastAsia="zh-CN"/>
              </w:rPr>
            </w:pPr>
            <w:r>
              <w:rPr>
                <w:rFonts w:hint="eastAsia" w:ascii="宋体" w:eastAsia="宋体"/>
                <w:b/>
                <w:sz w:val="21"/>
                <w:lang w:val="en-US" w:eastAsia="zh-CN"/>
              </w:rPr>
              <w:t>COD</w:t>
            </w:r>
          </w:p>
        </w:tc>
        <w:tc>
          <w:tcPr>
            <w:tcW w:w="1184" w:type="dxa"/>
            <w:vAlign w:val="center"/>
          </w:tcPr>
          <w:p>
            <w:pPr>
              <w:pStyle w:val="15"/>
              <w:spacing w:before="34"/>
              <w:ind w:left="13"/>
              <w:jc w:val="center"/>
              <w:rPr>
                <w:rFonts w:hint="eastAsia" w:ascii="宋体" w:eastAsia="宋体"/>
                <w:b/>
                <w:sz w:val="21"/>
              </w:rPr>
            </w:pPr>
            <w:r>
              <w:rPr>
                <w:rFonts w:hint="eastAsia" w:ascii="宋体" w:eastAsia="宋体"/>
                <w:b/>
                <w:sz w:val="21"/>
              </w:rPr>
              <w:t>石油类</w:t>
            </w:r>
          </w:p>
        </w:tc>
        <w:tc>
          <w:tcPr>
            <w:tcW w:w="1184" w:type="dxa"/>
            <w:vAlign w:val="center"/>
          </w:tcPr>
          <w:p>
            <w:pPr>
              <w:pStyle w:val="15"/>
              <w:spacing w:before="34"/>
              <w:ind w:left="13"/>
              <w:jc w:val="center"/>
              <w:rPr>
                <w:rFonts w:hint="eastAsia" w:ascii="宋体" w:eastAsia="宋体"/>
                <w:b/>
                <w:sz w:val="21"/>
              </w:rPr>
            </w:pPr>
            <w:r>
              <w:rPr>
                <w:rFonts w:hint="eastAsia" w:ascii="宋体" w:eastAsia="宋体"/>
                <w:b/>
                <w:sz w:val="21"/>
              </w:rPr>
              <w:t>氨氮</w:t>
            </w:r>
          </w:p>
        </w:tc>
        <w:tc>
          <w:tcPr>
            <w:tcW w:w="953" w:type="dxa"/>
            <w:vAlign w:val="center"/>
          </w:tcPr>
          <w:p>
            <w:pPr>
              <w:pStyle w:val="15"/>
              <w:spacing w:before="48"/>
              <w:ind w:left="202" w:right="195"/>
              <w:jc w:val="center"/>
              <w:rPr>
                <w:b/>
                <w:sz w:val="21"/>
              </w:rPr>
            </w:pPr>
            <w:r>
              <w:rPr>
                <w:b/>
                <w:sz w:val="21"/>
              </w:rPr>
              <w:t>SS</w:t>
            </w:r>
          </w:p>
        </w:tc>
        <w:tc>
          <w:tcPr>
            <w:tcW w:w="1565" w:type="dxa"/>
            <w:vAlign w:val="center"/>
          </w:tcPr>
          <w:p>
            <w:pPr>
              <w:pStyle w:val="15"/>
              <w:spacing w:before="34"/>
              <w:ind w:left="162" w:right="151"/>
              <w:jc w:val="center"/>
              <w:rPr>
                <w:b/>
                <w:sz w:val="21"/>
              </w:rPr>
            </w:pPr>
            <w:r>
              <w:rPr>
                <w:b/>
                <w:sz w:val="21"/>
              </w:rPr>
              <w:t>PH(</w:t>
            </w:r>
            <w:r>
              <w:rPr>
                <w:rFonts w:hint="eastAsia" w:ascii="宋体" w:eastAsia="宋体"/>
                <w:b/>
                <w:sz w:val="21"/>
              </w:rPr>
              <w:t>无量纲</w:t>
            </w:r>
            <w:r>
              <w:rPr>
                <w:b/>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8" w:hRule="atLeast"/>
          <w:jc w:val="center"/>
        </w:trPr>
        <w:tc>
          <w:tcPr>
            <w:tcW w:w="1487" w:type="dxa"/>
            <w:vAlign w:val="center"/>
          </w:tcPr>
          <w:p>
            <w:pPr>
              <w:pStyle w:val="15"/>
              <w:spacing w:before="33"/>
              <w:ind w:left="237" w:right="230"/>
              <w:jc w:val="center"/>
              <w:rPr>
                <w:rFonts w:hint="eastAsia" w:ascii="宋体" w:hAnsi="宋体" w:eastAsia="宋体"/>
                <w:sz w:val="21"/>
              </w:rPr>
            </w:pPr>
            <w:r>
              <w:rPr>
                <w:rFonts w:hint="eastAsia" w:ascii="宋体" w:hAnsi="宋体" w:eastAsia="宋体"/>
                <w:sz w:val="21"/>
              </w:rPr>
              <w:t>Ⅲ类标准</w:t>
            </w:r>
          </w:p>
        </w:tc>
        <w:tc>
          <w:tcPr>
            <w:tcW w:w="1764" w:type="dxa"/>
            <w:vAlign w:val="center"/>
          </w:tcPr>
          <w:p>
            <w:pPr>
              <w:pStyle w:val="15"/>
              <w:spacing w:before="49"/>
              <w:ind w:left="8"/>
              <w:jc w:val="center"/>
              <w:rPr>
                <w:sz w:val="21"/>
              </w:rPr>
            </w:pPr>
            <w:r>
              <w:rPr>
                <w:w w:val="99"/>
                <w:sz w:val="21"/>
              </w:rPr>
              <w:t>6</w:t>
            </w:r>
          </w:p>
        </w:tc>
        <w:tc>
          <w:tcPr>
            <w:tcW w:w="1184" w:type="dxa"/>
            <w:vAlign w:val="center"/>
          </w:tcPr>
          <w:p>
            <w:pPr>
              <w:pStyle w:val="15"/>
              <w:spacing w:before="49"/>
              <w:ind w:left="8"/>
              <w:jc w:val="center"/>
              <w:rPr>
                <w:sz w:val="21"/>
              </w:rPr>
            </w:pPr>
            <w:r>
              <w:rPr>
                <w:sz w:val="21"/>
              </w:rPr>
              <w:t>0.05</w:t>
            </w:r>
          </w:p>
        </w:tc>
        <w:tc>
          <w:tcPr>
            <w:tcW w:w="1184" w:type="dxa"/>
            <w:vAlign w:val="center"/>
          </w:tcPr>
          <w:p>
            <w:pPr>
              <w:pStyle w:val="15"/>
              <w:spacing w:before="49"/>
              <w:ind w:left="7"/>
              <w:jc w:val="center"/>
              <w:rPr>
                <w:sz w:val="21"/>
              </w:rPr>
            </w:pPr>
            <w:r>
              <w:rPr>
                <w:w w:val="99"/>
                <w:sz w:val="21"/>
              </w:rPr>
              <w:t>1</w:t>
            </w:r>
          </w:p>
        </w:tc>
        <w:tc>
          <w:tcPr>
            <w:tcW w:w="953" w:type="dxa"/>
            <w:vAlign w:val="center"/>
          </w:tcPr>
          <w:p>
            <w:pPr>
              <w:pStyle w:val="15"/>
              <w:spacing w:before="49"/>
              <w:ind w:left="204" w:right="192"/>
              <w:jc w:val="center"/>
              <w:rPr>
                <w:sz w:val="21"/>
              </w:rPr>
            </w:pPr>
            <w:r>
              <w:rPr>
                <w:sz w:val="21"/>
              </w:rPr>
              <w:t>30</w:t>
            </w:r>
          </w:p>
        </w:tc>
        <w:tc>
          <w:tcPr>
            <w:tcW w:w="1565" w:type="dxa"/>
            <w:vAlign w:val="center"/>
          </w:tcPr>
          <w:p>
            <w:pPr>
              <w:pStyle w:val="15"/>
              <w:spacing w:before="49"/>
              <w:ind w:left="158" w:right="151"/>
              <w:jc w:val="center"/>
              <w:rPr>
                <w:sz w:val="21"/>
              </w:rPr>
            </w:pPr>
            <w:r>
              <w:rPr>
                <w:sz w:val="21"/>
              </w:rPr>
              <w:t>6-9</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（4）地下水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本项目涉及地下水为董家堰水井，经现场调查走访，此处水井已被掩埋，不予监测及评价。</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2"/>
        <w:rPr>
          <w:rFonts w:hint="default" w:ascii="Times New Roman" w:hAnsi="Times New Roman" w:cs="Times New Roman"/>
          <w:sz w:val="24"/>
          <w:szCs w:val="24"/>
          <w:lang w:val="en-US" w:eastAsia="zh-CN"/>
        </w:rPr>
      </w:pPr>
      <w:bookmarkStart w:id="12" w:name="_Toc6686"/>
      <w:r>
        <w:rPr>
          <w:rFonts w:hint="eastAsia" w:ascii="Times New Roman" w:hAnsi="Times New Roman" w:cs="Times New Roman"/>
          <w:sz w:val="24"/>
          <w:szCs w:val="24"/>
          <w:lang w:val="en-US" w:eastAsia="zh-CN"/>
        </w:rPr>
        <w:t>1.5.2污染物排放标准</w:t>
      </w:r>
      <w:bookmarkEnd w:id="12"/>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（1）废水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ascii="宋体" w:hAnsi="宋体" w:eastAsia="宋体" w:cs="宋体"/>
          <w:sz w:val="24"/>
          <w:szCs w:val="24"/>
        </w:rPr>
      </w:pPr>
      <w:r>
        <w:rPr>
          <w:rFonts w:ascii="宋体" w:hAnsi="宋体" w:eastAsia="宋体" w:cs="宋体"/>
          <w:sz w:val="24"/>
          <w:szCs w:val="24"/>
        </w:rPr>
        <w:t>本项目不设停车场和收费站，因此道路营运期间主要是路面径流雨水对沿线水体的影响。影响路面径流污染的因素众多，包括降雨时间、降雨量、车流量、大气污染程度、两场降雨之间的时间间隔、纳污路段长度等。各种因素随机性强、偶然性大。一般在公路建成初期和两场降雨间隔较长时，路面雨水径流对沿线水体有一定的影响。主要表现为路面径流携带悬浮颗粒物</w:t>
      </w:r>
      <w:r>
        <w:rPr>
          <w:rFonts w:hint="eastAsia" w:ascii="宋体" w:hAnsi="宋体" w:eastAsia="宋体" w:cs="宋体"/>
          <w:sz w:val="24"/>
          <w:szCs w:val="24"/>
          <w:lang w:val="en-US" w:eastAsia="zh-CN"/>
        </w:rPr>
        <w:t>及车辆行驶遗留污染物，</w:t>
      </w:r>
      <w:r>
        <w:rPr>
          <w:rFonts w:ascii="宋体" w:hAnsi="宋体" w:eastAsia="宋体" w:cs="宋体"/>
          <w:sz w:val="24"/>
          <w:szCs w:val="24"/>
        </w:rPr>
        <w:t>经道路两侧的排水沟从岸边排入沿河路段水体。</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因此，本项目运营期产生的污水对环境影响很小。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（2）废</w:t>
      </w:r>
      <w:r>
        <w:rPr>
          <w:rFonts w:hint="eastAsia" w:ascii="Times New Roman" w:hAnsi="Times New Roman" w:eastAsia="宋体" w:cs="Times New Roman"/>
          <w:sz w:val="24"/>
          <w:szCs w:val="24"/>
          <w:lang w:val="en-US" w:eastAsia="zh-CN"/>
        </w:rPr>
        <w:t>气</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本项目运营期产生的废气主要为车辆行驶通过本项目路面所产生颗粒物及汽车尾气。道路沿线种植行道树、定期清扫路面，减少污染物的排放，经现场调查，其对环境空气影响很小。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（3）固废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本项目不设置服务区、收费站、养护工区等附属设施运营期，无固体废物产生，对环境影响很小。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1"/>
        <w:rPr>
          <w:rFonts w:hint="eastAsia" w:ascii="Times New Roman" w:hAnsi="Times New Roman" w:eastAsia="宋体" w:cs="Times New Roman"/>
          <w:sz w:val="24"/>
          <w:szCs w:val="24"/>
          <w:lang w:val="en-US" w:eastAsia="zh-CN"/>
        </w:rPr>
      </w:pPr>
      <w:bookmarkStart w:id="13" w:name="_Toc32086"/>
      <w:r>
        <w:rPr>
          <w:rFonts w:hint="eastAsia" w:ascii="Times New Roman" w:hAnsi="Times New Roman" w:eastAsia="宋体" w:cs="Times New Roman"/>
          <w:sz w:val="24"/>
          <w:szCs w:val="24"/>
          <w:lang w:val="en-US" w:eastAsia="zh-CN"/>
        </w:rPr>
        <w:t>1.6保护目标及调查重点</w:t>
      </w:r>
      <w:bookmarkEnd w:id="13"/>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次调查的重点是公路建设及试运营期造成的生态环境影响、声环境影响和水环境影响（含运输风险事故防范），环境影响报告书及批复中提出的各项环境保护措施落实情况及其有效性，并根据调查结果提出环境保护补救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2"/>
        <w:rPr>
          <w:rFonts w:hint="default" w:ascii="Times New Roman" w:hAnsi="Times New Roman" w:eastAsia="宋体" w:cs="Times New Roman"/>
          <w:sz w:val="24"/>
          <w:szCs w:val="24"/>
          <w:lang w:val="en-US" w:eastAsia="zh-CN"/>
        </w:rPr>
      </w:pPr>
      <w:bookmarkStart w:id="14" w:name="_Toc20294"/>
      <w:r>
        <w:rPr>
          <w:rFonts w:hint="eastAsia" w:ascii="Times New Roman" w:hAnsi="Times New Roman" w:eastAsia="宋体" w:cs="Times New Roman"/>
          <w:sz w:val="24"/>
          <w:szCs w:val="24"/>
          <w:lang w:val="en-US" w:eastAsia="zh-CN"/>
        </w:rPr>
        <w:t>1.6.1生态环境保护目标</w:t>
      </w:r>
      <w:bookmarkEnd w:id="14"/>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本项目生态环境保护目标为沿线基本农田、高填深挖路段、弃土场等。详见表1.6.1-1.</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表1.6.1-1 生态保护目标</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86"/>
        <w:gridCol w:w="2317"/>
        <w:gridCol w:w="45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保护对象</w:t>
            </w:r>
          </w:p>
        </w:tc>
        <w:tc>
          <w:tcPr>
            <w:tcW w:w="231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路段桩号</w:t>
            </w:r>
          </w:p>
        </w:tc>
        <w:tc>
          <w:tcPr>
            <w:tcW w:w="451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具体情况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trPr>
        <w:tc>
          <w:tcPr>
            <w:tcW w:w="168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基本农田</w:t>
            </w:r>
          </w:p>
        </w:tc>
        <w:tc>
          <w:tcPr>
            <w:tcW w:w="231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K4+405~K5+700、K6+000~K9+000</w:t>
            </w:r>
          </w:p>
        </w:tc>
        <w:tc>
          <w:tcPr>
            <w:tcW w:w="451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outlineLvl w:val="9"/>
              <w:rPr>
                <w:rFonts w:hint="default"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本项目建设永久占用基本农田16.41hm</w:t>
            </w:r>
            <w:r>
              <w:rPr>
                <w:rFonts w:hint="eastAsia" w:ascii="Times New Roman" w:hAnsi="Times New Roman"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vertAlign w:val="baseline"/>
                <w:lang w:val="en-US" w:eastAsia="zh-CN"/>
              </w:rPr>
              <w:t>，沿线农田大部分完成征收，规划为园区建设项目用地；永久占用林地5.82hm</w:t>
            </w:r>
            <w:r>
              <w:rPr>
                <w:rFonts w:hint="eastAsia" w:ascii="Times New Roman" w:hAnsi="Times New Roman" w:eastAsia="宋体" w:cs="Times New Roman"/>
                <w:color w:val="auto"/>
                <w:sz w:val="24"/>
                <w:szCs w:val="24"/>
                <w:vertAlign w:val="superscript"/>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trPr>
        <w:tc>
          <w:tcPr>
            <w:tcW w:w="168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塔山公园</w:t>
            </w:r>
          </w:p>
        </w:tc>
        <w:tc>
          <w:tcPr>
            <w:tcW w:w="231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K3+500~K3+600</w:t>
            </w:r>
          </w:p>
        </w:tc>
        <w:tc>
          <w:tcPr>
            <w:tcW w:w="451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outlineLvl w:val="9"/>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高边坡、高路垫工程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trPr>
        <w:tc>
          <w:tcPr>
            <w:tcW w:w="168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高填深挖路段</w:t>
            </w:r>
          </w:p>
        </w:tc>
        <w:tc>
          <w:tcPr>
            <w:tcW w:w="231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K0+220~K0+600</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K0+650~K0+830</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K11+080~K11+160</w:t>
            </w:r>
          </w:p>
        </w:tc>
        <w:tc>
          <w:tcPr>
            <w:tcW w:w="451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outlineLvl w:val="9"/>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此处高边坡路段已建设完成边坡防护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trPr>
        <w:tc>
          <w:tcPr>
            <w:tcW w:w="168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弃土场</w:t>
            </w:r>
          </w:p>
        </w:tc>
        <w:tc>
          <w:tcPr>
            <w:tcW w:w="231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K0+420、K0+660</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K9+120、K9+040</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K9+860、K10+020</w:t>
            </w:r>
          </w:p>
        </w:tc>
        <w:tc>
          <w:tcPr>
            <w:tcW w:w="451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outlineLvl w:val="9"/>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弃土场已平整，或绿化，或用于建设项目用地，无重大环境问题产生。</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2"/>
        <w:rPr>
          <w:rFonts w:hint="eastAsia" w:ascii="Times New Roman" w:hAnsi="Times New Roman" w:eastAsia="宋体" w:cs="Times New Roman"/>
          <w:color w:val="FF0000"/>
          <w:sz w:val="24"/>
          <w:szCs w:val="24"/>
          <w:lang w:val="en-US" w:eastAsia="zh-CN"/>
        </w:rPr>
      </w:pPr>
      <w:bookmarkStart w:id="15" w:name="_Toc25495"/>
      <w:r>
        <w:rPr>
          <w:rFonts w:hint="eastAsia" w:ascii="Times New Roman" w:hAnsi="Times New Roman" w:eastAsia="宋体" w:cs="Times New Roman"/>
          <w:sz w:val="24"/>
          <w:szCs w:val="24"/>
          <w:lang w:val="en-US" w:eastAsia="zh-CN"/>
        </w:rPr>
        <w:t>1.6.2环境空气</w:t>
      </w:r>
      <w:r>
        <w:rPr>
          <w:rFonts w:hint="eastAsia" w:ascii="Times New Roman" w:hAnsi="Times New Roman" w:eastAsia="宋体" w:cs="Times New Roman"/>
          <w:color w:val="auto"/>
          <w:sz w:val="24"/>
          <w:szCs w:val="24"/>
          <w:lang w:val="en-US" w:eastAsia="zh-CN"/>
        </w:rPr>
        <w:t>及声环境保护目标</w:t>
      </w:r>
      <w:bookmarkEnd w:id="15"/>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本项目涉及的环境空气及声环境保护目标主要为项目沿线的学校、居民区等，干田砖厂居民点、马场营、麻堡小学、王家园、新寨已搬迁，现已规划为建设项目用地。现有保护目标详见表1.6.2-1。</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2"/>
        <w:rPr>
          <w:rFonts w:hint="eastAsia" w:ascii="Times New Roman" w:hAnsi="Times New Roman" w:eastAsia="宋体" w:cs="Times New Roman"/>
          <w:sz w:val="24"/>
          <w:szCs w:val="24"/>
          <w:lang w:val="en-US" w:eastAsia="zh-CN"/>
        </w:rPr>
      </w:pPr>
      <w:bookmarkStart w:id="16" w:name="_Toc20852"/>
      <w:r>
        <w:rPr>
          <w:rFonts w:hint="eastAsia" w:ascii="Times New Roman" w:hAnsi="Times New Roman" w:eastAsia="宋体" w:cs="Times New Roman"/>
          <w:sz w:val="24"/>
          <w:szCs w:val="24"/>
          <w:lang w:val="en-US" w:eastAsia="zh-CN"/>
        </w:rPr>
        <w:t>1.6.3水环境保护目标</w:t>
      </w:r>
      <w:bookmarkEnd w:id="16"/>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本项目建设区域主要水体为麦架河，项目建设及桥梁的施工均会对麦架河造成一定的影响；在K7+700处的董家堰水井，经现场踏勘，已废弃填埋，当地居民使用市政供水。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center"/>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表1.6.3-1 本项目跨河桥梁一览表</w:t>
      </w:r>
    </w:p>
    <w:tbl>
      <w:tblPr>
        <w:tblStyle w:val="9"/>
        <w:tblW w:w="863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58"/>
        <w:gridCol w:w="1172"/>
        <w:gridCol w:w="1385"/>
        <w:gridCol w:w="975"/>
        <w:gridCol w:w="994"/>
        <w:gridCol w:w="2176"/>
        <w:gridCol w:w="117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4" w:hRule="atLeast"/>
          <w:jc w:val="center"/>
        </w:trPr>
        <w:tc>
          <w:tcPr>
            <w:tcW w:w="758"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b/>
                <w:sz w:val="21"/>
              </w:rPr>
            </w:pPr>
            <w:r>
              <w:rPr>
                <w:rFonts w:hint="eastAsia" w:ascii="宋体" w:eastAsia="宋体"/>
                <w:b/>
                <w:sz w:val="21"/>
              </w:rPr>
              <w:t>序号</w:t>
            </w:r>
          </w:p>
        </w:tc>
        <w:tc>
          <w:tcPr>
            <w:tcW w:w="1172"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b/>
                <w:sz w:val="21"/>
                <w:lang w:eastAsia="zh-CN"/>
              </w:rPr>
            </w:pPr>
            <w:r>
              <w:rPr>
                <w:rFonts w:hint="eastAsia" w:ascii="宋体" w:eastAsia="宋体"/>
                <w:b/>
                <w:sz w:val="21"/>
                <w:lang w:eastAsia="zh-CN"/>
              </w:rPr>
              <w:t>跨越水体</w:t>
            </w:r>
          </w:p>
        </w:tc>
        <w:tc>
          <w:tcPr>
            <w:tcW w:w="138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b/>
                <w:sz w:val="21"/>
              </w:rPr>
            </w:pPr>
            <w:r>
              <w:rPr>
                <w:rFonts w:hint="eastAsia" w:ascii="宋体" w:eastAsia="宋体"/>
                <w:b/>
                <w:sz w:val="21"/>
              </w:rPr>
              <w:t>大桥名称</w:t>
            </w:r>
          </w:p>
        </w:tc>
        <w:tc>
          <w:tcPr>
            <w:tcW w:w="97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b/>
                <w:sz w:val="21"/>
              </w:rPr>
            </w:pPr>
            <w:r>
              <w:rPr>
                <w:rFonts w:hint="eastAsia" w:ascii="宋体" w:eastAsia="宋体"/>
                <w:b/>
                <w:sz w:val="21"/>
              </w:rPr>
              <w:t>桥面长度（</w:t>
            </w:r>
            <w:r>
              <w:rPr>
                <w:b/>
                <w:sz w:val="21"/>
              </w:rPr>
              <w:t>m</w:t>
            </w:r>
            <w:r>
              <w:rPr>
                <w:rFonts w:hint="eastAsia" w:ascii="宋体" w:eastAsia="宋体"/>
                <w:b/>
                <w:sz w:val="21"/>
              </w:rPr>
              <w:t>）</w:t>
            </w:r>
          </w:p>
        </w:tc>
        <w:tc>
          <w:tcPr>
            <w:tcW w:w="99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b/>
                <w:sz w:val="21"/>
              </w:rPr>
            </w:pPr>
            <w:r>
              <w:rPr>
                <w:rFonts w:hint="eastAsia" w:ascii="宋体" w:eastAsia="宋体"/>
                <w:b/>
                <w:sz w:val="21"/>
              </w:rPr>
              <w:t>桩号</w:t>
            </w:r>
          </w:p>
        </w:tc>
        <w:tc>
          <w:tcPr>
            <w:tcW w:w="217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b/>
                <w:sz w:val="21"/>
              </w:rPr>
            </w:pPr>
            <w:r>
              <w:rPr>
                <w:rFonts w:hint="eastAsia" w:ascii="宋体" w:eastAsia="宋体"/>
                <w:b/>
                <w:sz w:val="21"/>
              </w:rPr>
              <w:t>桥梁跨越处河段执行标准</w:t>
            </w:r>
          </w:p>
        </w:tc>
        <w:tc>
          <w:tcPr>
            <w:tcW w:w="117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b/>
                <w:sz w:val="21"/>
                <w:lang w:eastAsia="zh-CN"/>
              </w:rPr>
            </w:pPr>
            <w:r>
              <w:rPr>
                <w:rFonts w:hint="eastAsia" w:ascii="宋体" w:eastAsia="宋体"/>
                <w:b/>
                <w:sz w:val="21"/>
                <w:lang w:eastAsia="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7" w:hRule="atLeast"/>
          <w:jc w:val="center"/>
        </w:trPr>
        <w:tc>
          <w:tcPr>
            <w:tcW w:w="758"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sz w:val="21"/>
              </w:rPr>
            </w:pPr>
            <w:r>
              <w:rPr>
                <w:w w:val="99"/>
                <w:sz w:val="21"/>
              </w:rPr>
              <w:t>1</w:t>
            </w:r>
          </w:p>
        </w:tc>
        <w:tc>
          <w:tcPr>
            <w:tcW w:w="1172"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Times New Roman" w:eastAsia="宋体" w:cs="Times New Roman"/>
                <w:kern w:val="2"/>
                <w:sz w:val="21"/>
                <w:szCs w:val="24"/>
                <w:lang w:val="zh-CN" w:eastAsia="zh-CN" w:bidi="zh-CN"/>
              </w:rPr>
            </w:pPr>
            <w:r>
              <w:rPr>
                <w:rFonts w:hint="eastAsia" w:ascii="宋体" w:eastAsia="宋体"/>
                <w:sz w:val="21"/>
                <w:lang w:eastAsia="zh-CN"/>
              </w:rPr>
              <w:t>麦架河</w:t>
            </w:r>
          </w:p>
        </w:tc>
        <w:tc>
          <w:tcPr>
            <w:tcW w:w="138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kern w:val="2"/>
                <w:sz w:val="21"/>
                <w:szCs w:val="24"/>
                <w:lang w:val="zh-CN" w:eastAsia="zh-CN" w:bidi="zh-CN"/>
              </w:rPr>
            </w:pPr>
            <w:r>
              <w:rPr>
                <w:rFonts w:hint="eastAsia" w:ascii="宋体" w:eastAsia="宋体"/>
                <w:sz w:val="21"/>
                <w:lang w:eastAsia="zh-CN"/>
              </w:rPr>
              <w:t>麦金苏大道桥</w:t>
            </w:r>
          </w:p>
        </w:tc>
        <w:tc>
          <w:tcPr>
            <w:tcW w:w="97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eastAsia="宋体"/>
                <w:sz w:val="21"/>
                <w:lang w:val="en-US" w:eastAsia="zh-CN"/>
              </w:rPr>
            </w:pPr>
            <w:r>
              <w:rPr>
                <w:rFonts w:hint="eastAsia" w:eastAsia="宋体"/>
                <w:sz w:val="21"/>
                <w:lang w:val="en-US" w:eastAsia="zh-CN"/>
              </w:rPr>
              <w:t>51.0</w:t>
            </w:r>
          </w:p>
        </w:tc>
        <w:tc>
          <w:tcPr>
            <w:tcW w:w="99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eastAsia="宋体"/>
                <w:sz w:val="21"/>
                <w:lang w:val="en-US" w:eastAsia="zh-CN"/>
              </w:rPr>
            </w:pPr>
            <w:r>
              <w:rPr>
                <w:sz w:val="21"/>
              </w:rPr>
              <w:t>K</w:t>
            </w:r>
            <w:r>
              <w:rPr>
                <w:rFonts w:hint="eastAsia" w:eastAsia="宋体"/>
                <w:sz w:val="21"/>
                <w:lang w:val="en-US" w:eastAsia="zh-CN"/>
              </w:rPr>
              <w:t>0</w:t>
            </w:r>
            <w:r>
              <w:rPr>
                <w:sz w:val="21"/>
              </w:rPr>
              <w:t>+</w:t>
            </w:r>
            <w:r>
              <w:rPr>
                <w:rFonts w:hint="eastAsia" w:eastAsia="宋体"/>
                <w:sz w:val="21"/>
                <w:lang w:val="en-US" w:eastAsia="zh-CN"/>
              </w:rPr>
              <w:t>325</w:t>
            </w:r>
          </w:p>
        </w:tc>
        <w:tc>
          <w:tcPr>
            <w:tcW w:w="217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sz w:val="21"/>
              </w:rPr>
            </w:pPr>
            <w:r>
              <w:rPr>
                <w:rFonts w:hint="eastAsia" w:ascii="宋体" w:eastAsia="宋体"/>
                <w:sz w:val="21"/>
              </w:rPr>
              <w:t>《地表水环境质量标准》（</w:t>
            </w:r>
            <w:r>
              <w:rPr>
                <w:sz w:val="21"/>
              </w:rPr>
              <w:t>GB3838-2002</w:t>
            </w:r>
            <w:r>
              <w:rPr>
                <w:rFonts w:hint="eastAsia" w:ascii="宋体" w:eastAsia="宋体"/>
                <w:sz w:val="21"/>
              </w:rPr>
              <w:t>）</w:t>
            </w:r>
          </w:p>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sz w:val="21"/>
              </w:rPr>
            </w:pPr>
            <w:r>
              <w:rPr>
                <w:rFonts w:hint="eastAsia" w:ascii="宋体" w:hAnsi="宋体" w:eastAsia="宋体"/>
                <w:sz w:val="21"/>
              </w:rPr>
              <w:t>Ⅲ类标准</w:t>
            </w:r>
          </w:p>
        </w:tc>
        <w:tc>
          <w:tcPr>
            <w:tcW w:w="117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sz w:val="21"/>
              </w:rPr>
            </w:pPr>
          </w:p>
        </w:tc>
      </w:tr>
    </w:tbl>
    <w:p>
      <w:pPr>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br w:type="page"/>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表1.6.2-1环境空气及声环境保护目标</w:t>
      </w:r>
    </w:p>
    <w:tbl>
      <w:tblPr>
        <w:tblStyle w:val="10"/>
        <w:tblW w:w="949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2"/>
        <w:gridCol w:w="1065"/>
        <w:gridCol w:w="1830"/>
        <w:gridCol w:w="1170"/>
        <w:gridCol w:w="1200"/>
        <w:gridCol w:w="720"/>
        <w:gridCol w:w="720"/>
        <w:gridCol w:w="23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42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序号</w:t>
            </w:r>
          </w:p>
        </w:tc>
        <w:tc>
          <w:tcPr>
            <w:tcW w:w="10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道路名称</w:t>
            </w: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监测点位</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桩号</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距道路中心线距离（m）</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高差（m）</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备注</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照片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7" w:hRule="atLeast"/>
          <w:jc w:val="center"/>
        </w:trPr>
        <w:tc>
          <w:tcPr>
            <w:tcW w:w="422" w:type="dxa"/>
            <w:vAlign w:val="center"/>
          </w:tcPr>
          <w:p>
            <w:pPr>
              <w:keepNext w:val="0"/>
              <w:keepLines w:val="0"/>
              <w:pageBreakBefore w:val="0"/>
              <w:widowControl w:val="0"/>
              <w:numPr>
                <w:ilvl w:val="0"/>
                <w:numId w:val="7"/>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kern w:val="2"/>
                <w:sz w:val="24"/>
                <w:szCs w:val="24"/>
                <w:lang w:val="en-US" w:eastAsia="zh-CN" w:bidi="ar-SA"/>
              </w:rPr>
            </w:pPr>
          </w:p>
        </w:tc>
        <w:tc>
          <w:tcPr>
            <w:tcW w:w="1065"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金苏大道</w:t>
            </w: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金苏大道起点</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K0+000</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左侧35</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31595" cy="998220"/>
                  <wp:effectExtent l="0" t="0" r="1905" b="11430"/>
                  <wp:docPr id="4" name="图片 4" descr="照片IMG_20200518_14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照片IMG_20200518_141118"/>
                          <pic:cNvPicPr>
                            <a:picLocks noChangeAspect="1"/>
                          </pic:cNvPicPr>
                        </pic:nvPicPr>
                        <pic:blipFill>
                          <a:blip r:embed="rId21"/>
                          <a:stretch>
                            <a:fillRect/>
                          </a:stretch>
                        </pic:blipFill>
                        <pic:spPr>
                          <a:xfrm>
                            <a:off x="0" y="0"/>
                            <a:ext cx="1331595" cy="9982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dxa"/>
            <w:vAlign w:val="center"/>
          </w:tcPr>
          <w:p>
            <w:pPr>
              <w:keepNext w:val="0"/>
              <w:keepLines w:val="0"/>
              <w:pageBreakBefore w:val="0"/>
              <w:widowControl w:val="0"/>
              <w:numPr>
                <w:ilvl w:val="0"/>
                <w:numId w:val="7"/>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kern w:val="2"/>
                <w:sz w:val="24"/>
                <w:szCs w:val="24"/>
                <w:lang w:val="en-US" w:eastAsia="zh-CN" w:bidi="ar-SA"/>
              </w:rPr>
            </w:pP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道元精化厂</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K0+860</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右侧40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原有</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5" name="图片 5" descr="IMG_1034(20200518-20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1034(20200518-200017)"/>
                          <pic:cNvPicPr>
                            <a:picLocks noChangeAspect="1"/>
                          </pic:cNvPicPr>
                        </pic:nvPicPr>
                        <pic:blipFill>
                          <a:blip r:embed="rId22"/>
                          <a:stretch>
                            <a:fillRect/>
                          </a:stretch>
                        </pic:blipFill>
                        <pic:spPr>
                          <a:xfrm>
                            <a:off x="0" y="0"/>
                            <a:ext cx="1344295" cy="10083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dxa"/>
            <w:vAlign w:val="center"/>
          </w:tcPr>
          <w:p>
            <w:pPr>
              <w:keepNext w:val="0"/>
              <w:keepLines w:val="0"/>
              <w:pageBreakBefore w:val="0"/>
              <w:widowControl w:val="0"/>
              <w:numPr>
                <w:ilvl w:val="0"/>
                <w:numId w:val="7"/>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kern w:val="2"/>
                <w:sz w:val="24"/>
                <w:szCs w:val="24"/>
                <w:lang w:val="en-US" w:eastAsia="zh-CN" w:bidi="ar-SA"/>
              </w:rPr>
            </w:pP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艳山红小学（乡村学校少年宫）</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K1+500</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左侧45</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+0.5</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原有</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6" name="图片 6" descr="IMG_1032(20200518-20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1032(20200518-201135)"/>
                          <pic:cNvPicPr>
                            <a:picLocks noChangeAspect="1"/>
                          </pic:cNvPicPr>
                        </pic:nvPicPr>
                        <pic:blipFill>
                          <a:blip r:embed="rId8"/>
                          <a:stretch>
                            <a:fillRect/>
                          </a:stretch>
                        </pic:blipFill>
                        <pic:spPr>
                          <a:xfrm>
                            <a:off x="0" y="0"/>
                            <a:ext cx="1344295" cy="10083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dxa"/>
            <w:vAlign w:val="center"/>
          </w:tcPr>
          <w:p>
            <w:pPr>
              <w:keepNext w:val="0"/>
              <w:keepLines w:val="0"/>
              <w:pageBreakBefore w:val="0"/>
              <w:widowControl w:val="0"/>
              <w:numPr>
                <w:ilvl w:val="0"/>
                <w:numId w:val="7"/>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kern w:val="2"/>
                <w:sz w:val="24"/>
                <w:szCs w:val="24"/>
                <w:lang w:val="en-US" w:eastAsia="zh-CN" w:bidi="ar-SA"/>
              </w:rPr>
            </w:pP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金融城国际社区</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K1+675</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右侧50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+0.5</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新增</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7" name="图片 7" descr="IMG_0988(20200518-204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0988(20200518-204736)"/>
                          <pic:cNvPicPr>
                            <a:picLocks noChangeAspect="1"/>
                          </pic:cNvPicPr>
                        </pic:nvPicPr>
                        <pic:blipFill>
                          <a:blip r:embed="rId23"/>
                          <a:stretch>
                            <a:fillRect/>
                          </a:stretch>
                        </pic:blipFill>
                        <pic:spPr>
                          <a:xfrm>
                            <a:off x="0" y="0"/>
                            <a:ext cx="1344295" cy="10083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dxa"/>
            <w:vAlign w:val="center"/>
          </w:tcPr>
          <w:p>
            <w:pPr>
              <w:keepNext w:val="0"/>
              <w:keepLines w:val="0"/>
              <w:pageBreakBefore w:val="0"/>
              <w:widowControl w:val="0"/>
              <w:numPr>
                <w:ilvl w:val="0"/>
                <w:numId w:val="7"/>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kern w:val="2"/>
                <w:sz w:val="24"/>
                <w:szCs w:val="24"/>
                <w:lang w:val="en-US" w:eastAsia="zh-CN" w:bidi="ar-SA"/>
              </w:rPr>
            </w:pP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云城中心</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K1+925</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右侧50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新增</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10" name="图片 10" descr="IMG_0989(20200518-204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0989(20200518-204656)"/>
                          <pic:cNvPicPr>
                            <a:picLocks noChangeAspect="1"/>
                          </pic:cNvPicPr>
                        </pic:nvPicPr>
                        <pic:blipFill>
                          <a:blip r:embed="rId24"/>
                          <a:stretch>
                            <a:fillRect/>
                          </a:stretch>
                        </pic:blipFill>
                        <pic:spPr>
                          <a:xfrm>
                            <a:off x="0" y="0"/>
                            <a:ext cx="1344295" cy="10083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dxa"/>
            <w:vAlign w:val="center"/>
          </w:tcPr>
          <w:p>
            <w:pPr>
              <w:keepNext w:val="0"/>
              <w:keepLines w:val="0"/>
              <w:pageBreakBefore w:val="0"/>
              <w:widowControl w:val="0"/>
              <w:numPr>
                <w:ilvl w:val="0"/>
                <w:numId w:val="7"/>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kern w:val="2"/>
                <w:sz w:val="24"/>
                <w:szCs w:val="24"/>
                <w:lang w:val="en-US" w:eastAsia="zh-CN" w:bidi="ar-SA"/>
              </w:rPr>
            </w:pP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高科·花漾生活</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K2+835</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右侧45</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+0.5</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新增</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287780" cy="1311275"/>
                  <wp:effectExtent l="0" t="0" r="7620" b="3175"/>
                  <wp:docPr id="24" name="图片 24" descr="IMG_0991(20200518-204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_0991(20200518-204643)"/>
                          <pic:cNvPicPr>
                            <a:picLocks noChangeAspect="1"/>
                          </pic:cNvPicPr>
                        </pic:nvPicPr>
                        <pic:blipFill>
                          <a:blip r:embed="rId25"/>
                          <a:stretch>
                            <a:fillRect/>
                          </a:stretch>
                        </pic:blipFill>
                        <pic:spPr>
                          <a:xfrm>
                            <a:off x="0" y="0"/>
                            <a:ext cx="1287780" cy="13112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dxa"/>
            <w:vAlign w:val="center"/>
          </w:tcPr>
          <w:p>
            <w:pPr>
              <w:keepNext w:val="0"/>
              <w:keepLines w:val="0"/>
              <w:pageBreakBefore w:val="0"/>
              <w:widowControl w:val="0"/>
              <w:numPr>
                <w:ilvl w:val="0"/>
                <w:numId w:val="7"/>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kern w:val="2"/>
                <w:sz w:val="24"/>
                <w:szCs w:val="24"/>
                <w:lang w:val="en-US" w:eastAsia="zh-CN" w:bidi="ar-SA"/>
              </w:rPr>
            </w:pPr>
          </w:p>
        </w:tc>
        <w:tc>
          <w:tcPr>
            <w:tcW w:w="1065"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金苏大道</w:t>
            </w: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贵耐医院</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K2+800</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左侧80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+0.5</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原有</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drawing>
                <wp:inline distT="0" distB="0" distL="114300" distR="114300">
                  <wp:extent cx="1355090" cy="903605"/>
                  <wp:effectExtent l="0" t="0" r="16510" b="10795"/>
                  <wp:docPr id="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pic:cNvPicPr>
                            <a:picLocks noChangeAspect="1"/>
                          </pic:cNvPicPr>
                        </pic:nvPicPr>
                        <pic:blipFill>
                          <a:blip r:embed="rId26"/>
                          <a:stretch>
                            <a:fillRect/>
                          </a:stretch>
                        </pic:blipFill>
                        <pic:spPr>
                          <a:xfrm>
                            <a:off x="0" y="0"/>
                            <a:ext cx="1355090" cy="90360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dxa"/>
            <w:vAlign w:val="center"/>
          </w:tcPr>
          <w:p>
            <w:pPr>
              <w:keepNext w:val="0"/>
              <w:keepLines w:val="0"/>
              <w:pageBreakBefore w:val="0"/>
              <w:widowControl w:val="0"/>
              <w:numPr>
                <w:ilvl w:val="0"/>
                <w:numId w:val="7"/>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kern w:val="2"/>
                <w:sz w:val="24"/>
                <w:szCs w:val="24"/>
                <w:lang w:val="en-US" w:eastAsia="zh-CN" w:bidi="ar-SA"/>
              </w:rPr>
            </w:pP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铝兴社区（1楼、3楼）</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K2+700</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右侧35</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原有（原贵铝社区）</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26" name="图片 26" descr="IMG_0995(20200518-20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G_0995(20200518-204603)"/>
                          <pic:cNvPicPr>
                            <a:picLocks noChangeAspect="1"/>
                          </pic:cNvPicPr>
                        </pic:nvPicPr>
                        <pic:blipFill>
                          <a:blip r:embed="rId27"/>
                          <a:stretch>
                            <a:fillRect/>
                          </a:stretch>
                        </pic:blipFill>
                        <pic:spPr>
                          <a:xfrm>
                            <a:off x="0" y="0"/>
                            <a:ext cx="1344295" cy="10083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dxa"/>
            <w:vAlign w:val="center"/>
          </w:tcPr>
          <w:p>
            <w:pPr>
              <w:keepNext w:val="0"/>
              <w:keepLines w:val="0"/>
              <w:pageBreakBefore w:val="0"/>
              <w:widowControl w:val="0"/>
              <w:numPr>
                <w:ilvl w:val="0"/>
                <w:numId w:val="7"/>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kern w:val="2"/>
                <w:sz w:val="24"/>
                <w:szCs w:val="24"/>
                <w:lang w:val="en-US" w:eastAsia="zh-CN" w:bidi="ar-SA"/>
              </w:rPr>
            </w:pP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贵州铝厂生活区（龚北社区）（1楼、4楼）</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K3+130</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左侧35</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原有</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27" name="图片 27" descr="IMG_0993(20200518-204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IMG_0993(20200518-204630)"/>
                          <pic:cNvPicPr>
                            <a:picLocks noChangeAspect="1"/>
                          </pic:cNvPicPr>
                        </pic:nvPicPr>
                        <pic:blipFill>
                          <a:blip r:embed="rId9"/>
                          <a:stretch>
                            <a:fillRect/>
                          </a:stretch>
                        </pic:blipFill>
                        <pic:spPr>
                          <a:xfrm>
                            <a:off x="0" y="0"/>
                            <a:ext cx="1344295" cy="10083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dxa"/>
            <w:vAlign w:val="center"/>
          </w:tcPr>
          <w:p>
            <w:pPr>
              <w:keepNext w:val="0"/>
              <w:keepLines w:val="0"/>
              <w:pageBreakBefore w:val="0"/>
              <w:widowControl w:val="0"/>
              <w:numPr>
                <w:ilvl w:val="0"/>
                <w:numId w:val="7"/>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kern w:val="2"/>
                <w:sz w:val="24"/>
                <w:szCs w:val="24"/>
                <w:lang w:val="en-US" w:eastAsia="zh-CN" w:bidi="ar-SA"/>
              </w:rPr>
            </w:pP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白云六小、贵铝职校</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K3+300</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左侧200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+1</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原有</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drawing>
                <wp:inline distT="0" distB="0" distL="114300" distR="114300">
                  <wp:extent cx="1354455" cy="988060"/>
                  <wp:effectExtent l="0" t="0" r="17145" b="2540"/>
                  <wp:docPr id="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
                          <pic:cNvPicPr>
                            <a:picLocks noChangeAspect="1"/>
                          </pic:cNvPicPr>
                        </pic:nvPicPr>
                        <pic:blipFill>
                          <a:blip r:embed="rId28"/>
                          <a:stretch>
                            <a:fillRect/>
                          </a:stretch>
                        </pic:blipFill>
                        <pic:spPr>
                          <a:xfrm>
                            <a:off x="0" y="0"/>
                            <a:ext cx="1354455" cy="98806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dxa"/>
            <w:vAlign w:val="center"/>
          </w:tcPr>
          <w:p>
            <w:pPr>
              <w:keepNext w:val="0"/>
              <w:keepLines w:val="0"/>
              <w:pageBreakBefore w:val="0"/>
              <w:widowControl w:val="0"/>
              <w:numPr>
                <w:ilvl w:val="0"/>
                <w:numId w:val="7"/>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kern w:val="2"/>
                <w:sz w:val="24"/>
                <w:szCs w:val="24"/>
                <w:lang w:val="en-US" w:eastAsia="zh-CN" w:bidi="ar-SA"/>
              </w:rPr>
            </w:pP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白云欣歆幼儿园</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K3+400</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左侧80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原有</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drawing>
                <wp:inline distT="0" distB="0" distL="114300" distR="114300">
                  <wp:extent cx="1357630" cy="953135"/>
                  <wp:effectExtent l="0" t="0" r="13970" b="18415"/>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pic:cNvPicPr>
                        </pic:nvPicPr>
                        <pic:blipFill>
                          <a:blip r:embed="rId29"/>
                          <a:stretch>
                            <a:fillRect/>
                          </a:stretch>
                        </pic:blipFill>
                        <pic:spPr>
                          <a:xfrm>
                            <a:off x="0" y="0"/>
                            <a:ext cx="1357630" cy="95313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dxa"/>
            <w:vAlign w:val="center"/>
          </w:tcPr>
          <w:p>
            <w:pPr>
              <w:keepNext w:val="0"/>
              <w:keepLines w:val="0"/>
              <w:pageBreakBefore w:val="0"/>
              <w:widowControl w:val="0"/>
              <w:numPr>
                <w:ilvl w:val="0"/>
                <w:numId w:val="7"/>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kern w:val="2"/>
                <w:sz w:val="24"/>
                <w:szCs w:val="24"/>
                <w:lang w:val="en-US" w:eastAsia="zh-CN" w:bidi="ar-SA"/>
              </w:rPr>
            </w:pP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金东社区（1楼、4楼）</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K3+450</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35</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pPr>
            <w:r>
              <w:drawing>
                <wp:inline distT="0" distB="0" distL="114300" distR="114300">
                  <wp:extent cx="1363345" cy="1075690"/>
                  <wp:effectExtent l="0" t="0" r="8255" b="10160"/>
                  <wp:docPr id="4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
                          <pic:cNvPicPr>
                            <a:picLocks noChangeAspect="1"/>
                          </pic:cNvPicPr>
                        </pic:nvPicPr>
                        <pic:blipFill>
                          <a:blip r:embed="rId30"/>
                          <a:stretch>
                            <a:fillRect/>
                          </a:stretch>
                        </pic:blipFill>
                        <pic:spPr>
                          <a:xfrm>
                            <a:off x="0" y="0"/>
                            <a:ext cx="1363345" cy="10756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dxa"/>
            <w:vAlign w:val="center"/>
          </w:tcPr>
          <w:p>
            <w:pPr>
              <w:keepNext w:val="0"/>
              <w:keepLines w:val="0"/>
              <w:pageBreakBefore w:val="0"/>
              <w:widowControl w:val="0"/>
              <w:numPr>
                <w:ilvl w:val="0"/>
                <w:numId w:val="7"/>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kern w:val="2"/>
                <w:sz w:val="24"/>
                <w:szCs w:val="24"/>
                <w:lang w:val="en-US" w:eastAsia="zh-CN" w:bidi="ar-SA"/>
              </w:rPr>
            </w:pP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贵铝医院（贵州医科大学附属白云医院）</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K3+580</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右侧40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+3</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原有</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45" name="图片 45" descr="IMG_0998(20200518-20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IMG_0998(20200518-204603)"/>
                          <pic:cNvPicPr>
                            <a:picLocks noChangeAspect="1"/>
                          </pic:cNvPicPr>
                        </pic:nvPicPr>
                        <pic:blipFill>
                          <a:blip r:embed="rId11"/>
                          <a:stretch>
                            <a:fillRect/>
                          </a:stretch>
                        </pic:blipFill>
                        <pic:spPr>
                          <a:xfrm>
                            <a:off x="0" y="0"/>
                            <a:ext cx="1344295" cy="10083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dxa"/>
            <w:vAlign w:val="center"/>
          </w:tcPr>
          <w:p>
            <w:pPr>
              <w:keepNext w:val="0"/>
              <w:keepLines w:val="0"/>
              <w:pageBreakBefore w:val="0"/>
              <w:widowControl w:val="0"/>
              <w:numPr>
                <w:ilvl w:val="0"/>
                <w:numId w:val="7"/>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kern w:val="2"/>
                <w:sz w:val="24"/>
                <w:szCs w:val="24"/>
                <w:lang w:val="en-US" w:eastAsia="zh-CN" w:bidi="ar-SA"/>
              </w:rPr>
            </w:pPr>
          </w:p>
        </w:tc>
        <w:tc>
          <w:tcPr>
            <w:tcW w:w="1065"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金苏大道</w:t>
            </w: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塔山公园</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K3+620</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左侧30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原有</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46" name="图片 46" descr="IMG_1031(20200518-20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IMG_1031(20200518-201138)"/>
                          <pic:cNvPicPr>
                            <a:picLocks noChangeAspect="1"/>
                          </pic:cNvPicPr>
                        </pic:nvPicPr>
                        <pic:blipFill>
                          <a:blip r:embed="rId31"/>
                          <a:stretch>
                            <a:fillRect/>
                          </a:stretch>
                        </pic:blipFill>
                        <pic:spPr>
                          <a:xfrm>
                            <a:off x="0" y="0"/>
                            <a:ext cx="1344295" cy="10083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dxa"/>
            <w:vAlign w:val="center"/>
          </w:tcPr>
          <w:p>
            <w:pPr>
              <w:keepNext w:val="0"/>
              <w:keepLines w:val="0"/>
              <w:pageBreakBefore w:val="0"/>
              <w:widowControl w:val="0"/>
              <w:numPr>
                <w:ilvl w:val="0"/>
                <w:numId w:val="7"/>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kern w:val="2"/>
                <w:sz w:val="24"/>
                <w:szCs w:val="24"/>
                <w:lang w:val="en-US" w:eastAsia="zh-CN" w:bidi="ar-SA"/>
              </w:rPr>
            </w:pP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白云第一中学（白云区实验中学）</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K3+920</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右侧35</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+1</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原有</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47" name="图片 47" descr="IMG_0999(20200518-20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IMG_0999(20200518-204603)"/>
                          <pic:cNvPicPr>
                            <a:picLocks noChangeAspect="1"/>
                          </pic:cNvPicPr>
                        </pic:nvPicPr>
                        <pic:blipFill>
                          <a:blip r:embed="rId10"/>
                          <a:stretch>
                            <a:fillRect/>
                          </a:stretch>
                        </pic:blipFill>
                        <pic:spPr>
                          <a:xfrm>
                            <a:off x="0" y="0"/>
                            <a:ext cx="1344295" cy="10083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dxa"/>
            <w:vAlign w:val="center"/>
          </w:tcPr>
          <w:p>
            <w:pPr>
              <w:keepNext w:val="0"/>
              <w:keepLines w:val="0"/>
              <w:pageBreakBefore w:val="0"/>
              <w:widowControl w:val="0"/>
              <w:numPr>
                <w:ilvl w:val="0"/>
                <w:numId w:val="7"/>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kern w:val="2"/>
                <w:sz w:val="24"/>
                <w:szCs w:val="24"/>
                <w:lang w:val="en-US" w:eastAsia="zh-CN" w:bidi="ar-SA"/>
              </w:rPr>
            </w:pP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白沙关社区（贵铝智慧幸福苑）</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K3+981</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左侧45</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+1</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原有</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48" name="图片 48" descr="IMG_1020(20200518-20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IMG_1020(20200518-204603)"/>
                          <pic:cNvPicPr>
                            <a:picLocks noChangeAspect="1"/>
                          </pic:cNvPicPr>
                        </pic:nvPicPr>
                        <pic:blipFill>
                          <a:blip r:embed="rId32"/>
                          <a:stretch>
                            <a:fillRect/>
                          </a:stretch>
                        </pic:blipFill>
                        <pic:spPr>
                          <a:xfrm>
                            <a:off x="0" y="0"/>
                            <a:ext cx="1344295" cy="10083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dxa"/>
            <w:vAlign w:val="center"/>
          </w:tcPr>
          <w:p>
            <w:pPr>
              <w:keepNext w:val="0"/>
              <w:keepLines w:val="0"/>
              <w:pageBreakBefore w:val="0"/>
              <w:widowControl w:val="0"/>
              <w:numPr>
                <w:ilvl w:val="0"/>
                <w:numId w:val="7"/>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kern w:val="2"/>
                <w:sz w:val="24"/>
                <w:szCs w:val="24"/>
                <w:lang w:val="en-US" w:eastAsia="zh-CN" w:bidi="ar-SA"/>
              </w:rPr>
            </w:pP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贵州赛诺管业有限公司</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K4+755</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右侧50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新增</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49" name="图片 49" descr="IMG_1001(20200518-20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IMG_1001(20200518-204603)"/>
                          <pic:cNvPicPr>
                            <a:picLocks noChangeAspect="1"/>
                          </pic:cNvPicPr>
                        </pic:nvPicPr>
                        <pic:blipFill>
                          <a:blip r:embed="rId33"/>
                          <a:stretch>
                            <a:fillRect/>
                          </a:stretch>
                        </pic:blipFill>
                        <pic:spPr>
                          <a:xfrm>
                            <a:off x="0" y="0"/>
                            <a:ext cx="1344295" cy="10083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dxa"/>
            <w:vAlign w:val="center"/>
          </w:tcPr>
          <w:p>
            <w:pPr>
              <w:keepNext w:val="0"/>
              <w:keepLines w:val="0"/>
              <w:pageBreakBefore w:val="0"/>
              <w:widowControl w:val="0"/>
              <w:numPr>
                <w:ilvl w:val="0"/>
                <w:numId w:val="7"/>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kern w:val="2"/>
                <w:sz w:val="24"/>
                <w:szCs w:val="24"/>
                <w:lang w:val="en-US" w:eastAsia="zh-CN" w:bidi="ar-SA"/>
              </w:rPr>
            </w:pP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天一·观山阅</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K4+351</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左侧70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+0.5</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新增</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50" name="图片 50" descr="IMG_1018(20200518-20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IMG_1018(20200518-204603)"/>
                          <pic:cNvPicPr>
                            <a:picLocks noChangeAspect="1"/>
                          </pic:cNvPicPr>
                        </pic:nvPicPr>
                        <pic:blipFill>
                          <a:blip r:embed="rId34"/>
                          <a:stretch>
                            <a:fillRect/>
                          </a:stretch>
                        </pic:blipFill>
                        <pic:spPr>
                          <a:xfrm>
                            <a:off x="0" y="0"/>
                            <a:ext cx="1344295" cy="10083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dxa"/>
            <w:vAlign w:val="center"/>
          </w:tcPr>
          <w:p>
            <w:pPr>
              <w:keepNext w:val="0"/>
              <w:keepLines w:val="0"/>
              <w:pageBreakBefore w:val="0"/>
              <w:widowControl w:val="0"/>
              <w:numPr>
                <w:ilvl w:val="0"/>
                <w:numId w:val="7"/>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kern w:val="2"/>
                <w:sz w:val="24"/>
                <w:szCs w:val="24"/>
                <w:lang w:val="en-US" w:eastAsia="zh-CN" w:bidi="ar-SA"/>
              </w:rPr>
            </w:pP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绿地·新都会</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K4+385</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右侧60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新增</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51" name="图片 51" descr="IMG_1004(20200518-20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IMG_1004(20200518-204603)"/>
                          <pic:cNvPicPr>
                            <a:picLocks noChangeAspect="1"/>
                          </pic:cNvPicPr>
                        </pic:nvPicPr>
                        <pic:blipFill>
                          <a:blip r:embed="rId35"/>
                          <a:stretch>
                            <a:fillRect/>
                          </a:stretch>
                        </pic:blipFill>
                        <pic:spPr>
                          <a:xfrm>
                            <a:off x="0" y="0"/>
                            <a:ext cx="1344295" cy="10083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dxa"/>
            <w:vAlign w:val="center"/>
          </w:tcPr>
          <w:p>
            <w:pPr>
              <w:keepNext w:val="0"/>
              <w:keepLines w:val="0"/>
              <w:pageBreakBefore w:val="0"/>
              <w:widowControl w:val="0"/>
              <w:numPr>
                <w:ilvl w:val="0"/>
                <w:numId w:val="7"/>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kern w:val="2"/>
                <w:sz w:val="24"/>
                <w:szCs w:val="24"/>
                <w:lang w:val="en-US" w:eastAsia="zh-CN" w:bidi="ar-SA"/>
              </w:rPr>
            </w:pPr>
          </w:p>
        </w:tc>
        <w:tc>
          <w:tcPr>
            <w:tcW w:w="1065"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金苏大道</w:t>
            </w: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贵州测试院</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K6+265</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右侧60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+0.5</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新增</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52" name="图片 52" descr="IMG_1005(20200518-20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IMG_1005(20200518-204603)"/>
                          <pic:cNvPicPr>
                            <a:picLocks noChangeAspect="1"/>
                          </pic:cNvPicPr>
                        </pic:nvPicPr>
                        <pic:blipFill>
                          <a:blip r:embed="rId36"/>
                          <a:stretch>
                            <a:fillRect/>
                          </a:stretch>
                        </pic:blipFill>
                        <pic:spPr>
                          <a:xfrm>
                            <a:off x="0" y="0"/>
                            <a:ext cx="1344295" cy="10083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dxa"/>
            <w:vAlign w:val="center"/>
          </w:tcPr>
          <w:p>
            <w:pPr>
              <w:keepNext w:val="0"/>
              <w:keepLines w:val="0"/>
              <w:pageBreakBefore w:val="0"/>
              <w:widowControl w:val="0"/>
              <w:numPr>
                <w:ilvl w:val="0"/>
                <w:numId w:val="7"/>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kern w:val="2"/>
                <w:sz w:val="24"/>
                <w:szCs w:val="24"/>
                <w:lang w:val="en-US" w:eastAsia="zh-CN" w:bidi="ar-SA"/>
              </w:rPr>
            </w:pP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虎峰大厦</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K7+120</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右侧55</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+0.5</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新增</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53" name="图片 53" descr="IMG_1006(20200518-145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IMG_1006(20200518-145149)"/>
                          <pic:cNvPicPr>
                            <a:picLocks noChangeAspect="1"/>
                          </pic:cNvPicPr>
                        </pic:nvPicPr>
                        <pic:blipFill>
                          <a:blip r:embed="rId37"/>
                          <a:stretch>
                            <a:fillRect/>
                          </a:stretch>
                        </pic:blipFill>
                        <pic:spPr>
                          <a:xfrm>
                            <a:off x="0" y="0"/>
                            <a:ext cx="1344295" cy="10083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dxa"/>
            <w:vAlign w:val="center"/>
          </w:tcPr>
          <w:p>
            <w:pPr>
              <w:keepNext w:val="0"/>
              <w:keepLines w:val="0"/>
              <w:pageBreakBefore w:val="0"/>
              <w:widowControl w:val="0"/>
              <w:numPr>
                <w:ilvl w:val="0"/>
                <w:numId w:val="7"/>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kern w:val="2"/>
                <w:sz w:val="24"/>
                <w:szCs w:val="24"/>
                <w:lang w:val="en-US" w:eastAsia="zh-CN" w:bidi="ar-SA"/>
              </w:rPr>
            </w:pP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白金大道消防中队</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K7+200</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右侧60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+0.5</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新增</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54" name="图片 54" descr="IMG_1007(20200518-20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IMG_1007(20200518-204603)"/>
                          <pic:cNvPicPr>
                            <a:picLocks noChangeAspect="1"/>
                          </pic:cNvPicPr>
                        </pic:nvPicPr>
                        <pic:blipFill>
                          <a:blip r:embed="rId38"/>
                          <a:stretch>
                            <a:fillRect/>
                          </a:stretch>
                        </pic:blipFill>
                        <pic:spPr>
                          <a:xfrm>
                            <a:off x="0" y="0"/>
                            <a:ext cx="1344295" cy="10083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dxa"/>
            <w:vAlign w:val="center"/>
          </w:tcPr>
          <w:p>
            <w:pPr>
              <w:keepNext w:val="0"/>
              <w:keepLines w:val="0"/>
              <w:pageBreakBefore w:val="0"/>
              <w:widowControl w:val="0"/>
              <w:numPr>
                <w:ilvl w:val="0"/>
                <w:numId w:val="7"/>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kern w:val="2"/>
                <w:sz w:val="24"/>
                <w:szCs w:val="24"/>
                <w:lang w:val="en-US" w:eastAsia="zh-CN" w:bidi="ar-SA"/>
              </w:rPr>
            </w:pP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太阳湖滨河公园</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K7+865</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右侧70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+0.5</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新增</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55" name="图片 55" descr="IMG_1009(20200518-20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IMG_1009(20200518-204603)"/>
                          <pic:cNvPicPr>
                            <a:picLocks noChangeAspect="1"/>
                          </pic:cNvPicPr>
                        </pic:nvPicPr>
                        <pic:blipFill>
                          <a:blip r:embed="rId12"/>
                          <a:stretch>
                            <a:fillRect/>
                          </a:stretch>
                        </pic:blipFill>
                        <pic:spPr>
                          <a:xfrm>
                            <a:off x="0" y="0"/>
                            <a:ext cx="1344295" cy="10083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dxa"/>
            <w:vAlign w:val="center"/>
          </w:tcPr>
          <w:p>
            <w:pPr>
              <w:keepNext w:val="0"/>
              <w:keepLines w:val="0"/>
              <w:pageBreakBefore w:val="0"/>
              <w:widowControl w:val="0"/>
              <w:numPr>
                <w:ilvl w:val="0"/>
                <w:numId w:val="7"/>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kern w:val="2"/>
                <w:sz w:val="24"/>
                <w:szCs w:val="24"/>
                <w:lang w:val="en-US" w:eastAsia="zh-CN" w:bidi="ar-SA"/>
              </w:rPr>
            </w:pP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麻堡组</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K8+140</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左侧85</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-1</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原有</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102" name="图片 102" descr="IMG_1016(20200518-20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IMG_1016(20200518-204603)"/>
                          <pic:cNvPicPr>
                            <a:picLocks noChangeAspect="1"/>
                          </pic:cNvPicPr>
                        </pic:nvPicPr>
                        <pic:blipFill>
                          <a:blip r:embed="rId39"/>
                          <a:stretch>
                            <a:fillRect/>
                          </a:stretch>
                        </pic:blipFill>
                        <pic:spPr>
                          <a:xfrm>
                            <a:off x="0" y="0"/>
                            <a:ext cx="1344295" cy="10083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dxa"/>
            <w:vAlign w:val="center"/>
          </w:tcPr>
          <w:p>
            <w:pPr>
              <w:keepNext w:val="0"/>
              <w:keepLines w:val="0"/>
              <w:pageBreakBefore w:val="0"/>
              <w:widowControl w:val="0"/>
              <w:numPr>
                <w:ilvl w:val="0"/>
                <w:numId w:val="7"/>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kern w:val="2"/>
                <w:sz w:val="24"/>
                <w:szCs w:val="24"/>
                <w:lang w:val="en-US" w:eastAsia="zh-CN" w:bidi="ar-SA"/>
              </w:rPr>
            </w:pP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沙子哨监狱</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K9+160</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右侧80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新增</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104" name="图片 104" descr="IMG_1010(20200518-145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IMG_1010(20200518-145844)"/>
                          <pic:cNvPicPr>
                            <a:picLocks noChangeAspect="1"/>
                          </pic:cNvPicPr>
                        </pic:nvPicPr>
                        <pic:blipFill>
                          <a:blip r:embed="rId13"/>
                          <a:stretch>
                            <a:fillRect/>
                          </a:stretch>
                        </pic:blipFill>
                        <pic:spPr>
                          <a:xfrm>
                            <a:off x="0" y="0"/>
                            <a:ext cx="1344295" cy="10083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dxa"/>
            <w:vAlign w:val="center"/>
          </w:tcPr>
          <w:p>
            <w:pPr>
              <w:keepNext w:val="0"/>
              <w:keepLines w:val="0"/>
              <w:pageBreakBefore w:val="0"/>
              <w:widowControl w:val="0"/>
              <w:numPr>
                <w:ilvl w:val="0"/>
                <w:numId w:val="7"/>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kern w:val="2"/>
                <w:sz w:val="24"/>
                <w:szCs w:val="24"/>
                <w:lang w:val="en-US" w:eastAsia="zh-CN" w:bidi="ar-SA"/>
              </w:rPr>
            </w:pPr>
          </w:p>
        </w:tc>
        <w:tc>
          <w:tcPr>
            <w:tcW w:w="1065"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金苏大道</w:t>
            </w: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神奇制药</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K10+800</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右侧45</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新增</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105" name="图片 105" descr="IMG_1011(20200518-20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IMG_1011(20200518-204603)"/>
                          <pic:cNvPicPr>
                            <a:picLocks noChangeAspect="1"/>
                          </pic:cNvPicPr>
                        </pic:nvPicPr>
                        <pic:blipFill>
                          <a:blip r:embed="rId40"/>
                          <a:stretch>
                            <a:fillRect/>
                          </a:stretch>
                        </pic:blipFill>
                        <pic:spPr>
                          <a:xfrm>
                            <a:off x="0" y="0"/>
                            <a:ext cx="1344295" cy="10083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dxa"/>
            <w:vAlign w:val="center"/>
          </w:tcPr>
          <w:p>
            <w:pPr>
              <w:keepNext w:val="0"/>
              <w:keepLines w:val="0"/>
              <w:pageBreakBefore w:val="0"/>
              <w:widowControl w:val="0"/>
              <w:numPr>
                <w:ilvl w:val="0"/>
                <w:numId w:val="7"/>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kern w:val="2"/>
                <w:sz w:val="24"/>
                <w:szCs w:val="24"/>
                <w:lang w:val="en-US" w:eastAsia="zh-CN" w:bidi="ar-SA"/>
              </w:rPr>
            </w:pP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金苏大道终点</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K11+600</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35</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106" name="图片 106" descr="IMG_1012(20200518-202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IMG_1012(20200518-202718)"/>
                          <pic:cNvPicPr>
                            <a:picLocks noChangeAspect="1"/>
                          </pic:cNvPicPr>
                        </pic:nvPicPr>
                        <pic:blipFill>
                          <a:blip r:embed="rId41"/>
                          <a:stretch>
                            <a:fillRect/>
                          </a:stretch>
                        </pic:blipFill>
                        <pic:spPr>
                          <a:xfrm>
                            <a:off x="0" y="0"/>
                            <a:ext cx="1344295" cy="1008380"/>
                          </a:xfrm>
                          <a:prstGeom prst="rect">
                            <a:avLst/>
                          </a:prstGeom>
                        </pic:spPr>
                      </pic:pic>
                    </a:graphicData>
                  </a:graphic>
                </wp:inline>
              </w:drawing>
            </w:r>
          </w:p>
        </w:tc>
      </w:tr>
    </w:tbl>
    <w:p>
      <w:pPr>
        <w:rPr>
          <w:rFonts w:hint="eastAsia"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br w:type="page"/>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0"/>
        <w:rPr>
          <w:rFonts w:hint="eastAsia" w:ascii="Times New Roman" w:hAnsi="Times New Roman" w:eastAsia="宋体" w:cs="Times New Roman"/>
          <w:b/>
          <w:bCs/>
          <w:sz w:val="24"/>
          <w:szCs w:val="24"/>
          <w:lang w:val="en-US" w:eastAsia="zh-CN"/>
        </w:rPr>
      </w:pPr>
      <w:bookmarkStart w:id="17" w:name="_Toc27617"/>
      <w:r>
        <w:rPr>
          <w:rFonts w:hint="eastAsia" w:ascii="Times New Roman" w:hAnsi="Times New Roman" w:eastAsia="宋体" w:cs="Times New Roman"/>
          <w:b/>
          <w:bCs/>
          <w:sz w:val="24"/>
          <w:szCs w:val="24"/>
          <w:lang w:val="en-US" w:eastAsia="zh-CN"/>
        </w:rPr>
        <w:t>2 工程概况</w:t>
      </w:r>
      <w:bookmarkEnd w:id="17"/>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1"/>
        <w:rPr>
          <w:rFonts w:hint="default" w:ascii="Times New Roman" w:hAnsi="Times New Roman" w:eastAsia="宋体" w:cs="Times New Roman"/>
          <w:sz w:val="24"/>
          <w:szCs w:val="24"/>
          <w:lang w:val="en-US" w:eastAsia="zh-CN"/>
        </w:rPr>
      </w:pPr>
      <w:bookmarkStart w:id="18" w:name="_Toc829"/>
      <w:r>
        <w:rPr>
          <w:rFonts w:hint="eastAsia" w:ascii="Times New Roman" w:hAnsi="Times New Roman" w:eastAsia="宋体" w:cs="Times New Roman"/>
          <w:sz w:val="24"/>
          <w:szCs w:val="24"/>
          <w:lang w:val="en-US" w:eastAsia="zh-CN"/>
        </w:rPr>
        <w:t>2.1地理位置及路线走向</w:t>
      </w:r>
      <w:bookmarkEnd w:id="18"/>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eastAsia="zh-CN"/>
        </w:rPr>
        <w:t>金苏大道</w:t>
      </w:r>
      <w:r>
        <w:rPr>
          <w:rFonts w:hint="default" w:ascii="Times New Roman" w:hAnsi="Times New Roman" w:eastAsia="宋体" w:cs="Times New Roman"/>
          <w:sz w:val="24"/>
          <w:szCs w:val="24"/>
        </w:rPr>
        <w:t>是麦架沙文高新产业发展用地</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一横一纵</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道路主骨架重要的</w:t>
      </w:r>
      <w:r>
        <w:rPr>
          <w:rFonts w:hint="eastAsia" w:ascii="Times New Roman" w:hAnsi="Times New Roman" w:eastAsia="宋体" w:cs="Times New Roman"/>
          <w:sz w:val="24"/>
          <w:szCs w:val="24"/>
          <w:lang w:eastAsia="zh-CN"/>
        </w:rPr>
        <w:t>纵</w:t>
      </w:r>
      <w:r>
        <w:rPr>
          <w:rFonts w:hint="default" w:ascii="Times New Roman" w:hAnsi="Times New Roman" w:eastAsia="宋体" w:cs="Times New Roman"/>
          <w:sz w:val="24"/>
          <w:szCs w:val="24"/>
        </w:rPr>
        <w:t>向组成部分，是规划布局的纵向主轴线，南接长岭北路延伸段、刚玉路。道路等级为城市</w:t>
      </w:r>
      <w:r>
        <w:rPr>
          <w:rFonts w:hint="eastAsia" w:ascii="Times New Roman" w:hAnsi="Times New Roman" w:eastAsia="宋体" w:cs="Times New Roman"/>
          <w:sz w:val="24"/>
          <w:szCs w:val="24"/>
          <w:lang w:eastAsia="zh-CN"/>
        </w:rPr>
        <w:t>道路</w:t>
      </w:r>
      <w:r>
        <w:rPr>
          <w:rFonts w:hint="eastAsia" w:ascii="宋体" w:hAnsi="宋体" w:eastAsia="宋体" w:cs="宋体"/>
          <w:sz w:val="24"/>
          <w:szCs w:val="24"/>
          <w:lang w:eastAsia="zh-CN"/>
        </w:rPr>
        <w:t>Ⅰ</w:t>
      </w:r>
      <w:r>
        <w:rPr>
          <w:rFonts w:hint="eastAsia" w:ascii="Times New Roman" w:hAnsi="Times New Roman" w:eastAsia="宋体" w:cs="Times New Roman"/>
          <w:sz w:val="24"/>
          <w:szCs w:val="24"/>
          <w:lang w:eastAsia="zh-CN"/>
        </w:rPr>
        <w:t>级</w:t>
      </w:r>
      <w:r>
        <w:rPr>
          <w:rFonts w:hint="default" w:ascii="Times New Roman" w:hAnsi="Times New Roman" w:eastAsia="宋体" w:cs="Times New Roman"/>
          <w:sz w:val="24"/>
          <w:szCs w:val="24"/>
        </w:rPr>
        <w:t>，</w:t>
      </w:r>
      <w:r>
        <w:rPr>
          <w:rFonts w:hint="eastAsia" w:ascii="Times New Roman" w:hAnsi="Times New Roman" w:eastAsia="宋体" w:cs="Times New Roman"/>
          <w:sz w:val="24"/>
          <w:szCs w:val="24"/>
          <w:lang w:eastAsia="zh-CN"/>
        </w:rPr>
        <w:t>路面</w:t>
      </w:r>
      <w:r>
        <w:rPr>
          <w:rFonts w:hint="default" w:ascii="Times New Roman" w:hAnsi="Times New Roman" w:eastAsia="宋体" w:cs="Times New Roman"/>
          <w:sz w:val="24"/>
          <w:szCs w:val="24"/>
        </w:rPr>
        <w:t>宽度60m。</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本道路起点K0+000长岭北路、金岭路交叉口，在该处形成十字形的平面交叉口，与长岭路北段在该处做一500m半径；向北经白云大道（K1）与白云大道平面交叉，后上跨艳山红铁路编组站（K1+200），该段道路平面左转弯，曲线半径为1000m；在贵阳耐火材料厂（K2+500）段道路右偏，曲线半径为1000m；后道路向北直行，过同心路与白沙大道转盘（K2+900），再向北沿现状白沙大道两侧拓宽改造，该段道路平面线型基本同现状道路，在有条件路段尽量采用较好的平面线型。后道路在K4+900处上跨绕城高速公路，向北经格林山庄（K5），在该段设一右偏的1000m半径；后在武警交通二工程处八支队（K5+800）设一右偏的1000m 半径，以躲避其主要建筑物；在苏庄干田砖厂（K7）附近设一1000m 半径的左转弯，道路沿正北方向布线。向正北方向在白云麻堡小学处与麦沙大道相接交（K8）在K8+700处与现状150县道（沙文~麦架）相交，从沙子哨第四监区西侧经过；道路向北经周家山、邓家坡、大坡、杨冲大坡、团坡等地，终点（K11+060）接新寨处规划的青山路。路线全长11.6km。项目走势图见图1.4.1-1~1.4.1-6，项目地理位置图见图2.1-1.</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1"/>
        <w:rPr>
          <w:rFonts w:hint="default" w:ascii="Times New Roman" w:hAnsi="Times New Roman" w:eastAsia="宋体" w:cs="Times New Roman"/>
          <w:sz w:val="24"/>
          <w:szCs w:val="24"/>
          <w:lang w:val="en-US" w:eastAsia="zh-CN"/>
        </w:rPr>
      </w:pPr>
      <w:bookmarkStart w:id="19" w:name="_Toc4405"/>
      <w:r>
        <w:rPr>
          <w:rFonts w:hint="eastAsia" w:ascii="Times New Roman" w:hAnsi="Times New Roman" w:eastAsia="宋体" w:cs="Times New Roman"/>
          <w:sz w:val="24"/>
          <w:szCs w:val="24"/>
          <w:lang w:val="en-US" w:eastAsia="zh-CN"/>
        </w:rPr>
        <w:t>2.2项目建设过程</w:t>
      </w:r>
      <w:bookmarkEnd w:id="19"/>
    </w:p>
    <w:p>
      <w:pPr>
        <w:keepNext w:val="0"/>
        <w:keepLines w:val="0"/>
        <w:pageBreakBefore w:val="0"/>
        <w:widowControl w:val="0"/>
        <w:numPr>
          <w:ilvl w:val="0"/>
          <w:numId w:val="8"/>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《关于贵阳高新技术产业经济带沙文生态科技产业园金苏大道道路工程建设项目立项的批复》（筑发改投字[2008]425号），贵阳市发展和和改革委员会，2008.06.25；</w:t>
      </w:r>
    </w:p>
    <w:p>
      <w:pPr>
        <w:keepNext w:val="0"/>
        <w:keepLines w:val="0"/>
        <w:pageBreakBefore w:val="0"/>
        <w:widowControl w:val="0"/>
        <w:numPr>
          <w:ilvl w:val="0"/>
          <w:numId w:val="8"/>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关于对《贵阳高新技术产业经济带沙文生态科技产业园金苏大道道路工程水土保持方案报告书》的批复，筑水保字[2008]42号，贵阳水利局，2008.11.24；</w:t>
      </w:r>
    </w:p>
    <w:p>
      <w:pPr>
        <w:keepNext w:val="0"/>
        <w:keepLines w:val="0"/>
        <w:pageBreakBefore w:val="0"/>
        <w:widowControl w:val="0"/>
        <w:numPr>
          <w:ilvl w:val="0"/>
          <w:numId w:val="8"/>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关于对《贵阳高新技术产业经济带沙文生态科技产业园金苏大道道路工程环境影响评价大纲》的审查意见，黔环评估纲[2008]187号，贵州省环境工程评估中心，2008.11.26；</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9"/>
        <w:rPr>
          <w:rFonts w:hint="default" w:ascii="Times New Roman" w:hAnsi="Times New Roman" w:eastAsia="宋体" w:cs="Times New Roman"/>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sectPr>
          <w:pgSz w:w="11906" w:h="16838"/>
          <w:pgMar w:top="1440" w:right="1800" w:bottom="1440" w:left="1800" w:header="850" w:footer="992" w:gutter="0"/>
          <w:pgNumType w:fmt="decimal"/>
          <w:cols w:space="425" w:num="1"/>
          <w:docGrid w:type="lines" w:linePitch="312" w:charSpace="0"/>
        </w:sect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drawing>
          <wp:inline distT="0" distB="0" distL="114300" distR="114300">
            <wp:extent cx="7772400" cy="4928870"/>
            <wp:effectExtent l="0" t="0" r="0" b="5080"/>
            <wp:docPr id="107" name="图片 107" descr="2020081512250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20200815122501652"/>
                    <pic:cNvPicPr>
                      <a:picLocks noChangeAspect="1"/>
                    </pic:cNvPicPr>
                  </pic:nvPicPr>
                  <pic:blipFill>
                    <a:blip r:embed="rId42"/>
                    <a:srcRect l="6113" t="6330" r="2350" b="4292"/>
                    <a:stretch>
                      <a:fillRect/>
                    </a:stretch>
                  </pic:blipFill>
                  <pic:spPr>
                    <a:xfrm rot="10800000">
                      <a:off x="0" y="0"/>
                      <a:ext cx="7772400" cy="492887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sz w:val="24"/>
          <w:szCs w:val="24"/>
          <w:lang w:val="en-US" w:eastAsia="zh-CN"/>
        </w:rPr>
        <w:sectPr>
          <w:pgSz w:w="16838" w:h="11906" w:orient="landscape"/>
          <w:pgMar w:top="1800" w:right="1440" w:bottom="1800" w:left="1440" w:header="850" w:footer="992" w:gutter="0"/>
          <w:pgNumType w:fmt="decimal"/>
          <w:cols w:space="425" w:num="1"/>
          <w:docGrid w:type="lines" w:linePitch="312" w:charSpace="0"/>
        </w:sectPr>
      </w:pPr>
      <w:r>
        <w:rPr>
          <w:rFonts w:hint="eastAsia" w:ascii="Times New Roman" w:hAnsi="Times New Roman" w:eastAsia="宋体" w:cs="Times New Roman"/>
          <w:sz w:val="24"/>
          <w:szCs w:val="24"/>
          <w:lang w:val="en-US" w:eastAsia="zh-CN"/>
        </w:rPr>
        <w:t>图2.1-1 项目地理位置及走势图</w:t>
      </w:r>
    </w:p>
    <w:p>
      <w:pPr>
        <w:keepNext w:val="0"/>
        <w:keepLines w:val="0"/>
        <w:pageBreakBefore w:val="0"/>
        <w:widowControl w:val="0"/>
        <w:numPr>
          <w:ilvl w:val="0"/>
          <w:numId w:val="8"/>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《贵阳高新技术产业经济带沙文生态科技产业园金苏大道道路工程环境影响评价报告书》，贵州省环境科学研究设计院，2009.03；</w:t>
      </w:r>
    </w:p>
    <w:p>
      <w:pPr>
        <w:keepNext w:val="0"/>
        <w:keepLines w:val="0"/>
        <w:pageBreakBefore w:val="0"/>
        <w:widowControl w:val="0"/>
        <w:numPr>
          <w:ilvl w:val="0"/>
          <w:numId w:val="8"/>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《关于贵阳高新技术产业经济带沙文生态科技产业园金苏大道道路工程环境影响评价报告书的批复》（黔环函[2009]185号），贵州省环境保护厅，2009.04.03；</w:t>
      </w:r>
    </w:p>
    <w:p>
      <w:pPr>
        <w:keepNext w:val="0"/>
        <w:keepLines w:val="0"/>
        <w:pageBreakBefore w:val="0"/>
        <w:widowControl w:val="0"/>
        <w:numPr>
          <w:ilvl w:val="0"/>
          <w:numId w:val="8"/>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本项目于2009年04月01日开工建设，2014年03月20日所有标段完成验收并投入使用。</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从以上建设过程分析，本项目建设过程中执行了建设项目环境保护管理程序和“三同时”管理制度。</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1"/>
        <w:rPr>
          <w:rFonts w:hint="eastAsia" w:ascii="Times New Roman" w:hAnsi="Times New Roman" w:eastAsia="宋体" w:cs="Times New Roman"/>
          <w:sz w:val="24"/>
          <w:szCs w:val="24"/>
          <w:lang w:val="en-US" w:eastAsia="zh-CN"/>
        </w:rPr>
      </w:pPr>
      <w:bookmarkStart w:id="20" w:name="_Toc4952"/>
      <w:r>
        <w:rPr>
          <w:rFonts w:hint="eastAsia" w:ascii="Times New Roman" w:hAnsi="Times New Roman" w:eastAsia="宋体" w:cs="Times New Roman"/>
          <w:sz w:val="24"/>
          <w:szCs w:val="24"/>
          <w:lang w:val="en-US" w:eastAsia="zh-CN"/>
        </w:rPr>
        <w:t>2.3</w:t>
      </w:r>
      <w:r>
        <w:rPr>
          <w:rFonts w:hint="eastAsia" w:ascii="Times New Roman" w:hAnsi="Times New Roman" w:eastAsia="宋体" w:cs="Times New Roman"/>
          <w:color w:val="auto"/>
          <w:sz w:val="24"/>
          <w:szCs w:val="24"/>
          <w:lang w:val="en-US" w:eastAsia="zh-CN"/>
        </w:rPr>
        <w:t>建设内容</w:t>
      </w:r>
      <w:bookmarkEnd w:id="20"/>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2"/>
        <w:rPr>
          <w:rFonts w:hint="default" w:ascii="Times New Roman" w:hAnsi="Times New Roman" w:eastAsia="宋体" w:cs="Times New Roman"/>
          <w:sz w:val="24"/>
          <w:szCs w:val="24"/>
          <w:lang w:val="en-US" w:eastAsia="zh-CN"/>
        </w:rPr>
      </w:pPr>
      <w:bookmarkStart w:id="21" w:name="_Toc20541"/>
      <w:r>
        <w:rPr>
          <w:rFonts w:hint="eastAsia" w:ascii="Times New Roman" w:hAnsi="Times New Roman" w:eastAsia="宋体" w:cs="Times New Roman"/>
          <w:sz w:val="24"/>
          <w:szCs w:val="24"/>
          <w:lang w:val="en-US" w:eastAsia="zh-CN"/>
        </w:rPr>
        <w:t>2.3.1建设规模及主要技术指标</w:t>
      </w:r>
      <w:bookmarkEnd w:id="21"/>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全长11.6km，路面宽60m，为沥青混凝土路面，设计时速60km/h，工程总投资126361.24万元，平均造价1.298万元/km。本项目改扩建长3060m（K2+680～K3+880、K3+880~K5-740），占线路总长的26.38%。K2+680～K3+880路段沿白沙路布线，道路宽40m，沥青路面，两侧有铝厂居民聚集，道路较为完好，本次项目拟对该段路进行拓宽改造成红线宽60m的大道；K3+880~K5-740路段宽15m，沿线多为灌木丛、草丛，居民稀少，本次项目拟对该段路进行拓宽改造成红线宽60m的大道。新建路段长6200m(K0+000～K6+200)，占线路总长的73.62%。新建路段长超过总长度的50%，本项目定性为新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本项目线性较好，高填深挖路段较少。项目主要技术指标见表2.3.1-1，项目组成见表2.3.1-2，高填深挖路段见表2.3.1-3。</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表2.3.1-1 项目主要技术指标</w:t>
      </w:r>
    </w:p>
    <w:tbl>
      <w:tblPr>
        <w:tblStyle w:val="9"/>
        <w:tblW w:w="120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0" w:type="dxa"/>
          <w:bottom w:w="0" w:type="dxa"/>
          <w:right w:w="0" w:type="dxa"/>
        </w:tblCellMar>
      </w:tblPr>
      <w:tblGrid>
        <w:gridCol w:w="1239"/>
        <w:gridCol w:w="1685"/>
        <w:gridCol w:w="1538"/>
        <w:gridCol w:w="1330"/>
        <w:gridCol w:w="1857"/>
        <w:gridCol w:w="18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533" w:hRule="atLeast"/>
          <w:tblHeader/>
          <w:jc w:val="center"/>
        </w:trPr>
        <w:tc>
          <w:tcPr>
            <w:tcW w:w="4462" w:type="dxa"/>
            <w:gridSpan w:val="3"/>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bCs/>
                <w:i w:val="0"/>
                <w:color w:val="000000"/>
                <w:sz w:val="22"/>
                <w:szCs w:val="22"/>
                <w:u w:val="none"/>
              </w:rPr>
            </w:pPr>
            <w:r>
              <w:rPr>
                <w:rStyle w:val="16"/>
                <w:rFonts w:hint="default" w:ascii="Times New Roman" w:hAnsi="Times New Roman" w:eastAsia="宋体" w:cs="Times New Roman"/>
                <w:b/>
                <w:bCs/>
                <w:lang w:val="en-US" w:eastAsia="zh-CN" w:bidi="ar"/>
              </w:rPr>
              <w:t>项目</w:t>
            </w:r>
          </w:p>
        </w:tc>
        <w:tc>
          <w:tcPr>
            <w:tcW w:w="133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bCs/>
                <w:i w:val="0"/>
                <w:color w:val="000000"/>
                <w:sz w:val="22"/>
                <w:szCs w:val="22"/>
                <w:u w:val="none"/>
              </w:rPr>
            </w:pPr>
            <w:r>
              <w:rPr>
                <w:rStyle w:val="16"/>
                <w:rFonts w:hint="default" w:ascii="Times New Roman" w:hAnsi="Times New Roman" w:eastAsia="宋体" w:cs="Times New Roman"/>
                <w:b/>
                <w:bCs/>
                <w:lang w:val="en-US" w:eastAsia="zh-CN" w:bidi="ar"/>
              </w:rPr>
              <w:t>单位</w:t>
            </w:r>
          </w:p>
        </w:tc>
        <w:tc>
          <w:tcPr>
            <w:tcW w:w="185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bCs/>
                <w:i w:val="0"/>
                <w:color w:val="000000"/>
                <w:sz w:val="22"/>
                <w:szCs w:val="22"/>
                <w:u w:val="none"/>
              </w:rPr>
            </w:pPr>
            <w:r>
              <w:rPr>
                <w:rStyle w:val="16"/>
                <w:rFonts w:hint="default" w:ascii="Times New Roman" w:hAnsi="Times New Roman" w:eastAsia="宋体" w:cs="Times New Roman"/>
                <w:b/>
                <w:bCs/>
                <w:lang w:val="en-US" w:eastAsia="zh-CN" w:bidi="ar"/>
              </w:rPr>
              <w:t>规范要求值</w:t>
            </w:r>
          </w:p>
        </w:tc>
        <w:tc>
          <w:tcPr>
            <w:tcW w:w="185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bCs/>
                <w:i w:val="0"/>
                <w:color w:val="000000"/>
                <w:sz w:val="22"/>
                <w:szCs w:val="22"/>
                <w:u w:val="none"/>
              </w:rPr>
            </w:pPr>
            <w:r>
              <w:rPr>
                <w:rStyle w:val="16"/>
                <w:rFonts w:hint="eastAsia" w:ascii="Times New Roman" w:hAnsi="Times New Roman" w:eastAsia="宋体" w:cs="Times New Roman"/>
                <w:b/>
                <w:bCs/>
                <w:lang w:val="en-US" w:eastAsia="zh-CN" w:bidi="ar"/>
              </w:rPr>
              <w:t>金苏大道</w:t>
            </w:r>
            <w:r>
              <w:rPr>
                <w:rStyle w:val="16"/>
                <w:rFonts w:hint="default" w:ascii="Times New Roman" w:hAnsi="Times New Roman" w:eastAsia="宋体" w:cs="Times New Roman"/>
                <w:b/>
                <w:bCs/>
                <w:lang w:val="en-US" w:eastAsia="zh-CN" w:bidi="ar"/>
              </w:rPr>
              <w:t>釆用值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jc w:val="center"/>
        </w:trPr>
        <w:tc>
          <w:tcPr>
            <w:tcW w:w="4462" w:type="dxa"/>
            <w:gridSpan w:val="3"/>
            <w:shd w:val="clear" w:color="auto" w:fill="auto"/>
            <w:noWrap/>
            <w:tcMar>
              <w:top w:w="15" w:type="dxa"/>
              <w:left w:w="15" w:type="dxa"/>
              <w:right w:w="15" w:type="dxa"/>
            </w:tcMar>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道路等级</w:t>
            </w:r>
          </w:p>
        </w:tc>
        <w:tc>
          <w:tcPr>
            <w:tcW w:w="1330" w:type="dxa"/>
            <w:shd w:val="clear" w:color="auto" w:fill="auto"/>
            <w:noWrap/>
            <w:tcMar>
              <w:top w:w="15" w:type="dxa"/>
              <w:left w:w="15" w:type="dxa"/>
              <w:right w:w="15" w:type="dxa"/>
            </w:tcMar>
            <w:vAlign w:val="center"/>
          </w:tcPr>
          <w:p>
            <w:pPr>
              <w:jc w:val="center"/>
              <w:rPr>
                <w:rFonts w:hint="default" w:ascii="Times New Roman" w:hAnsi="Times New Roman" w:eastAsia="宋体" w:cs="Times New Roman"/>
                <w:b w:val="0"/>
                <w:bCs w:val="0"/>
                <w:i w:val="0"/>
                <w:color w:val="000000"/>
                <w:sz w:val="20"/>
                <w:szCs w:val="20"/>
                <w:u w:val="none"/>
              </w:rPr>
            </w:pPr>
          </w:p>
        </w:tc>
        <w:tc>
          <w:tcPr>
            <w:tcW w:w="1857"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Style w:val="16"/>
                <w:rFonts w:hint="default" w:ascii="Times New Roman" w:hAnsi="Times New Roman" w:eastAsia="宋体" w:cs="Times New Roman"/>
                <w:b w:val="0"/>
                <w:bCs w:val="0"/>
                <w:lang w:val="en-US" w:eastAsia="zh-CN" w:bidi="ar"/>
              </w:rPr>
              <w:t>城市</w:t>
            </w:r>
            <w:r>
              <w:rPr>
                <w:rStyle w:val="17"/>
                <w:rFonts w:hint="default" w:ascii="Times New Roman" w:hAnsi="Times New Roman" w:eastAsia="宋体" w:cs="Times New Roman"/>
                <w:b w:val="0"/>
                <w:bCs w:val="0"/>
                <w:lang w:val="en-US" w:eastAsia="zh-CN" w:bidi="ar"/>
              </w:rPr>
              <w:t>I</w:t>
            </w:r>
            <w:r>
              <w:rPr>
                <w:rStyle w:val="16"/>
                <w:rFonts w:hint="default" w:ascii="Times New Roman" w:hAnsi="Times New Roman" w:eastAsia="宋体" w:cs="Times New Roman"/>
                <w:b w:val="0"/>
                <w:bCs w:val="0"/>
                <w:lang w:val="en-US" w:eastAsia="zh-CN" w:bidi="ar"/>
              </w:rPr>
              <w:t>级主干道</w:t>
            </w:r>
          </w:p>
        </w:tc>
        <w:tc>
          <w:tcPr>
            <w:tcW w:w="1857"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Style w:val="16"/>
                <w:rFonts w:hint="default" w:ascii="Times New Roman" w:hAnsi="Times New Roman" w:eastAsia="宋体" w:cs="Times New Roman"/>
                <w:b w:val="0"/>
                <w:bCs w:val="0"/>
                <w:lang w:val="en-US" w:eastAsia="zh-CN" w:bidi="ar"/>
              </w:rPr>
              <w:t>城市</w:t>
            </w:r>
            <w:r>
              <w:rPr>
                <w:rStyle w:val="17"/>
                <w:rFonts w:hint="default" w:ascii="Times New Roman" w:hAnsi="Times New Roman" w:eastAsia="宋体" w:cs="Times New Roman"/>
                <w:b w:val="0"/>
                <w:bCs w:val="0"/>
                <w:lang w:val="en-US" w:eastAsia="zh-CN" w:bidi="ar"/>
              </w:rPr>
              <w:t>I</w:t>
            </w:r>
            <w:r>
              <w:rPr>
                <w:rStyle w:val="16"/>
                <w:rFonts w:hint="default" w:ascii="Times New Roman" w:hAnsi="Times New Roman" w:eastAsia="宋体" w:cs="Times New Roman"/>
                <w:b w:val="0"/>
                <w:bCs w:val="0"/>
                <w:lang w:val="en-US" w:eastAsia="zh-CN" w:bidi="ar"/>
              </w:rPr>
              <w:t>级主干道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jc w:val="center"/>
        </w:trPr>
        <w:tc>
          <w:tcPr>
            <w:tcW w:w="4462" w:type="dxa"/>
            <w:gridSpan w:val="3"/>
            <w:shd w:val="clear" w:color="auto" w:fill="auto"/>
            <w:noWrap/>
            <w:tcMar>
              <w:top w:w="15" w:type="dxa"/>
              <w:left w:w="15" w:type="dxa"/>
              <w:right w:w="15" w:type="dxa"/>
            </w:tcMar>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计算行车速度</w:t>
            </w:r>
          </w:p>
        </w:tc>
        <w:tc>
          <w:tcPr>
            <w:tcW w:w="133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Style w:val="17"/>
                <w:rFonts w:hint="default" w:ascii="Times New Roman" w:hAnsi="Times New Roman" w:eastAsia="宋体" w:cs="Times New Roman"/>
                <w:b w:val="0"/>
                <w:bCs w:val="0"/>
                <w:lang w:val="en-US" w:eastAsia="zh-CN" w:bidi="ar"/>
              </w:rPr>
              <w:t>km/h</w:t>
            </w:r>
          </w:p>
        </w:tc>
        <w:tc>
          <w:tcPr>
            <w:tcW w:w="185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60</w:t>
            </w:r>
          </w:p>
        </w:tc>
        <w:tc>
          <w:tcPr>
            <w:tcW w:w="185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jc w:val="center"/>
        </w:trPr>
        <w:tc>
          <w:tcPr>
            <w:tcW w:w="4462" w:type="dxa"/>
            <w:gridSpan w:val="3"/>
            <w:shd w:val="clear" w:color="auto" w:fill="auto"/>
            <w:noWrap/>
            <w:tcMar>
              <w:top w:w="15" w:type="dxa"/>
              <w:left w:w="15" w:type="dxa"/>
              <w:right w:w="15" w:type="dxa"/>
            </w:tcMar>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路面设计标准轴载</w:t>
            </w:r>
          </w:p>
        </w:tc>
        <w:tc>
          <w:tcPr>
            <w:tcW w:w="1330" w:type="dxa"/>
            <w:shd w:val="clear" w:color="auto" w:fill="auto"/>
            <w:noWrap/>
            <w:tcMar>
              <w:top w:w="15" w:type="dxa"/>
              <w:left w:w="15" w:type="dxa"/>
              <w:right w:w="15" w:type="dxa"/>
            </w:tcMar>
            <w:vAlign w:val="center"/>
          </w:tcPr>
          <w:p>
            <w:pPr>
              <w:jc w:val="center"/>
              <w:rPr>
                <w:rFonts w:hint="default" w:ascii="Times New Roman" w:hAnsi="Times New Roman" w:eastAsia="宋体" w:cs="Times New Roman"/>
                <w:b w:val="0"/>
                <w:bCs w:val="0"/>
                <w:i w:val="0"/>
                <w:color w:val="000000"/>
                <w:sz w:val="20"/>
                <w:szCs w:val="20"/>
                <w:u w:val="none"/>
              </w:rPr>
            </w:pPr>
          </w:p>
        </w:tc>
        <w:tc>
          <w:tcPr>
            <w:tcW w:w="185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Style w:val="17"/>
                <w:rFonts w:hint="default" w:ascii="Times New Roman" w:hAnsi="Times New Roman" w:eastAsia="宋体" w:cs="Times New Roman"/>
                <w:b w:val="0"/>
                <w:bCs w:val="0"/>
                <w:lang w:val="en-US" w:eastAsia="zh-CN" w:bidi="ar"/>
              </w:rPr>
              <w:t>BZZ-100</w:t>
            </w:r>
          </w:p>
        </w:tc>
        <w:tc>
          <w:tcPr>
            <w:tcW w:w="185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Style w:val="17"/>
                <w:rFonts w:hint="default" w:ascii="Times New Roman" w:hAnsi="Times New Roman" w:eastAsia="宋体" w:cs="Times New Roman"/>
                <w:b w:val="0"/>
                <w:bCs w:val="0"/>
                <w:lang w:val="en-US" w:eastAsia="zh-CN" w:bidi="ar"/>
              </w:rPr>
              <w:t>BZZ-100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jc w:val="center"/>
        </w:trPr>
        <w:tc>
          <w:tcPr>
            <w:tcW w:w="1239" w:type="dxa"/>
            <w:vMerge w:val="restart"/>
            <w:shd w:val="clear" w:color="auto" w:fill="auto"/>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最</w:t>
            </w:r>
          </w:p>
        </w:tc>
        <w:tc>
          <w:tcPr>
            <w:tcW w:w="3223" w:type="dxa"/>
            <w:gridSpan w:val="2"/>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机动车道</w:t>
            </w:r>
          </w:p>
        </w:tc>
        <w:tc>
          <w:tcPr>
            <w:tcW w:w="133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Style w:val="17"/>
                <w:rFonts w:hint="default" w:ascii="Times New Roman" w:hAnsi="Times New Roman" w:eastAsia="宋体" w:cs="Times New Roman"/>
                <w:b w:val="0"/>
                <w:bCs w:val="0"/>
                <w:lang w:val="en-US" w:eastAsia="zh-CN" w:bidi="ar"/>
              </w:rPr>
              <w:t>m</w:t>
            </w:r>
          </w:p>
        </w:tc>
        <w:tc>
          <w:tcPr>
            <w:tcW w:w="185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5.0</w:t>
            </w:r>
          </w:p>
        </w:tc>
        <w:tc>
          <w:tcPr>
            <w:tcW w:w="185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jc w:val="center"/>
        </w:trPr>
        <w:tc>
          <w:tcPr>
            <w:tcW w:w="1239" w:type="dxa"/>
            <w:vMerge w:val="continue"/>
            <w:shd w:val="clear" w:color="auto" w:fill="auto"/>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4"/>
                <w:szCs w:val="24"/>
                <w:lang w:val="en-US" w:eastAsia="zh-CN" w:bidi="ar-SA"/>
              </w:rPr>
            </w:pPr>
          </w:p>
        </w:tc>
        <w:tc>
          <w:tcPr>
            <w:tcW w:w="3223" w:type="dxa"/>
            <w:gridSpan w:val="2"/>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人行道</w:t>
            </w:r>
          </w:p>
        </w:tc>
        <w:tc>
          <w:tcPr>
            <w:tcW w:w="133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Style w:val="17"/>
                <w:rFonts w:hint="default" w:ascii="Times New Roman" w:hAnsi="Times New Roman" w:eastAsia="宋体" w:cs="Times New Roman"/>
                <w:b w:val="0"/>
                <w:bCs w:val="0"/>
                <w:lang w:val="en-US" w:eastAsia="zh-CN" w:bidi="ar"/>
              </w:rPr>
              <w:t>m</w:t>
            </w:r>
          </w:p>
        </w:tc>
        <w:tc>
          <w:tcPr>
            <w:tcW w:w="185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2.5</w:t>
            </w:r>
          </w:p>
        </w:tc>
        <w:tc>
          <w:tcPr>
            <w:tcW w:w="185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jc w:val="center"/>
        </w:trPr>
        <w:tc>
          <w:tcPr>
            <w:tcW w:w="1239" w:type="dxa"/>
            <w:vMerge w:val="restart"/>
            <w:shd w:val="clear" w:color="auto" w:fill="auto"/>
            <w:noWrap/>
            <w:tcMar>
              <w:top w:w="15" w:type="dxa"/>
              <w:left w:w="15" w:type="dxa"/>
              <w:right w:w="15" w:type="dxa"/>
            </w:tcMar>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平曲线</w:t>
            </w:r>
          </w:p>
        </w:tc>
        <w:tc>
          <w:tcPr>
            <w:tcW w:w="3223" w:type="dxa"/>
            <w:gridSpan w:val="2"/>
            <w:shd w:val="clear" w:color="auto" w:fill="auto"/>
            <w:noWrap/>
            <w:tcMar>
              <w:top w:w="15" w:type="dxa"/>
              <w:left w:w="15" w:type="dxa"/>
              <w:right w:w="15" w:type="dxa"/>
            </w:tcMar>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不设超高最小圆曲线半径</w:t>
            </w:r>
          </w:p>
        </w:tc>
        <w:tc>
          <w:tcPr>
            <w:tcW w:w="133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Style w:val="17"/>
                <w:rFonts w:hint="default" w:ascii="Times New Roman" w:hAnsi="Times New Roman" w:eastAsia="宋体" w:cs="Times New Roman"/>
                <w:b w:val="0"/>
                <w:bCs w:val="0"/>
                <w:lang w:val="en-US" w:eastAsia="zh-CN" w:bidi="ar"/>
              </w:rPr>
              <w:t>m</w:t>
            </w:r>
          </w:p>
        </w:tc>
        <w:tc>
          <w:tcPr>
            <w:tcW w:w="185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600</w:t>
            </w:r>
          </w:p>
        </w:tc>
        <w:tc>
          <w:tcPr>
            <w:tcW w:w="1857" w:type="dxa"/>
            <w:vMerge w:val="restart"/>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jc w:val="center"/>
        </w:trPr>
        <w:tc>
          <w:tcPr>
            <w:tcW w:w="1239" w:type="dxa"/>
            <w:vMerge w:val="continue"/>
            <w:shd w:val="clear" w:color="auto" w:fill="auto"/>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4"/>
                <w:szCs w:val="24"/>
                <w:lang w:val="en-US" w:eastAsia="zh-CN" w:bidi="ar-SA"/>
              </w:rPr>
            </w:pPr>
          </w:p>
        </w:tc>
        <w:tc>
          <w:tcPr>
            <w:tcW w:w="3223" w:type="dxa"/>
            <w:gridSpan w:val="2"/>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设超高最小圆曲线半径</w:t>
            </w:r>
          </w:p>
        </w:tc>
        <w:tc>
          <w:tcPr>
            <w:tcW w:w="133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Style w:val="17"/>
                <w:rFonts w:hint="default" w:ascii="Times New Roman" w:hAnsi="Times New Roman" w:eastAsia="宋体" w:cs="Times New Roman"/>
                <w:b w:val="0"/>
                <w:bCs w:val="0"/>
                <w:lang w:val="en-US" w:eastAsia="zh-CN" w:bidi="ar"/>
              </w:rPr>
              <w:t>m</w:t>
            </w:r>
          </w:p>
        </w:tc>
        <w:tc>
          <w:tcPr>
            <w:tcW w:w="185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150</w:t>
            </w:r>
          </w:p>
        </w:tc>
        <w:tc>
          <w:tcPr>
            <w:tcW w:w="1857" w:type="dxa"/>
            <w:vMerge w:val="continue"/>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jc w:val="center"/>
        </w:trPr>
        <w:tc>
          <w:tcPr>
            <w:tcW w:w="1239" w:type="dxa"/>
            <w:vMerge w:val="continue"/>
            <w:shd w:val="clear" w:color="auto" w:fill="auto"/>
            <w:noWrap/>
            <w:tcMar>
              <w:top w:w="15" w:type="dxa"/>
              <w:left w:w="15" w:type="dxa"/>
              <w:right w:w="15" w:type="dxa"/>
            </w:tcMar>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kern w:val="2"/>
                <w:sz w:val="24"/>
                <w:szCs w:val="24"/>
                <w:lang w:val="en-US" w:eastAsia="zh-CN" w:bidi="ar-SA"/>
              </w:rPr>
            </w:pPr>
          </w:p>
        </w:tc>
        <w:tc>
          <w:tcPr>
            <w:tcW w:w="3223" w:type="dxa"/>
            <w:gridSpan w:val="2"/>
            <w:shd w:val="clear" w:color="auto" w:fill="auto"/>
            <w:noWrap/>
            <w:tcMar>
              <w:top w:w="15" w:type="dxa"/>
              <w:left w:w="15" w:type="dxa"/>
              <w:right w:w="15" w:type="dxa"/>
            </w:tcMar>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不设缓和曲线</w:t>
            </w:r>
            <w:r>
              <w:rPr>
                <w:rFonts w:hint="eastAsia" w:ascii="Times New Roman" w:hAnsi="Times New Roman" w:eastAsia="宋体" w:cs="Times New Roman"/>
                <w:kern w:val="2"/>
                <w:sz w:val="24"/>
                <w:szCs w:val="24"/>
                <w:lang w:val="en-US" w:eastAsia="zh-CN" w:bidi="ar-SA"/>
              </w:rPr>
              <w:t>最</w:t>
            </w:r>
            <w:r>
              <w:rPr>
                <w:rFonts w:hint="default" w:ascii="Times New Roman" w:hAnsi="Times New Roman" w:eastAsia="宋体" w:cs="Times New Roman"/>
                <w:kern w:val="2"/>
                <w:sz w:val="24"/>
                <w:szCs w:val="24"/>
                <w:lang w:val="en-US" w:eastAsia="zh-CN" w:bidi="ar-SA"/>
              </w:rPr>
              <w:t>小圆曲线半径</w:t>
            </w:r>
          </w:p>
        </w:tc>
        <w:tc>
          <w:tcPr>
            <w:tcW w:w="133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Style w:val="17"/>
                <w:rFonts w:hint="default" w:ascii="Times New Roman" w:hAnsi="Times New Roman" w:eastAsia="宋体" w:cs="Times New Roman"/>
                <w:b w:val="0"/>
                <w:bCs w:val="0"/>
                <w:lang w:val="en-US" w:eastAsia="zh-CN" w:bidi="ar"/>
              </w:rPr>
              <w:t>m</w:t>
            </w:r>
          </w:p>
        </w:tc>
        <w:tc>
          <w:tcPr>
            <w:tcW w:w="185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1000</w:t>
            </w:r>
          </w:p>
        </w:tc>
        <w:tc>
          <w:tcPr>
            <w:tcW w:w="1857" w:type="dxa"/>
            <w:vMerge w:val="continue"/>
            <w:shd w:val="clear" w:color="auto" w:fill="auto"/>
            <w:noWrap/>
            <w:tcMar>
              <w:top w:w="15" w:type="dxa"/>
              <w:left w:w="15" w:type="dxa"/>
              <w:right w:w="15" w:type="dxa"/>
            </w:tcMar>
            <w:vAlign w:val="center"/>
          </w:tcPr>
          <w:p>
            <w:pPr>
              <w:jc w:val="center"/>
              <w:rPr>
                <w:rFonts w:hint="default" w:ascii="Times New Roman" w:hAnsi="Times New Roman" w:eastAsia="宋体" w:cs="Times New Roman"/>
                <w:b w:val="0"/>
                <w:bCs w:val="0"/>
                <w:i w:val="0"/>
                <w:color w:val="000000"/>
                <w:sz w:val="20"/>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jc w:val="center"/>
        </w:trPr>
        <w:tc>
          <w:tcPr>
            <w:tcW w:w="1239" w:type="dxa"/>
            <w:vMerge w:val="continue"/>
            <w:shd w:val="clear" w:color="auto" w:fill="auto"/>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4"/>
                <w:szCs w:val="24"/>
                <w:lang w:val="en-US" w:eastAsia="zh-CN" w:bidi="ar-SA"/>
              </w:rPr>
            </w:pPr>
          </w:p>
        </w:tc>
        <w:tc>
          <w:tcPr>
            <w:tcW w:w="3223" w:type="dxa"/>
            <w:gridSpan w:val="2"/>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平曲线最小长度</w:t>
            </w:r>
          </w:p>
        </w:tc>
        <w:tc>
          <w:tcPr>
            <w:tcW w:w="133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Style w:val="17"/>
                <w:rFonts w:hint="default" w:ascii="Times New Roman" w:hAnsi="Times New Roman" w:eastAsia="宋体" w:cs="Times New Roman"/>
                <w:b w:val="0"/>
                <w:bCs w:val="0"/>
                <w:lang w:val="en-US" w:eastAsia="zh-CN" w:bidi="ar"/>
              </w:rPr>
              <w:t>m</w:t>
            </w:r>
          </w:p>
        </w:tc>
        <w:tc>
          <w:tcPr>
            <w:tcW w:w="185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100</w:t>
            </w:r>
          </w:p>
        </w:tc>
        <w:tc>
          <w:tcPr>
            <w:tcW w:w="185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jc w:val="center"/>
        </w:trPr>
        <w:tc>
          <w:tcPr>
            <w:tcW w:w="1239" w:type="dxa"/>
            <w:vMerge w:val="continue"/>
            <w:shd w:val="clear" w:color="auto" w:fill="auto"/>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4"/>
                <w:szCs w:val="24"/>
                <w:lang w:val="en-US" w:eastAsia="zh-CN" w:bidi="ar-SA"/>
              </w:rPr>
            </w:pPr>
          </w:p>
        </w:tc>
        <w:tc>
          <w:tcPr>
            <w:tcW w:w="3223" w:type="dxa"/>
            <w:gridSpan w:val="2"/>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缓和曲线是小长度</w:t>
            </w:r>
          </w:p>
        </w:tc>
        <w:tc>
          <w:tcPr>
            <w:tcW w:w="133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Style w:val="17"/>
                <w:rFonts w:hint="default" w:ascii="Times New Roman" w:hAnsi="Times New Roman" w:eastAsia="宋体" w:cs="Times New Roman"/>
                <w:b w:val="0"/>
                <w:bCs w:val="0"/>
                <w:lang w:val="en-US" w:eastAsia="zh-CN" w:bidi="ar"/>
              </w:rPr>
              <w:t>m</w:t>
            </w:r>
          </w:p>
        </w:tc>
        <w:tc>
          <w:tcPr>
            <w:tcW w:w="185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50</w:t>
            </w:r>
          </w:p>
        </w:tc>
        <w:tc>
          <w:tcPr>
            <w:tcW w:w="185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jc w:val="center"/>
        </w:trPr>
        <w:tc>
          <w:tcPr>
            <w:tcW w:w="1239" w:type="dxa"/>
            <w:vMerge w:val="restart"/>
            <w:shd w:val="clear" w:color="auto" w:fill="auto"/>
            <w:noWrap/>
            <w:tcMar>
              <w:top w:w="15" w:type="dxa"/>
              <w:left w:w="15" w:type="dxa"/>
              <w:right w:w="15" w:type="dxa"/>
            </w:tcMar>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竖曲线</w:t>
            </w:r>
          </w:p>
        </w:tc>
        <w:tc>
          <w:tcPr>
            <w:tcW w:w="1685" w:type="dxa"/>
            <w:vMerge w:val="restart"/>
            <w:shd w:val="clear" w:color="auto" w:fill="auto"/>
            <w:noWrap/>
            <w:tcMar>
              <w:top w:w="15" w:type="dxa"/>
              <w:left w:w="15" w:type="dxa"/>
              <w:right w:w="15" w:type="dxa"/>
            </w:tcMar>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一般最</w:t>
            </w:r>
            <w:r>
              <w:rPr>
                <w:rFonts w:hint="eastAsia" w:ascii="Times New Roman" w:hAnsi="Times New Roman" w:eastAsia="宋体" w:cs="Times New Roman"/>
                <w:kern w:val="2"/>
                <w:sz w:val="24"/>
                <w:szCs w:val="24"/>
                <w:lang w:val="en-US" w:eastAsia="zh-CN" w:bidi="ar-SA"/>
              </w:rPr>
              <w:t>小</w:t>
            </w:r>
            <w:r>
              <w:rPr>
                <w:rFonts w:hint="default" w:ascii="Times New Roman" w:hAnsi="Times New Roman" w:eastAsia="宋体" w:cs="Times New Roman"/>
                <w:kern w:val="2"/>
                <w:sz w:val="24"/>
                <w:szCs w:val="24"/>
                <w:lang w:val="en-US" w:eastAsia="zh-CN" w:bidi="ar-SA"/>
              </w:rPr>
              <w:t>半径</w:t>
            </w:r>
          </w:p>
        </w:tc>
        <w:tc>
          <w:tcPr>
            <w:tcW w:w="1538" w:type="dxa"/>
            <w:shd w:val="clear" w:color="auto" w:fill="auto"/>
            <w:noWrap/>
            <w:tcMar>
              <w:top w:w="15" w:type="dxa"/>
              <w:left w:w="15" w:type="dxa"/>
              <w:right w:w="15" w:type="dxa"/>
            </w:tcMar>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凸型竖曲线</w:t>
            </w:r>
          </w:p>
        </w:tc>
        <w:tc>
          <w:tcPr>
            <w:tcW w:w="133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Style w:val="17"/>
                <w:rFonts w:hint="default" w:ascii="Times New Roman" w:hAnsi="Times New Roman" w:eastAsia="宋体" w:cs="Times New Roman"/>
                <w:b w:val="0"/>
                <w:bCs w:val="0"/>
                <w:lang w:val="en-US" w:eastAsia="zh-CN" w:bidi="ar"/>
              </w:rPr>
              <w:t>m</w:t>
            </w:r>
          </w:p>
        </w:tc>
        <w:tc>
          <w:tcPr>
            <w:tcW w:w="185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1800</w:t>
            </w:r>
          </w:p>
        </w:tc>
        <w:tc>
          <w:tcPr>
            <w:tcW w:w="185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3000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jc w:val="center"/>
        </w:trPr>
        <w:tc>
          <w:tcPr>
            <w:tcW w:w="1239" w:type="dxa"/>
            <w:vMerge w:val="continue"/>
            <w:shd w:val="clear" w:color="auto" w:fill="auto"/>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4"/>
                <w:szCs w:val="24"/>
                <w:lang w:val="en-US" w:eastAsia="zh-CN" w:bidi="ar-SA"/>
              </w:rPr>
            </w:pPr>
          </w:p>
        </w:tc>
        <w:tc>
          <w:tcPr>
            <w:tcW w:w="1685" w:type="dxa"/>
            <w:vMerge w:val="continue"/>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4"/>
                <w:szCs w:val="24"/>
                <w:lang w:val="en-US" w:eastAsia="zh-CN" w:bidi="ar-SA"/>
              </w:rPr>
            </w:pPr>
          </w:p>
        </w:tc>
        <w:tc>
          <w:tcPr>
            <w:tcW w:w="1538" w:type="dxa"/>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凹型竖曲线</w:t>
            </w:r>
          </w:p>
        </w:tc>
        <w:tc>
          <w:tcPr>
            <w:tcW w:w="133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Style w:val="17"/>
                <w:rFonts w:hint="default" w:ascii="Times New Roman" w:hAnsi="Times New Roman" w:eastAsia="宋体" w:cs="Times New Roman"/>
                <w:b w:val="0"/>
                <w:bCs w:val="0"/>
                <w:lang w:val="en-US" w:eastAsia="zh-CN" w:bidi="ar"/>
              </w:rPr>
              <w:t>m</w:t>
            </w:r>
          </w:p>
        </w:tc>
        <w:tc>
          <w:tcPr>
            <w:tcW w:w="185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1500</w:t>
            </w:r>
          </w:p>
        </w:tc>
        <w:tc>
          <w:tcPr>
            <w:tcW w:w="185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jc w:val="center"/>
        </w:trPr>
        <w:tc>
          <w:tcPr>
            <w:tcW w:w="1239" w:type="dxa"/>
            <w:vMerge w:val="continue"/>
            <w:shd w:val="clear" w:color="auto" w:fill="auto"/>
            <w:noWrap/>
            <w:tcMar>
              <w:top w:w="15" w:type="dxa"/>
              <w:left w:w="15" w:type="dxa"/>
              <w:right w:w="15" w:type="dxa"/>
            </w:tcMar>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kern w:val="2"/>
                <w:sz w:val="24"/>
                <w:szCs w:val="24"/>
                <w:lang w:val="en-US" w:eastAsia="zh-CN" w:bidi="ar-SA"/>
              </w:rPr>
            </w:pPr>
          </w:p>
        </w:tc>
        <w:tc>
          <w:tcPr>
            <w:tcW w:w="3223" w:type="dxa"/>
            <w:gridSpan w:val="2"/>
            <w:shd w:val="clear" w:color="auto" w:fill="auto"/>
            <w:noWrap/>
            <w:tcMar>
              <w:top w:w="15" w:type="dxa"/>
              <w:left w:w="15" w:type="dxa"/>
              <w:right w:w="15" w:type="dxa"/>
            </w:tcMar>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最大纵坡推荐值</w:t>
            </w:r>
          </w:p>
        </w:tc>
        <w:tc>
          <w:tcPr>
            <w:tcW w:w="133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color w:val="000000"/>
                <w:sz w:val="20"/>
                <w:szCs w:val="20"/>
                <w:u w:val="none"/>
              </w:rPr>
            </w:pPr>
            <w:r>
              <w:rPr>
                <w:rStyle w:val="19"/>
                <w:rFonts w:hint="default" w:ascii="Times New Roman" w:hAnsi="Times New Roman" w:eastAsia="宋体" w:cs="Times New Roman"/>
                <w:b w:val="0"/>
                <w:bCs w:val="0"/>
                <w:lang w:val="en-US" w:eastAsia="zh-CN" w:bidi="ar"/>
              </w:rPr>
              <w:t>%</w:t>
            </w:r>
          </w:p>
        </w:tc>
        <w:tc>
          <w:tcPr>
            <w:tcW w:w="185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5</w:t>
            </w:r>
          </w:p>
        </w:tc>
        <w:tc>
          <w:tcPr>
            <w:tcW w:w="185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5</w:t>
            </w:r>
            <w:r>
              <w:rPr>
                <w:rFonts w:hint="eastAsia" w:ascii="Times New Roman" w:hAnsi="Times New Roman" w:eastAsia="宋体" w:cs="Times New Roman"/>
                <w:b w:val="0"/>
                <w:bCs w:val="0"/>
                <w:i w:val="0"/>
                <w:color w:val="000000"/>
                <w:kern w:val="0"/>
                <w:sz w:val="22"/>
                <w:szCs w:val="22"/>
                <w:u w:val="none"/>
                <w:lang w:val="en-US" w:eastAsia="zh-CN" w:bidi="ar"/>
              </w:rPr>
              <w:t>.</w:t>
            </w:r>
            <w:r>
              <w:rPr>
                <w:rFonts w:hint="default" w:ascii="Times New Roman" w:hAnsi="Times New Roman" w:eastAsia="宋体" w:cs="Times New Roman"/>
                <w:b w:val="0"/>
                <w:bCs w:val="0"/>
                <w:i w:val="0"/>
                <w:color w:val="000000"/>
                <w:kern w:val="0"/>
                <w:sz w:val="22"/>
                <w:szCs w:val="22"/>
                <w:u w:val="none"/>
                <w:lang w:val="en-US" w:eastAsia="zh-CN" w:bidi="ar"/>
              </w:rPr>
              <w:t>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jc w:val="center"/>
        </w:trPr>
        <w:tc>
          <w:tcPr>
            <w:tcW w:w="1239" w:type="dxa"/>
            <w:vMerge w:val="continue"/>
            <w:shd w:val="clear" w:color="auto" w:fill="auto"/>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4"/>
                <w:szCs w:val="24"/>
                <w:lang w:val="en-US" w:eastAsia="zh-CN" w:bidi="ar-SA"/>
              </w:rPr>
            </w:pPr>
          </w:p>
        </w:tc>
        <w:tc>
          <w:tcPr>
            <w:tcW w:w="3223" w:type="dxa"/>
            <w:gridSpan w:val="2"/>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最小城长</w:t>
            </w:r>
          </w:p>
        </w:tc>
        <w:tc>
          <w:tcPr>
            <w:tcW w:w="133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Style w:val="17"/>
                <w:rFonts w:hint="default" w:ascii="Times New Roman" w:hAnsi="Times New Roman" w:eastAsia="宋体" w:cs="Times New Roman"/>
                <w:b w:val="0"/>
                <w:bCs w:val="0"/>
                <w:lang w:val="en-US" w:eastAsia="zh-CN" w:bidi="ar"/>
              </w:rPr>
              <w:t>m</w:t>
            </w:r>
          </w:p>
        </w:tc>
        <w:tc>
          <w:tcPr>
            <w:tcW w:w="185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170</w:t>
            </w:r>
          </w:p>
        </w:tc>
        <w:tc>
          <w:tcPr>
            <w:tcW w:w="185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jc w:val="center"/>
        </w:trPr>
        <w:tc>
          <w:tcPr>
            <w:tcW w:w="1239" w:type="dxa"/>
            <w:vMerge w:val="continue"/>
            <w:shd w:val="clear" w:color="auto" w:fill="auto"/>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4"/>
                <w:szCs w:val="24"/>
                <w:lang w:val="en-US" w:eastAsia="zh-CN" w:bidi="ar-SA"/>
              </w:rPr>
            </w:pPr>
          </w:p>
        </w:tc>
        <w:tc>
          <w:tcPr>
            <w:tcW w:w="3223" w:type="dxa"/>
            <w:gridSpan w:val="2"/>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停车视距</w:t>
            </w:r>
          </w:p>
        </w:tc>
        <w:tc>
          <w:tcPr>
            <w:tcW w:w="133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Style w:val="17"/>
                <w:rFonts w:hint="default" w:ascii="Times New Roman" w:hAnsi="Times New Roman" w:eastAsia="宋体" w:cs="Times New Roman"/>
                <w:b w:val="0"/>
                <w:bCs w:val="0"/>
                <w:lang w:val="en-US" w:eastAsia="zh-CN" w:bidi="ar"/>
              </w:rPr>
              <w:t>m</w:t>
            </w:r>
          </w:p>
        </w:tc>
        <w:tc>
          <w:tcPr>
            <w:tcW w:w="185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70</w:t>
            </w:r>
          </w:p>
        </w:tc>
        <w:tc>
          <w:tcPr>
            <w:tcW w:w="185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jc w:val="center"/>
        </w:trPr>
        <w:tc>
          <w:tcPr>
            <w:tcW w:w="4462" w:type="dxa"/>
            <w:gridSpan w:val="3"/>
            <w:shd w:val="clear" w:color="auto" w:fill="auto"/>
            <w:noWrap/>
            <w:tcMar>
              <w:top w:w="15" w:type="dxa"/>
              <w:left w:w="15" w:type="dxa"/>
              <w:right w:w="15" w:type="dxa"/>
            </w:tcMar>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抗震设防</w:t>
            </w:r>
          </w:p>
        </w:tc>
        <w:tc>
          <w:tcPr>
            <w:tcW w:w="1330"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Style w:val="16"/>
                <w:rFonts w:hint="default" w:ascii="Times New Roman" w:hAnsi="Times New Roman" w:eastAsia="宋体" w:cs="Times New Roman"/>
                <w:b w:val="0"/>
                <w:bCs w:val="0"/>
                <w:lang w:val="en-US" w:eastAsia="zh-CN" w:bidi="ar"/>
              </w:rPr>
              <w:t>度</w:t>
            </w:r>
          </w:p>
        </w:tc>
        <w:tc>
          <w:tcPr>
            <w:tcW w:w="185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6</w:t>
            </w:r>
          </w:p>
        </w:tc>
        <w:tc>
          <w:tcPr>
            <w:tcW w:w="1857" w:type="dxa"/>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6</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表2.3.1-2 项目组成</w:t>
      </w:r>
    </w:p>
    <w:tbl>
      <w:tblPr>
        <w:tblStyle w:val="9"/>
        <w:tblW w:w="9548" w:type="dxa"/>
        <w:jc w:val="center"/>
        <w:shd w:val="clear" w:color="auto" w:fill="auto"/>
        <w:tblLayout w:type="fixed"/>
        <w:tblCellMar>
          <w:top w:w="0" w:type="dxa"/>
          <w:left w:w="0" w:type="dxa"/>
          <w:bottom w:w="0" w:type="dxa"/>
          <w:right w:w="0" w:type="dxa"/>
        </w:tblCellMar>
      </w:tblPr>
      <w:tblGrid>
        <w:gridCol w:w="882"/>
        <w:gridCol w:w="1838"/>
        <w:gridCol w:w="3206"/>
        <w:gridCol w:w="1016"/>
        <w:gridCol w:w="1200"/>
        <w:gridCol w:w="1406"/>
      </w:tblGrid>
      <w:tr>
        <w:tblPrEx>
          <w:tblCellMar>
            <w:top w:w="0" w:type="dxa"/>
            <w:left w:w="0" w:type="dxa"/>
            <w:bottom w:w="0" w:type="dxa"/>
            <w:right w:w="0" w:type="dxa"/>
          </w:tblCellMar>
        </w:tblPrEx>
        <w:trPr>
          <w:trHeight w:val="490" w:hRule="atLeast"/>
          <w:jc w:val="center"/>
        </w:trPr>
        <w:tc>
          <w:tcPr>
            <w:tcW w:w="882" w:type="dxa"/>
            <w:tcBorders>
              <w:top w:val="single" w:color="000000" w:sz="8" w:space="0"/>
              <w:left w:val="single" w:color="000000" w:sz="8" w:space="0"/>
              <w:bottom w:val="single" w:color="000000" w:sz="8" w:space="0"/>
              <w:right w:val="single" w:color="000000" w:sz="8"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bottom"/>
              <w:rPr>
                <w:rFonts w:hint="default" w:ascii="Times New Roman" w:hAnsi="Times New Roman" w:eastAsia="宋体" w:cs="Times New Roman"/>
                <w:b/>
                <w:bCs/>
                <w:i w:val="0"/>
                <w:color w:val="000000"/>
                <w:sz w:val="21"/>
                <w:szCs w:val="21"/>
                <w:u w:val="none"/>
              </w:rPr>
            </w:pPr>
            <w:r>
              <w:rPr>
                <w:rFonts w:hint="default" w:ascii="Times New Roman" w:hAnsi="Times New Roman" w:eastAsia="宋体" w:cs="Times New Roman"/>
                <w:b/>
                <w:bCs/>
                <w:i w:val="0"/>
                <w:color w:val="000000"/>
                <w:kern w:val="0"/>
                <w:sz w:val="21"/>
                <w:szCs w:val="21"/>
                <w:u w:val="none"/>
                <w:lang w:val="en-US" w:eastAsia="zh-CN" w:bidi="ar"/>
              </w:rPr>
              <w:t>序 号</w:t>
            </w:r>
          </w:p>
        </w:tc>
        <w:tc>
          <w:tcPr>
            <w:tcW w:w="1838"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bCs/>
                <w:i w:val="0"/>
                <w:color w:val="000000"/>
                <w:sz w:val="21"/>
                <w:szCs w:val="21"/>
                <w:u w:val="none"/>
              </w:rPr>
            </w:pPr>
            <w:r>
              <w:rPr>
                <w:rFonts w:hint="default" w:ascii="Times New Roman" w:hAnsi="Times New Roman" w:eastAsia="宋体" w:cs="Times New Roman"/>
                <w:b/>
                <w:bCs/>
                <w:i w:val="0"/>
                <w:color w:val="000000"/>
                <w:kern w:val="0"/>
                <w:sz w:val="21"/>
                <w:szCs w:val="21"/>
                <w:u w:val="none"/>
                <w:lang w:val="en-US" w:eastAsia="zh-CN" w:bidi="ar"/>
              </w:rPr>
              <w:t>路段桩号</w:t>
            </w:r>
          </w:p>
        </w:tc>
        <w:tc>
          <w:tcPr>
            <w:tcW w:w="3206"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bCs/>
                <w:i w:val="0"/>
                <w:color w:val="000000"/>
                <w:sz w:val="21"/>
                <w:szCs w:val="21"/>
                <w:u w:val="none"/>
              </w:rPr>
            </w:pPr>
            <w:r>
              <w:rPr>
                <w:rFonts w:hint="default" w:ascii="Times New Roman" w:hAnsi="Times New Roman" w:eastAsia="宋体" w:cs="Times New Roman"/>
                <w:b/>
                <w:bCs/>
                <w:i w:val="0"/>
                <w:color w:val="000000"/>
                <w:kern w:val="0"/>
                <w:sz w:val="21"/>
                <w:szCs w:val="21"/>
                <w:u w:val="none"/>
                <w:lang w:val="en-US" w:eastAsia="zh-CN" w:bidi="ar"/>
              </w:rPr>
              <w:t>原有道路情况</w:t>
            </w:r>
          </w:p>
        </w:tc>
        <w:tc>
          <w:tcPr>
            <w:tcW w:w="1016"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eastAsia" w:ascii="Times New Roman" w:hAnsi="Times New Roman" w:eastAsia="宋体" w:cs="Times New Roman"/>
                <w:b/>
                <w:bCs/>
                <w:i w:val="0"/>
                <w:color w:val="000000"/>
                <w:sz w:val="21"/>
                <w:szCs w:val="21"/>
                <w:u w:val="none"/>
                <w:lang w:eastAsia="zh-CN"/>
              </w:rPr>
            </w:pPr>
            <w:r>
              <w:rPr>
                <w:rFonts w:hint="eastAsia" w:ascii="Times New Roman" w:hAnsi="Times New Roman" w:eastAsia="宋体" w:cs="Times New Roman"/>
                <w:b/>
                <w:bCs/>
                <w:i w:val="0"/>
                <w:color w:val="000000"/>
                <w:sz w:val="21"/>
                <w:szCs w:val="21"/>
                <w:u w:val="none"/>
                <w:lang w:eastAsia="zh-CN"/>
              </w:rPr>
              <w:t>性质</w:t>
            </w:r>
          </w:p>
        </w:tc>
        <w:tc>
          <w:tcPr>
            <w:tcW w:w="1200"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bCs/>
                <w:i w:val="0"/>
                <w:color w:val="000000"/>
                <w:sz w:val="21"/>
                <w:szCs w:val="21"/>
                <w:u w:val="none"/>
              </w:rPr>
            </w:pPr>
            <w:r>
              <w:rPr>
                <w:rFonts w:hint="default" w:ascii="Times New Roman" w:hAnsi="Times New Roman" w:eastAsia="宋体" w:cs="Times New Roman"/>
                <w:b/>
                <w:bCs/>
                <w:i w:val="0"/>
                <w:color w:val="000000"/>
                <w:kern w:val="0"/>
                <w:sz w:val="21"/>
                <w:szCs w:val="21"/>
                <w:u w:val="none"/>
                <w:lang w:val="en-US" w:eastAsia="zh-CN" w:bidi="ar"/>
              </w:rPr>
              <w:t>长度(m)</w:t>
            </w:r>
          </w:p>
        </w:tc>
        <w:tc>
          <w:tcPr>
            <w:tcW w:w="1406"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bCs/>
                <w:i w:val="0"/>
                <w:color w:val="000000"/>
                <w:sz w:val="21"/>
                <w:szCs w:val="21"/>
                <w:u w:val="none"/>
              </w:rPr>
            </w:pPr>
            <w:r>
              <w:rPr>
                <w:rFonts w:hint="default" w:ascii="Times New Roman" w:hAnsi="Times New Roman" w:eastAsia="宋体" w:cs="Times New Roman"/>
                <w:b/>
                <w:bCs/>
                <w:i w:val="0"/>
                <w:color w:val="000000"/>
                <w:kern w:val="0"/>
                <w:sz w:val="21"/>
                <w:szCs w:val="21"/>
                <w:u w:val="none"/>
                <w:lang w:val="en-US" w:eastAsia="zh-CN" w:bidi="ar"/>
              </w:rPr>
              <w:t>占总长的比例</w:t>
            </w:r>
          </w:p>
        </w:tc>
      </w:tr>
      <w:tr>
        <w:tblPrEx>
          <w:tblCellMar>
            <w:top w:w="0" w:type="dxa"/>
            <w:left w:w="0" w:type="dxa"/>
            <w:bottom w:w="0" w:type="dxa"/>
            <w:right w:w="0" w:type="dxa"/>
          </w:tblCellMar>
        </w:tblPrEx>
        <w:trPr>
          <w:trHeight w:val="1308" w:hRule="atLeast"/>
          <w:jc w:val="center"/>
        </w:trPr>
        <w:tc>
          <w:tcPr>
            <w:tcW w:w="882"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1</w:t>
            </w:r>
          </w:p>
        </w:tc>
        <w:tc>
          <w:tcPr>
            <w:tcW w:w="1838"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K</w:t>
            </w:r>
            <w:r>
              <w:rPr>
                <w:rFonts w:hint="eastAsia" w:ascii="Times New Roman" w:hAnsi="Times New Roman" w:eastAsia="宋体" w:cs="Times New Roman"/>
                <w:b w:val="0"/>
                <w:bCs w:val="0"/>
                <w:i w:val="0"/>
                <w:color w:val="000000"/>
                <w:kern w:val="0"/>
                <w:sz w:val="21"/>
                <w:szCs w:val="21"/>
                <w:u w:val="none"/>
                <w:lang w:val="en-US" w:eastAsia="zh-CN" w:bidi="ar"/>
              </w:rPr>
              <w:t>3+680</w:t>
            </w:r>
            <w:r>
              <w:rPr>
                <w:rFonts w:hint="default" w:ascii="Times New Roman" w:hAnsi="Times New Roman" w:eastAsia="宋体" w:cs="Times New Roman"/>
                <w:b w:val="0"/>
                <w:bCs w:val="0"/>
                <w:i w:val="0"/>
                <w:color w:val="000000"/>
                <w:kern w:val="0"/>
                <w:sz w:val="21"/>
                <w:szCs w:val="21"/>
                <w:u w:val="none"/>
                <w:lang w:val="en-US" w:eastAsia="zh-CN" w:bidi="ar"/>
              </w:rPr>
              <w:t>〜K</w:t>
            </w:r>
            <w:r>
              <w:rPr>
                <w:rFonts w:hint="eastAsia" w:ascii="Times New Roman" w:hAnsi="Times New Roman" w:eastAsia="宋体" w:cs="Times New Roman"/>
                <w:b w:val="0"/>
                <w:bCs w:val="0"/>
                <w:i w:val="0"/>
                <w:color w:val="000000"/>
                <w:kern w:val="0"/>
                <w:sz w:val="21"/>
                <w:szCs w:val="21"/>
                <w:u w:val="none"/>
                <w:lang w:val="en-US" w:eastAsia="zh-CN" w:bidi="ar"/>
              </w:rPr>
              <w:t>3</w:t>
            </w:r>
            <w:r>
              <w:rPr>
                <w:rFonts w:hint="default" w:ascii="Times New Roman" w:hAnsi="Times New Roman" w:eastAsia="宋体" w:cs="Times New Roman"/>
                <w:b w:val="0"/>
                <w:bCs w:val="0"/>
                <w:i w:val="0"/>
                <w:color w:val="000000"/>
                <w:kern w:val="0"/>
                <w:sz w:val="21"/>
                <w:szCs w:val="21"/>
                <w:u w:val="none"/>
                <w:lang w:val="en-US" w:eastAsia="zh-CN" w:bidi="ar"/>
              </w:rPr>
              <w:t>+</w:t>
            </w:r>
            <w:r>
              <w:rPr>
                <w:rFonts w:hint="eastAsia" w:ascii="Times New Roman" w:hAnsi="Times New Roman" w:eastAsia="宋体" w:cs="Times New Roman"/>
                <w:b w:val="0"/>
                <w:bCs w:val="0"/>
                <w:i w:val="0"/>
                <w:color w:val="000000"/>
                <w:kern w:val="0"/>
                <w:sz w:val="21"/>
                <w:szCs w:val="21"/>
                <w:u w:val="none"/>
                <w:lang w:val="en-US" w:eastAsia="zh-CN" w:bidi="ar"/>
              </w:rPr>
              <w:t>88</w:t>
            </w:r>
            <w:r>
              <w:rPr>
                <w:rFonts w:hint="default" w:ascii="Times New Roman" w:hAnsi="Times New Roman" w:eastAsia="宋体" w:cs="Times New Roman"/>
                <w:b w:val="0"/>
                <w:bCs w:val="0"/>
                <w:i w:val="0"/>
                <w:color w:val="000000"/>
                <w:kern w:val="0"/>
                <w:sz w:val="21"/>
                <w:szCs w:val="21"/>
                <w:u w:val="none"/>
                <w:lang w:val="en-US" w:eastAsia="zh-CN" w:bidi="ar"/>
              </w:rPr>
              <w:t>0</w:t>
            </w:r>
          </w:p>
        </w:tc>
        <w:tc>
          <w:tcPr>
            <w:tcW w:w="3206" w:type="dxa"/>
            <w:tcBorders>
              <w:top w:val="single" w:color="000000" w:sz="8" w:space="0"/>
              <w:left w:val="single" w:color="000000" w:sz="8" w:space="0"/>
              <w:bottom w:val="single" w:color="000000" w:sz="8" w:space="0"/>
              <w:right w:val="single" w:color="000000" w:sz="8"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bottom"/>
              <w:rPr>
                <w:rFonts w:hint="default" w:ascii="Times New Roman" w:hAnsi="Times New Roman" w:eastAsia="宋体" w:cs="Times New Roman"/>
                <w:b w:val="0"/>
                <w:bCs w:val="0"/>
                <w:i w:val="0"/>
                <w:color w:val="000000"/>
                <w:sz w:val="21"/>
                <w:szCs w:val="21"/>
                <w:u w:val="none"/>
              </w:rPr>
            </w:pPr>
            <w:r>
              <w:rPr>
                <w:rFonts w:hint="eastAsia" w:ascii="Times New Roman" w:hAnsi="Times New Roman" w:eastAsia="宋体" w:cs="Times New Roman"/>
                <w:b w:val="0"/>
                <w:bCs w:val="0"/>
                <w:i w:val="0"/>
                <w:color w:val="000000"/>
                <w:kern w:val="0"/>
                <w:sz w:val="21"/>
                <w:szCs w:val="21"/>
                <w:u w:val="none"/>
                <w:lang w:val="en-US" w:eastAsia="zh-CN" w:bidi="ar"/>
              </w:rPr>
              <w:t>沿白沙路布线，</w:t>
            </w:r>
            <w:r>
              <w:rPr>
                <w:rFonts w:hint="default" w:ascii="Times New Roman" w:hAnsi="Times New Roman" w:eastAsia="宋体" w:cs="Times New Roman"/>
                <w:b w:val="0"/>
                <w:bCs w:val="0"/>
                <w:i w:val="0"/>
                <w:color w:val="000000"/>
                <w:kern w:val="0"/>
                <w:sz w:val="21"/>
                <w:szCs w:val="21"/>
                <w:u w:val="none"/>
                <w:lang w:val="en-US" w:eastAsia="zh-CN" w:bidi="ar"/>
              </w:rPr>
              <w:t>道路宽</w:t>
            </w:r>
            <w:r>
              <w:rPr>
                <w:rFonts w:hint="eastAsia" w:ascii="Times New Roman" w:hAnsi="Times New Roman" w:eastAsia="宋体" w:cs="Times New Roman"/>
                <w:b w:val="0"/>
                <w:bCs w:val="0"/>
                <w:i w:val="0"/>
                <w:color w:val="000000"/>
                <w:kern w:val="0"/>
                <w:sz w:val="21"/>
                <w:szCs w:val="21"/>
                <w:u w:val="none"/>
                <w:lang w:val="en-US" w:eastAsia="zh-CN" w:bidi="ar"/>
              </w:rPr>
              <w:t>40</w:t>
            </w:r>
            <w:r>
              <w:rPr>
                <w:rFonts w:hint="default" w:ascii="Times New Roman" w:hAnsi="Times New Roman" w:eastAsia="宋体" w:cs="Times New Roman"/>
                <w:b w:val="0"/>
                <w:bCs w:val="0"/>
                <w:i w:val="0"/>
                <w:color w:val="000000"/>
                <w:kern w:val="0"/>
                <w:sz w:val="21"/>
                <w:szCs w:val="21"/>
                <w:u w:val="none"/>
                <w:lang w:val="en-US" w:eastAsia="zh-CN" w:bidi="ar"/>
              </w:rPr>
              <w:t>0m</w:t>
            </w:r>
            <w:r>
              <w:rPr>
                <w:rFonts w:hint="eastAsia" w:ascii="Times New Roman" w:hAnsi="Times New Roman" w:eastAsia="宋体" w:cs="Times New Roman"/>
                <w:b w:val="0"/>
                <w:bCs w:val="0"/>
                <w:i w:val="0"/>
                <w:color w:val="000000"/>
                <w:kern w:val="0"/>
                <w:sz w:val="21"/>
                <w:szCs w:val="21"/>
                <w:u w:val="none"/>
                <w:lang w:val="en-US" w:eastAsia="zh-CN" w:bidi="ar"/>
              </w:rPr>
              <w:t>，</w:t>
            </w:r>
            <w:r>
              <w:rPr>
                <w:rFonts w:hint="default" w:ascii="Times New Roman" w:hAnsi="Times New Roman" w:eastAsia="宋体" w:cs="Times New Roman"/>
                <w:b w:val="0"/>
                <w:bCs w:val="0"/>
                <w:i w:val="0"/>
                <w:color w:val="000000"/>
                <w:kern w:val="0"/>
                <w:sz w:val="21"/>
                <w:szCs w:val="21"/>
                <w:u w:val="none"/>
                <w:lang w:val="en-US" w:eastAsia="zh-CN" w:bidi="ar"/>
              </w:rPr>
              <w:t>沥青路面，两侧有</w:t>
            </w:r>
            <w:r>
              <w:rPr>
                <w:rFonts w:hint="eastAsia" w:ascii="Times New Roman" w:hAnsi="Times New Roman" w:eastAsia="宋体" w:cs="Times New Roman"/>
                <w:b w:val="0"/>
                <w:bCs w:val="0"/>
                <w:i w:val="0"/>
                <w:color w:val="000000"/>
                <w:kern w:val="0"/>
                <w:sz w:val="21"/>
                <w:szCs w:val="21"/>
                <w:u w:val="none"/>
                <w:lang w:val="en-US" w:eastAsia="zh-CN" w:bidi="ar"/>
              </w:rPr>
              <w:t>铝厂</w:t>
            </w:r>
            <w:r>
              <w:rPr>
                <w:rFonts w:hint="default" w:ascii="Times New Roman" w:hAnsi="Times New Roman" w:eastAsia="宋体" w:cs="Times New Roman"/>
                <w:b w:val="0"/>
                <w:bCs w:val="0"/>
                <w:i w:val="0"/>
                <w:color w:val="000000"/>
                <w:kern w:val="0"/>
                <w:sz w:val="21"/>
                <w:szCs w:val="21"/>
                <w:u w:val="none"/>
                <w:lang w:val="en-US" w:eastAsia="zh-CN" w:bidi="ar"/>
              </w:rPr>
              <w:t>居民聚集，道路较为完好，本次</w:t>
            </w:r>
            <w:r>
              <w:rPr>
                <w:rFonts w:hint="eastAsia" w:ascii="Times New Roman" w:hAnsi="Times New Roman" w:eastAsia="宋体" w:cs="Times New Roman"/>
                <w:b w:val="0"/>
                <w:bCs w:val="0"/>
                <w:i w:val="0"/>
                <w:color w:val="000000"/>
                <w:kern w:val="0"/>
                <w:sz w:val="21"/>
                <w:szCs w:val="21"/>
                <w:u w:val="none"/>
                <w:lang w:val="en-US" w:eastAsia="zh-CN" w:bidi="ar"/>
              </w:rPr>
              <w:t>项目</w:t>
            </w:r>
            <w:r>
              <w:rPr>
                <w:rFonts w:hint="default" w:ascii="Times New Roman" w:hAnsi="Times New Roman" w:eastAsia="宋体" w:cs="Times New Roman"/>
                <w:b w:val="0"/>
                <w:bCs w:val="0"/>
                <w:i w:val="0"/>
                <w:color w:val="000000"/>
                <w:kern w:val="0"/>
                <w:sz w:val="21"/>
                <w:szCs w:val="21"/>
                <w:u w:val="none"/>
                <w:lang w:val="en-US" w:eastAsia="zh-CN" w:bidi="ar"/>
              </w:rPr>
              <w:t>对该段路进行拓宽改造成红线</w:t>
            </w:r>
            <w:r>
              <w:rPr>
                <w:rFonts w:hint="eastAsia" w:ascii="Times New Roman" w:hAnsi="Times New Roman" w:eastAsia="宋体" w:cs="Times New Roman"/>
                <w:b w:val="0"/>
                <w:bCs w:val="0"/>
                <w:i w:val="0"/>
                <w:color w:val="000000"/>
                <w:kern w:val="0"/>
                <w:sz w:val="21"/>
                <w:szCs w:val="21"/>
                <w:u w:val="none"/>
                <w:lang w:val="en-US" w:eastAsia="zh-CN" w:bidi="ar"/>
              </w:rPr>
              <w:t>宽</w:t>
            </w:r>
            <w:r>
              <w:rPr>
                <w:rFonts w:hint="default" w:ascii="Times New Roman" w:hAnsi="Times New Roman" w:eastAsia="宋体" w:cs="Times New Roman"/>
                <w:b w:val="0"/>
                <w:bCs w:val="0"/>
                <w:i w:val="0"/>
                <w:color w:val="000000"/>
                <w:kern w:val="0"/>
                <w:sz w:val="21"/>
                <w:szCs w:val="21"/>
                <w:u w:val="none"/>
                <w:lang w:val="en-US" w:eastAsia="zh-CN" w:bidi="ar"/>
              </w:rPr>
              <w:t>60m的大道</w:t>
            </w:r>
          </w:p>
        </w:tc>
        <w:tc>
          <w:tcPr>
            <w:tcW w:w="1016" w:type="dxa"/>
            <w:vMerge w:val="restart"/>
            <w:tcBorders>
              <w:top w:val="single" w:color="000000" w:sz="8" w:space="0"/>
              <w:left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改扩建</w:t>
            </w:r>
          </w:p>
        </w:tc>
        <w:tc>
          <w:tcPr>
            <w:tcW w:w="1200" w:type="dxa"/>
            <w:vMerge w:val="restart"/>
            <w:tcBorders>
              <w:top w:val="single" w:color="000000" w:sz="8" w:space="0"/>
              <w:left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rPr>
            </w:pPr>
            <w:r>
              <w:rPr>
                <w:rFonts w:hint="eastAsia" w:ascii="Times New Roman" w:hAnsi="Times New Roman" w:eastAsia="宋体" w:cs="Times New Roman"/>
                <w:b w:val="0"/>
                <w:bCs w:val="0"/>
                <w:i w:val="0"/>
                <w:color w:val="000000"/>
                <w:kern w:val="0"/>
                <w:sz w:val="21"/>
                <w:szCs w:val="21"/>
                <w:u w:val="none"/>
                <w:lang w:val="en-US" w:eastAsia="zh-CN" w:bidi="ar"/>
              </w:rPr>
              <w:t>3060</w:t>
            </w:r>
          </w:p>
        </w:tc>
        <w:tc>
          <w:tcPr>
            <w:tcW w:w="1406" w:type="dxa"/>
            <w:vMerge w:val="restart"/>
            <w:tcBorders>
              <w:top w:val="single" w:color="000000" w:sz="8" w:space="0"/>
              <w:left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rPr>
            </w:pPr>
            <w:r>
              <w:rPr>
                <w:rFonts w:hint="eastAsia" w:ascii="Times New Roman" w:hAnsi="Times New Roman" w:eastAsia="宋体" w:cs="Times New Roman"/>
                <w:b w:val="0"/>
                <w:bCs w:val="0"/>
                <w:i w:val="0"/>
                <w:color w:val="000000"/>
                <w:kern w:val="0"/>
                <w:sz w:val="21"/>
                <w:szCs w:val="21"/>
                <w:u w:val="none"/>
                <w:lang w:val="en-US" w:eastAsia="zh-CN" w:bidi="ar"/>
              </w:rPr>
              <w:t>26.38</w:t>
            </w:r>
            <w:r>
              <w:rPr>
                <w:rFonts w:hint="default" w:ascii="Times New Roman" w:hAnsi="Times New Roman" w:eastAsia="宋体" w:cs="Times New Roman"/>
                <w:b w:val="0"/>
                <w:bCs w:val="0"/>
                <w:i w:val="0"/>
                <w:color w:val="000000"/>
                <w:kern w:val="0"/>
                <w:sz w:val="21"/>
                <w:szCs w:val="21"/>
                <w:u w:val="none"/>
                <w:lang w:val="en-US" w:eastAsia="zh-CN" w:bidi="ar"/>
              </w:rPr>
              <w:t>%</w:t>
            </w:r>
          </w:p>
        </w:tc>
      </w:tr>
      <w:tr>
        <w:tblPrEx>
          <w:tblCellMar>
            <w:top w:w="0" w:type="dxa"/>
            <w:left w:w="0" w:type="dxa"/>
            <w:bottom w:w="0" w:type="dxa"/>
            <w:right w:w="0" w:type="dxa"/>
          </w:tblCellMar>
        </w:tblPrEx>
        <w:trPr>
          <w:trHeight w:val="1272" w:hRule="atLeast"/>
          <w:jc w:val="center"/>
        </w:trPr>
        <w:tc>
          <w:tcPr>
            <w:tcW w:w="882"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2</w:t>
            </w:r>
          </w:p>
        </w:tc>
        <w:tc>
          <w:tcPr>
            <w:tcW w:w="1838"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K3+880~K5+740</w:t>
            </w:r>
          </w:p>
        </w:tc>
        <w:tc>
          <w:tcPr>
            <w:tcW w:w="3206" w:type="dxa"/>
            <w:tcBorders>
              <w:top w:val="single" w:color="000000" w:sz="8" w:space="0"/>
              <w:left w:val="single" w:color="000000" w:sz="8" w:space="0"/>
              <w:bottom w:val="single" w:color="000000" w:sz="8" w:space="0"/>
              <w:right w:val="single" w:color="000000" w:sz="8"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bottom"/>
              <w:rPr>
                <w:rFonts w:hint="eastAsia"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路段宽15m，沿线多为灌木丛、草丛，居民稀少，本次项目拟对该段路进行拓宽改造成红线宽60m的大道</w:t>
            </w:r>
          </w:p>
        </w:tc>
        <w:tc>
          <w:tcPr>
            <w:tcW w:w="1016" w:type="dxa"/>
            <w:vMerge w:val="continue"/>
            <w:tcBorders>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p>
        </w:tc>
        <w:tc>
          <w:tcPr>
            <w:tcW w:w="1200" w:type="dxa"/>
            <w:vMerge w:val="continue"/>
            <w:tcBorders>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p>
        </w:tc>
        <w:tc>
          <w:tcPr>
            <w:tcW w:w="1406" w:type="dxa"/>
            <w:vMerge w:val="continue"/>
            <w:tcBorders>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p>
        </w:tc>
      </w:tr>
      <w:tr>
        <w:tblPrEx>
          <w:tblCellMar>
            <w:top w:w="0" w:type="dxa"/>
            <w:left w:w="0" w:type="dxa"/>
            <w:bottom w:w="0" w:type="dxa"/>
            <w:right w:w="0" w:type="dxa"/>
          </w:tblCellMar>
        </w:tblPrEx>
        <w:trPr>
          <w:trHeight w:val="491" w:hRule="atLeast"/>
          <w:jc w:val="center"/>
        </w:trPr>
        <w:tc>
          <w:tcPr>
            <w:tcW w:w="882"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top"/>
              <w:rPr>
                <w:rFonts w:hint="default" w:ascii="Times New Roman" w:hAnsi="Times New Roman" w:eastAsia="宋体" w:cs="Times New Roman"/>
                <w:b w:val="0"/>
                <w:bCs w:val="0"/>
                <w:i w:val="0"/>
                <w:color w:val="000000"/>
                <w:sz w:val="21"/>
                <w:szCs w:val="21"/>
                <w:u w:val="none"/>
              </w:rPr>
            </w:pPr>
            <w:r>
              <w:rPr>
                <w:rFonts w:hint="eastAsia" w:ascii="Times New Roman" w:hAnsi="Times New Roman" w:eastAsia="宋体" w:cs="Times New Roman"/>
                <w:b w:val="0"/>
                <w:bCs w:val="0"/>
                <w:i w:val="0"/>
                <w:color w:val="000000"/>
                <w:kern w:val="0"/>
                <w:sz w:val="21"/>
                <w:szCs w:val="21"/>
                <w:u w:val="none"/>
                <w:lang w:val="en-US" w:eastAsia="zh-CN" w:bidi="ar"/>
              </w:rPr>
              <w:t>3</w:t>
            </w:r>
          </w:p>
        </w:tc>
        <w:tc>
          <w:tcPr>
            <w:tcW w:w="1838"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K</w:t>
            </w:r>
            <w:r>
              <w:rPr>
                <w:rFonts w:hint="eastAsia" w:ascii="Times New Roman" w:hAnsi="Times New Roman" w:eastAsia="宋体" w:cs="Times New Roman"/>
                <w:b w:val="0"/>
                <w:bCs w:val="0"/>
                <w:i w:val="0"/>
                <w:color w:val="000000"/>
                <w:kern w:val="0"/>
                <w:sz w:val="21"/>
                <w:szCs w:val="21"/>
                <w:u w:val="none"/>
                <w:lang w:val="en-US" w:eastAsia="zh-CN" w:bidi="ar"/>
              </w:rPr>
              <w:t>0</w:t>
            </w:r>
            <w:r>
              <w:rPr>
                <w:rFonts w:hint="default" w:ascii="Times New Roman" w:hAnsi="Times New Roman" w:eastAsia="宋体" w:cs="Times New Roman"/>
                <w:b w:val="0"/>
                <w:bCs w:val="0"/>
                <w:i w:val="0"/>
                <w:color w:val="000000"/>
                <w:kern w:val="0"/>
                <w:sz w:val="21"/>
                <w:szCs w:val="21"/>
                <w:u w:val="none"/>
                <w:lang w:val="en-US" w:eastAsia="zh-CN" w:bidi="ar"/>
              </w:rPr>
              <w:t>+</w:t>
            </w:r>
            <w:r>
              <w:rPr>
                <w:rFonts w:hint="eastAsia" w:ascii="Times New Roman" w:hAnsi="Times New Roman" w:eastAsia="宋体" w:cs="Times New Roman"/>
                <w:b w:val="0"/>
                <w:bCs w:val="0"/>
                <w:i w:val="0"/>
                <w:color w:val="000000"/>
                <w:kern w:val="0"/>
                <w:sz w:val="21"/>
                <w:szCs w:val="21"/>
                <w:u w:val="none"/>
                <w:lang w:val="en-US" w:eastAsia="zh-CN" w:bidi="ar"/>
              </w:rPr>
              <w:t>000</w:t>
            </w:r>
            <w:r>
              <w:rPr>
                <w:rFonts w:hint="default" w:ascii="Times New Roman" w:hAnsi="Times New Roman" w:eastAsia="宋体" w:cs="Times New Roman"/>
                <w:b w:val="0"/>
                <w:bCs w:val="0"/>
                <w:i w:val="0"/>
                <w:color w:val="000000"/>
                <w:kern w:val="0"/>
                <w:sz w:val="21"/>
                <w:szCs w:val="21"/>
                <w:u w:val="none"/>
                <w:lang w:val="en-US" w:eastAsia="zh-CN" w:bidi="ar"/>
              </w:rPr>
              <w:t xml:space="preserve"> 〜K6+200</w:t>
            </w:r>
          </w:p>
        </w:tc>
        <w:tc>
          <w:tcPr>
            <w:tcW w:w="3206"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w:t>
            </w:r>
          </w:p>
        </w:tc>
        <w:tc>
          <w:tcPr>
            <w:tcW w:w="1016"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新建</w:t>
            </w:r>
          </w:p>
        </w:tc>
        <w:tc>
          <w:tcPr>
            <w:tcW w:w="1200"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top"/>
              <w:rPr>
                <w:rFonts w:hint="default" w:ascii="Times New Roman" w:hAnsi="Times New Roman" w:eastAsia="宋体" w:cs="Times New Roman"/>
                <w:b w:val="0"/>
                <w:bCs w:val="0"/>
                <w:i w:val="0"/>
                <w:color w:val="000000"/>
                <w:sz w:val="21"/>
                <w:szCs w:val="21"/>
                <w:u w:val="none"/>
                <w:lang w:val="en-US"/>
              </w:rPr>
            </w:pPr>
            <w:r>
              <w:rPr>
                <w:rFonts w:hint="eastAsia" w:ascii="Times New Roman" w:hAnsi="Times New Roman" w:eastAsia="宋体" w:cs="Times New Roman"/>
                <w:b w:val="0"/>
                <w:bCs w:val="0"/>
                <w:i w:val="0"/>
                <w:color w:val="000000"/>
                <w:kern w:val="0"/>
                <w:sz w:val="21"/>
                <w:szCs w:val="21"/>
                <w:u w:val="none"/>
                <w:lang w:val="en-US" w:eastAsia="zh-CN" w:bidi="ar"/>
              </w:rPr>
              <w:t>8540</w:t>
            </w:r>
          </w:p>
        </w:tc>
        <w:tc>
          <w:tcPr>
            <w:tcW w:w="1406"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top"/>
              <w:rPr>
                <w:rFonts w:hint="default" w:ascii="Times New Roman" w:hAnsi="Times New Roman" w:eastAsia="宋体" w:cs="Times New Roman"/>
                <w:b w:val="0"/>
                <w:bCs w:val="0"/>
                <w:i w:val="0"/>
                <w:color w:val="000000"/>
                <w:sz w:val="21"/>
                <w:szCs w:val="21"/>
                <w:u w:val="none"/>
              </w:rPr>
            </w:pPr>
            <w:r>
              <w:rPr>
                <w:rFonts w:hint="eastAsia" w:ascii="Times New Roman" w:hAnsi="Times New Roman" w:eastAsia="宋体" w:cs="Times New Roman"/>
                <w:b w:val="0"/>
                <w:bCs w:val="0"/>
                <w:i w:val="0"/>
                <w:color w:val="000000"/>
                <w:kern w:val="0"/>
                <w:sz w:val="21"/>
                <w:szCs w:val="21"/>
                <w:u w:val="none"/>
                <w:lang w:val="en-US" w:eastAsia="zh-CN" w:bidi="ar"/>
              </w:rPr>
              <w:t>73.62</w:t>
            </w:r>
            <w:r>
              <w:rPr>
                <w:rFonts w:hint="default" w:ascii="Times New Roman" w:hAnsi="Times New Roman" w:eastAsia="宋体" w:cs="Times New Roman"/>
                <w:b w:val="0"/>
                <w:bCs w:val="0"/>
                <w:i w:val="0"/>
                <w:color w:val="000000"/>
                <w:kern w:val="0"/>
                <w:sz w:val="21"/>
                <w:szCs w:val="21"/>
                <w:u w:val="none"/>
                <w:lang w:val="en-US" w:eastAsia="zh-CN" w:bidi="ar"/>
              </w:rPr>
              <w:t>%</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表2.3.1-3 高填深挖路段</w:t>
      </w:r>
    </w:p>
    <w:tbl>
      <w:tblPr>
        <w:tblStyle w:val="9"/>
        <w:tblW w:w="9588" w:type="dxa"/>
        <w:jc w:val="center"/>
        <w:shd w:val="clear" w:color="auto" w:fill="auto"/>
        <w:tblLayout w:type="fixed"/>
        <w:tblCellMar>
          <w:top w:w="0" w:type="dxa"/>
          <w:left w:w="0" w:type="dxa"/>
          <w:bottom w:w="0" w:type="dxa"/>
          <w:right w:w="0" w:type="dxa"/>
        </w:tblCellMar>
      </w:tblPr>
      <w:tblGrid>
        <w:gridCol w:w="771"/>
        <w:gridCol w:w="2710"/>
        <w:gridCol w:w="2287"/>
        <w:gridCol w:w="1988"/>
        <w:gridCol w:w="1832"/>
      </w:tblGrid>
      <w:tr>
        <w:tblPrEx>
          <w:shd w:val="clear" w:color="auto" w:fill="auto"/>
          <w:tblCellMar>
            <w:top w:w="0" w:type="dxa"/>
            <w:left w:w="0" w:type="dxa"/>
            <w:bottom w:w="0" w:type="dxa"/>
            <w:right w:w="0" w:type="dxa"/>
          </w:tblCellMar>
        </w:tblPrEx>
        <w:trPr>
          <w:trHeight w:val="437" w:hRule="atLeast"/>
          <w:tblHeader/>
          <w:jc w:val="center"/>
        </w:trPr>
        <w:tc>
          <w:tcPr>
            <w:tcW w:w="771"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bCs/>
                <w:i w:val="0"/>
                <w:color w:val="000000"/>
                <w:sz w:val="21"/>
                <w:szCs w:val="21"/>
                <w:u w:val="none"/>
                <w:lang w:val="en-US" w:eastAsia="zh-CN"/>
              </w:rPr>
            </w:pPr>
            <w:r>
              <w:rPr>
                <w:rFonts w:hint="default" w:ascii="Times New Roman" w:hAnsi="Times New Roman" w:eastAsia="宋体" w:cs="Times New Roman"/>
                <w:b/>
                <w:bCs/>
                <w:i w:val="0"/>
                <w:color w:val="000000"/>
                <w:sz w:val="21"/>
                <w:szCs w:val="21"/>
                <w:u w:val="none"/>
                <w:lang w:val="en-US" w:eastAsia="zh-CN"/>
              </w:rPr>
              <w:t>序号</w:t>
            </w:r>
          </w:p>
        </w:tc>
        <w:tc>
          <w:tcPr>
            <w:tcW w:w="2710"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bCs/>
                <w:i w:val="0"/>
                <w:color w:val="000000"/>
                <w:sz w:val="21"/>
                <w:szCs w:val="21"/>
                <w:u w:val="none"/>
                <w:lang w:val="en-US" w:eastAsia="zh-CN"/>
              </w:rPr>
            </w:pPr>
            <w:r>
              <w:rPr>
                <w:rFonts w:hint="default" w:ascii="Times New Roman" w:hAnsi="Times New Roman" w:eastAsia="宋体" w:cs="Times New Roman"/>
                <w:b/>
                <w:bCs/>
                <w:i w:val="0"/>
                <w:color w:val="000000"/>
                <w:sz w:val="21"/>
                <w:szCs w:val="21"/>
                <w:u w:val="none"/>
                <w:lang w:val="en-US" w:eastAsia="zh-CN"/>
              </w:rPr>
              <w:t>桩号</w:t>
            </w:r>
          </w:p>
        </w:tc>
        <w:tc>
          <w:tcPr>
            <w:tcW w:w="228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bCs/>
                <w:i w:val="0"/>
                <w:color w:val="000000"/>
                <w:sz w:val="21"/>
                <w:szCs w:val="21"/>
                <w:u w:val="none"/>
                <w:lang w:val="en-US" w:eastAsia="zh-CN"/>
              </w:rPr>
            </w:pPr>
            <w:r>
              <w:rPr>
                <w:rFonts w:hint="default" w:ascii="Times New Roman" w:hAnsi="Times New Roman" w:eastAsia="宋体" w:cs="Times New Roman"/>
                <w:b/>
                <w:bCs/>
                <w:i w:val="0"/>
                <w:color w:val="000000"/>
                <w:sz w:val="21"/>
                <w:szCs w:val="21"/>
                <w:u w:val="none"/>
                <w:lang w:val="en-US" w:eastAsia="zh-CN"/>
              </w:rPr>
              <w:t>所属路段</w:t>
            </w:r>
            <w:r>
              <w:rPr>
                <w:rFonts w:hint="eastAsia" w:ascii="Times New Roman" w:hAnsi="Times New Roman" w:eastAsia="宋体" w:cs="Times New Roman"/>
                <w:b/>
                <w:bCs/>
                <w:i w:val="0"/>
                <w:color w:val="000000"/>
                <w:sz w:val="21"/>
                <w:szCs w:val="21"/>
                <w:u w:val="none"/>
                <w:lang w:val="en-US" w:eastAsia="zh-CN"/>
              </w:rPr>
              <w:t>性质</w:t>
            </w:r>
          </w:p>
        </w:tc>
        <w:tc>
          <w:tcPr>
            <w:tcW w:w="1988"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bCs/>
                <w:i w:val="0"/>
                <w:color w:val="000000"/>
                <w:sz w:val="21"/>
                <w:szCs w:val="21"/>
                <w:u w:val="none"/>
                <w:lang w:eastAsia="zh-CN"/>
              </w:rPr>
            </w:pPr>
            <w:r>
              <w:rPr>
                <w:rFonts w:hint="default" w:ascii="Times New Roman" w:hAnsi="Times New Roman" w:eastAsia="宋体" w:cs="Times New Roman"/>
                <w:b/>
                <w:bCs/>
                <w:i w:val="0"/>
                <w:color w:val="000000"/>
                <w:sz w:val="21"/>
                <w:szCs w:val="21"/>
                <w:u w:val="none"/>
                <w:lang w:val="en-US" w:eastAsia="zh-CN"/>
              </w:rPr>
              <w:t>挖</w:t>
            </w:r>
            <w:r>
              <w:rPr>
                <w:rFonts w:hint="eastAsia" w:ascii="Times New Roman" w:hAnsi="Times New Roman" w:eastAsia="宋体" w:cs="Times New Roman"/>
                <w:b/>
                <w:bCs/>
                <w:i w:val="0"/>
                <w:color w:val="000000"/>
                <w:sz w:val="21"/>
                <w:szCs w:val="21"/>
                <w:u w:val="none"/>
                <w:lang w:val="en-US" w:eastAsia="zh-CN"/>
              </w:rPr>
              <w:t>填</w:t>
            </w:r>
            <w:r>
              <w:rPr>
                <w:rFonts w:hint="default" w:ascii="Times New Roman" w:hAnsi="Times New Roman" w:eastAsia="宋体" w:cs="Times New Roman"/>
                <w:b/>
                <w:bCs/>
                <w:i w:val="0"/>
                <w:color w:val="000000"/>
                <w:sz w:val="21"/>
                <w:szCs w:val="21"/>
                <w:u w:val="none"/>
                <w:lang w:val="en-US" w:eastAsia="zh-CN"/>
              </w:rPr>
              <w:t>高度(m)</w:t>
            </w:r>
          </w:p>
        </w:tc>
        <w:tc>
          <w:tcPr>
            <w:tcW w:w="1832"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bCs/>
                <w:i w:val="0"/>
                <w:color w:val="000000"/>
                <w:sz w:val="21"/>
                <w:szCs w:val="21"/>
                <w:u w:val="none"/>
                <w:lang w:eastAsia="zh-CN"/>
              </w:rPr>
            </w:pPr>
            <w:r>
              <w:rPr>
                <w:rFonts w:hint="default" w:ascii="Times New Roman" w:hAnsi="Times New Roman" w:eastAsia="宋体" w:cs="Times New Roman"/>
                <w:b/>
                <w:bCs/>
                <w:i w:val="0"/>
                <w:color w:val="000000"/>
                <w:sz w:val="21"/>
                <w:szCs w:val="21"/>
                <w:u w:val="none"/>
                <w:lang w:val="en-US" w:eastAsia="zh-CN"/>
              </w:rPr>
              <w:t>备注</w:t>
            </w:r>
          </w:p>
        </w:tc>
      </w:tr>
      <w:tr>
        <w:tblPrEx>
          <w:tblCellMar>
            <w:top w:w="0" w:type="dxa"/>
            <w:left w:w="0" w:type="dxa"/>
            <w:bottom w:w="0" w:type="dxa"/>
            <w:right w:w="0" w:type="dxa"/>
          </w:tblCellMar>
        </w:tblPrEx>
        <w:trPr>
          <w:trHeight w:val="399" w:hRule="atLeast"/>
          <w:jc w:val="center"/>
        </w:trPr>
        <w:tc>
          <w:tcPr>
            <w:tcW w:w="771"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default" w:ascii="Times New Roman" w:hAnsi="Times New Roman" w:eastAsia="宋体" w:cs="Times New Roman"/>
                <w:b w:val="0"/>
                <w:bCs w:val="0"/>
                <w:i w:val="0"/>
                <w:color w:val="000000"/>
                <w:sz w:val="21"/>
                <w:szCs w:val="21"/>
                <w:u w:val="none"/>
                <w:lang w:val="en-US" w:eastAsia="zh-CN"/>
              </w:rPr>
              <w:t>1</w:t>
            </w:r>
          </w:p>
        </w:tc>
        <w:tc>
          <w:tcPr>
            <w:tcW w:w="2710"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K0+220~K0+600</w:t>
            </w:r>
          </w:p>
        </w:tc>
        <w:tc>
          <w:tcPr>
            <w:tcW w:w="228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新建</w:t>
            </w:r>
          </w:p>
        </w:tc>
        <w:tc>
          <w:tcPr>
            <w:tcW w:w="1988"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5.0~13.0</w:t>
            </w:r>
          </w:p>
        </w:tc>
        <w:tc>
          <w:tcPr>
            <w:tcW w:w="1832"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eastAsia="zh-CN"/>
              </w:rPr>
            </w:pPr>
            <w:r>
              <w:rPr>
                <w:rFonts w:hint="default" w:ascii="Times New Roman" w:hAnsi="Times New Roman" w:eastAsia="宋体" w:cs="Times New Roman"/>
                <w:b w:val="0"/>
                <w:bCs w:val="0"/>
                <w:i w:val="0"/>
                <w:color w:val="000000"/>
                <w:sz w:val="21"/>
                <w:szCs w:val="21"/>
                <w:u w:val="none"/>
                <w:lang w:val="en-US" w:eastAsia="zh-CN"/>
              </w:rPr>
              <w:t>挖方</w:t>
            </w:r>
          </w:p>
        </w:tc>
      </w:tr>
      <w:tr>
        <w:tblPrEx>
          <w:tblCellMar>
            <w:top w:w="0" w:type="dxa"/>
            <w:left w:w="0" w:type="dxa"/>
            <w:bottom w:w="0" w:type="dxa"/>
            <w:right w:w="0" w:type="dxa"/>
          </w:tblCellMar>
        </w:tblPrEx>
        <w:trPr>
          <w:trHeight w:val="399" w:hRule="atLeast"/>
          <w:jc w:val="center"/>
        </w:trPr>
        <w:tc>
          <w:tcPr>
            <w:tcW w:w="771"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2</w:t>
            </w:r>
          </w:p>
        </w:tc>
        <w:tc>
          <w:tcPr>
            <w:tcW w:w="2710"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K0+650~K0+830</w:t>
            </w:r>
          </w:p>
        </w:tc>
        <w:tc>
          <w:tcPr>
            <w:tcW w:w="228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eastAsia"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新建</w:t>
            </w:r>
          </w:p>
        </w:tc>
        <w:tc>
          <w:tcPr>
            <w:tcW w:w="1988"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5.0~12.2</w:t>
            </w:r>
          </w:p>
        </w:tc>
        <w:tc>
          <w:tcPr>
            <w:tcW w:w="1832"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填方</w:t>
            </w:r>
          </w:p>
        </w:tc>
      </w:tr>
      <w:tr>
        <w:tblPrEx>
          <w:tblCellMar>
            <w:top w:w="0" w:type="dxa"/>
            <w:left w:w="0" w:type="dxa"/>
            <w:bottom w:w="0" w:type="dxa"/>
            <w:right w:w="0" w:type="dxa"/>
          </w:tblCellMar>
        </w:tblPrEx>
        <w:trPr>
          <w:trHeight w:val="399" w:hRule="atLeast"/>
          <w:jc w:val="center"/>
        </w:trPr>
        <w:tc>
          <w:tcPr>
            <w:tcW w:w="771"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3</w:t>
            </w:r>
          </w:p>
        </w:tc>
        <w:tc>
          <w:tcPr>
            <w:tcW w:w="2710"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K1+730~K1+860</w:t>
            </w:r>
          </w:p>
        </w:tc>
        <w:tc>
          <w:tcPr>
            <w:tcW w:w="228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eastAsia"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新建</w:t>
            </w:r>
          </w:p>
        </w:tc>
        <w:tc>
          <w:tcPr>
            <w:tcW w:w="1988"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5.0~8.0</w:t>
            </w:r>
          </w:p>
        </w:tc>
        <w:tc>
          <w:tcPr>
            <w:tcW w:w="1832"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挖方</w:t>
            </w:r>
          </w:p>
        </w:tc>
      </w:tr>
      <w:tr>
        <w:tblPrEx>
          <w:tblCellMar>
            <w:top w:w="0" w:type="dxa"/>
            <w:left w:w="0" w:type="dxa"/>
            <w:bottom w:w="0" w:type="dxa"/>
            <w:right w:w="0" w:type="dxa"/>
          </w:tblCellMar>
        </w:tblPrEx>
        <w:trPr>
          <w:trHeight w:val="399" w:hRule="atLeast"/>
          <w:jc w:val="center"/>
        </w:trPr>
        <w:tc>
          <w:tcPr>
            <w:tcW w:w="771"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4</w:t>
            </w:r>
          </w:p>
        </w:tc>
        <w:tc>
          <w:tcPr>
            <w:tcW w:w="2710"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K4+260~K4+600</w:t>
            </w:r>
          </w:p>
        </w:tc>
        <w:tc>
          <w:tcPr>
            <w:tcW w:w="228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eastAsia"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改扩建</w:t>
            </w:r>
          </w:p>
        </w:tc>
        <w:tc>
          <w:tcPr>
            <w:tcW w:w="1988"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5.0~6.0</w:t>
            </w:r>
          </w:p>
        </w:tc>
        <w:tc>
          <w:tcPr>
            <w:tcW w:w="1832"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填方</w:t>
            </w:r>
          </w:p>
        </w:tc>
      </w:tr>
      <w:tr>
        <w:tblPrEx>
          <w:tblCellMar>
            <w:top w:w="0" w:type="dxa"/>
            <w:left w:w="0" w:type="dxa"/>
            <w:bottom w:w="0" w:type="dxa"/>
            <w:right w:w="0" w:type="dxa"/>
          </w:tblCellMar>
        </w:tblPrEx>
        <w:trPr>
          <w:trHeight w:val="399" w:hRule="atLeast"/>
          <w:jc w:val="center"/>
        </w:trPr>
        <w:tc>
          <w:tcPr>
            <w:tcW w:w="771"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5</w:t>
            </w:r>
          </w:p>
        </w:tc>
        <w:tc>
          <w:tcPr>
            <w:tcW w:w="2710"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K7+810~K7+910</w:t>
            </w:r>
          </w:p>
        </w:tc>
        <w:tc>
          <w:tcPr>
            <w:tcW w:w="228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eastAsia"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改扩建</w:t>
            </w:r>
          </w:p>
        </w:tc>
        <w:tc>
          <w:tcPr>
            <w:tcW w:w="1988"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5.0~5.3</w:t>
            </w:r>
          </w:p>
        </w:tc>
        <w:tc>
          <w:tcPr>
            <w:tcW w:w="1832"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default" w:ascii="Times New Roman" w:hAnsi="Times New Roman" w:eastAsia="宋体" w:cs="Times New Roman"/>
                <w:b w:val="0"/>
                <w:bCs w:val="0"/>
                <w:i w:val="0"/>
                <w:color w:val="000000"/>
                <w:sz w:val="21"/>
                <w:szCs w:val="21"/>
                <w:u w:val="none"/>
                <w:lang w:val="en-US" w:eastAsia="zh-CN"/>
              </w:rPr>
              <w:t>挖方</w:t>
            </w:r>
          </w:p>
        </w:tc>
      </w:tr>
      <w:tr>
        <w:tblPrEx>
          <w:tblCellMar>
            <w:top w:w="0" w:type="dxa"/>
            <w:left w:w="0" w:type="dxa"/>
            <w:bottom w:w="0" w:type="dxa"/>
            <w:right w:w="0" w:type="dxa"/>
          </w:tblCellMar>
        </w:tblPrEx>
        <w:trPr>
          <w:trHeight w:val="399" w:hRule="atLeast"/>
          <w:jc w:val="center"/>
        </w:trPr>
        <w:tc>
          <w:tcPr>
            <w:tcW w:w="771"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6</w:t>
            </w:r>
          </w:p>
        </w:tc>
        <w:tc>
          <w:tcPr>
            <w:tcW w:w="2710"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K7+980~K8+110</w:t>
            </w:r>
          </w:p>
        </w:tc>
        <w:tc>
          <w:tcPr>
            <w:tcW w:w="228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eastAsia"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新建</w:t>
            </w:r>
          </w:p>
        </w:tc>
        <w:tc>
          <w:tcPr>
            <w:tcW w:w="1988"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5.0~5.5</w:t>
            </w:r>
          </w:p>
        </w:tc>
        <w:tc>
          <w:tcPr>
            <w:tcW w:w="1832"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填方</w:t>
            </w:r>
          </w:p>
        </w:tc>
      </w:tr>
      <w:tr>
        <w:tblPrEx>
          <w:tblCellMar>
            <w:top w:w="0" w:type="dxa"/>
            <w:left w:w="0" w:type="dxa"/>
            <w:bottom w:w="0" w:type="dxa"/>
            <w:right w:w="0" w:type="dxa"/>
          </w:tblCellMar>
        </w:tblPrEx>
        <w:trPr>
          <w:trHeight w:val="399" w:hRule="atLeast"/>
          <w:jc w:val="center"/>
        </w:trPr>
        <w:tc>
          <w:tcPr>
            <w:tcW w:w="771"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7</w:t>
            </w:r>
          </w:p>
        </w:tc>
        <w:tc>
          <w:tcPr>
            <w:tcW w:w="2710"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K8+400~K8+500</w:t>
            </w:r>
          </w:p>
        </w:tc>
        <w:tc>
          <w:tcPr>
            <w:tcW w:w="228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eastAsia"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新建</w:t>
            </w:r>
          </w:p>
        </w:tc>
        <w:tc>
          <w:tcPr>
            <w:tcW w:w="1988"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b w:val="0"/>
                <w:bCs w:val="0"/>
                <w:i w:val="0"/>
                <w:color w:val="000000"/>
                <w:kern w:val="2"/>
                <w:sz w:val="21"/>
                <w:szCs w:val="21"/>
                <w:u w:val="none"/>
                <w:lang w:val="en-US" w:eastAsia="zh-CN" w:bidi="ar-SA"/>
              </w:rPr>
            </w:pPr>
            <w:r>
              <w:rPr>
                <w:rFonts w:hint="eastAsia" w:ascii="Times New Roman" w:hAnsi="Times New Roman" w:eastAsia="宋体" w:cs="Times New Roman"/>
                <w:b w:val="0"/>
                <w:bCs w:val="0"/>
                <w:i w:val="0"/>
                <w:color w:val="000000"/>
                <w:sz w:val="21"/>
                <w:szCs w:val="21"/>
                <w:u w:val="none"/>
                <w:lang w:val="en-US" w:eastAsia="zh-CN"/>
              </w:rPr>
              <w:t>5.0~5.3</w:t>
            </w:r>
          </w:p>
        </w:tc>
        <w:tc>
          <w:tcPr>
            <w:tcW w:w="1832"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default" w:ascii="Times New Roman" w:hAnsi="Times New Roman" w:eastAsia="宋体" w:cs="Times New Roman"/>
                <w:b w:val="0"/>
                <w:bCs w:val="0"/>
                <w:i w:val="0"/>
                <w:color w:val="000000"/>
                <w:sz w:val="21"/>
                <w:szCs w:val="21"/>
                <w:u w:val="none"/>
                <w:lang w:val="en-US" w:eastAsia="zh-CN"/>
              </w:rPr>
              <w:t>挖方</w:t>
            </w:r>
          </w:p>
        </w:tc>
      </w:tr>
      <w:tr>
        <w:tblPrEx>
          <w:tblCellMar>
            <w:top w:w="0" w:type="dxa"/>
            <w:left w:w="0" w:type="dxa"/>
            <w:bottom w:w="0" w:type="dxa"/>
            <w:right w:w="0" w:type="dxa"/>
          </w:tblCellMar>
        </w:tblPrEx>
        <w:trPr>
          <w:trHeight w:val="399" w:hRule="atLeast"/>
          <w:jc w:val="center"/>
        </w:trPr>
        <w:tc>
          <w:tcPr>
            <w:tcW w:w="771"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8</w:t>
            </w:r>
          </w:p>
        </w:tc>
        <w:tc>
          <w:tcPr>
            <w:tcW w:w="2710"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K8+600~K8+650</w:t>
            </w:r>
          </w:p>
        </w:tc>
        <w:tc>
          <w:tcPr>
            <w:tcW w:w="228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eastAsia"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新建</w:t>
            </w:r>
          </w:p>
        </w:tc>
        <w:tc>
          <w:tcPr>
            <w:tcW w:w="1988"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b w:val="0"/>
                <w:bCs w:val="0"/>
                <w:i w:val="0"/>
                <w:color w:val="000000"/>
                <w:kern w:val="2"/>
                <w:sz w:val="21"/>
                <w:szCs w:val="21"/>
                <w:u w:val="none"/>
                <w:lang w:val="en-US" w:eastAsia="zh-CN" w:bidi="ar-SA"/>
              </w:rPr>
            </w:pPr>
            <w:r>
              <w:rPr>
                <w:rFonts w:hint="eastAsia" w:ascii="Times New Roman" w:hAnsi="Times New Roman" w:eastAsia="宋体" w:cs="Times New Roman"/>
                <w:b w:val="0"/>
                <w:bCs w:val="0"/>
                <w:i w:val="0"/>
                <w:color w:val="000000"/>
                <w:sz w:val="21"/>
                <w:szCs w:val="21"/>
                <w:u w:val="none"/>
                <w:lang w:val="en-US" w:eastAsia="zh-CN"/>
              </w:rPr>
              <w:t>5.0~7.9</w:t>
            </w:r>
          </w:p>
        </w:tc>
        <w:tc>
          <w:tcPr>
            <w:tcW w:w="1832"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填方</w:t>
            </w:r>
          </w:p>
        </w:tc>
      </w:tr>
      <w:tr>
        <w:tblPrEx>
          <w:tblCellMar>
            <w:top w:w="0" w:type="dxa"/>
            <w:left w:w="0" w:type="dxa"/>
            <w:bottom w:w="0" w:type="dxa"/>
            <w:right w:w="0" w:type="dxa"/>
          </w:tblCellMar>
        </w:tblPrEx>
        <w:trPr>
          <w:trHeight w:val="399" w:hRule="atLeast"/>
          <w:jc w:val="center"/>
        </w:trPr>
        <w:tc>
          <w:tcPr>
            <w:tcW w:w="771"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9</w:t>
            </w:r>
          </w:p>
        </w:tc>
        <w:tc>
          <w:tcPr>
            <w:tcW w:w="2710"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K8+860~K9+010</w:t>
            </w:r>
          </w:p>
        </w:tc>
        <w:tc>
          <w:tcPr>
            <w:tcW w:w="228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eastAsia"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新建</w:t>
            </w:r>
          </w:p>
        </w:tc>
        <w:tc>
          <w:tcPr>
            <w:tcW w:w="1988"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b w:val="0"/>
                <w:bCs w:val="0"/>
                <w:i w:val="0"/>
                <w:color w:val="000000"/>
                <w:kern w:val="2"/>
                <w:sz w:val="21"/>
                <w:szCs w:val="21"/>
                <w:u w:val="none"/>
                <w:lang w:val="en-US" w:eastAsia="zh-CN" w:bidi="ar-SA"/>
              </w:rPr>
            </w:pPr>
            <w:r>
              <w:rPr>
                <w:rFonts w:hint="eastAsia" w:ascii="Times New Roman" w:hAnsi="Times New Roman" w:eastAsia="宋体" w:cs="Times New Roman"/>
                <w:b w:val="0"/>
                <w:bCs w:val="0"/>
                <w:i w:val="0"/>
                <w:color w:val="000000"/>
                <w:sz w:val="21"/>
                <w:szCs w:val="21"/>
                <w:u w:val="none"/>
                <w:lang w:val="en-US" w:eastAsia="zh-CN"/>
              </w:rPr>
              <w:t>5.0~5.6</w:t>
            </w:r>
          </w:p>
        </w:tc>
        <w:tc>
          <w:tcPr>
            <w:tcW w:w="1832"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default" w:ascii="Times New Roman" w:hAnsi="Times New Roman" w:eastAsia="宋体" w:cs="Times New Roman"/>
                <w:b w:val="0"/>
                <w:bCs w:val="0"/>
                <w:i w:val="0"/>
                <w:color w:val="000000"/>
                <w:sz w:val="21"/>
                <w:szCs w:val="21"/>
                <w:u w:val="none"/>
                <w:lang w:val="en-US" w:eastAsia="zh-CN"/>
              </w:rPr>
              <w:t>挖方</w:t>
            </w:r>
          </w:p>
        </w:tc>
      </w:tr>
      <w:tr>
        <w:tblPrEx>
          <w:tblCellMar>
            <w:top w:w="0" w:type="dxa"/>
            <w:left w:w="0" w:type="dxa"/>
            <w:bottom w:w="0" w:type="dxa"/>
            <w:right w:w="0" w:type="dxa"/>
          </w:tblCellMar>
        </w:tblPrEx>
        <w:trPr>
          <w:trHeight w:val="399" w:hRule="atLeast"/>
          <w:jc w:val="center"/>
        </w:trPr>
        <w:tc>
          <w:tcPr>
            <w:tcW w:w="771"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10</w:t>
            </w:r>
          </w:p>
        </w:tc>
        <w:tc>
          <w:tcPr>
            <w:tcW w:w="2710"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K9+050~K9+160</w:t>
            </w:r>
          </w:p>
        </w:tc>
        <w:tc>
          <w:tcPr>
            <w:tcW w:w="228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eastAsia"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新建</w:t>
            </w:r>
          </w:p>
        </w:tc>
        <w:tc>
          <w:tcPr>
            <w:tcW w:w="1988"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b w:val="0"/>
                <w:bCs w:val="0"/>
                <w:i w:val="0"/>
                <w:color w:val="000000"/>
                <w:kern w:val="2"/>
                <w:sz w:val="21"/>
                <w:szCs w:val="21"/>
                <w:u w:val="none"/>
                <w:lang w:val="en-US" w:eastAsia="zh-CN" w:bidi="ar-SA"/>
              </w:rPr>
            </w:pPr>
            <w:r>
              <w:rPr>
                <w:rFonts w:hint="eastAsia" w:ascii="Times New Roman" w:hAnsi="Times New Roman" w:eastAsia="宋体" w:cs="Times New Roman"/>
                <w:b w:val="0"/>
                <w:bCs w:val="0"/>
                <w:i w:val="0"/>
                <w:color w:val="000000"/>
                <w:sz w:val="21"/>
                <w:szCs w:val="21"/>
                <w:u w:val="none"/>
                <w:lang w:val="en-US" w:eastAsia="zh-CN"/>
              </w:rPr>
              <w:t>5.0~8.4</w:t>
            </w:r>
          </w:p>
        </w:tc>
        <w:tc>
          <w:tcPr>
            <w:tcW w:w="1832"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挖方</w:t>
            </w:r>
          </w:p>
        </w:tc>
      </w:tr>
      <w:tr>
        <w:tblPrEx>
          <w:tblCellMar>
            <w:top w:w="0" w:type="dxa"/>
            <w:left w:w="0" w:type="dxa"/>
            <w:bottom w:w="0" w:type="dxa"/>
            <w:right w:w="0" w:type="dxa"/>
          </w:tblCellMar>
        </w:tblPrEx>
        <w:trPr>
          <w:trHeight w:val="399" w:hRule="atLeast"/>
          <w:jc w:val="center"/>
        </w:trPr>
        <w:tc>
          <w:tcPr>
            <w:tcW w:w="771"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11</w:t>
            </w:r>
          </w:p>
        </w:tc>
        <w:tc>
          <w:tcPr>
            <w:tcW w:w="2710"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K9+460~K9+660</w:t>
            </w:r>
          </w:p>
        </w:tc>
        <w:tc>
          <w:tcPr>
            <w:tcW w:w="228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eastAsia"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新建</w:t>
            </w:r>
          </w:p>
        </w:tc>
        <w:tc>
          <w:tcPr>
            <w:tcW w:w="1988"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b w:val="0"/>
                <w:bCs w:val="0"/>
                <w:i w:val="0"/>
                <w:color w:val="000000"/>
                <w:kern w:val="2"/>
                <w:sz w:val="21"/>
                <w:szCs w:val="21"/>
                <w:u w:val="none"/>
                <w:lang w:val="en-US" w:eastAsia="zh-CN" w:bidi="ar-SA"/>
              </w:rPr>
            </w:pPr>
            <w:r>
              <w:rPr>
                <w:rFonts w:hint="eastAsia" w:ascii="Times New Roman" w:hAnsi="Times New Roman" w:eastAsia="宋体" w:cs="Times New Roman"/>
                <w:b w:val="0"/>
                <w:bCs w:val="0"/>
                <w:i w:val="0"/>
                <w:color w:val="000000"/>
                <w:sz w:val="21"/>
                <w:szCs w:val="21"/>
                <w:u w:val="none"/>
                <w:lang w:val="en-US" w:eastAsia="zh-CN"/>
              </w:rPr>
              <w:t>5.0~8.2</w:t>
            </w:r>
          </w:p>
        </w:tc>
        <w:tc>
          <w:tcPr>
            <w:tcW w:w="1832"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挖方</w:t>
            </w:r>
          </w:p>
        </w:tc>
      </w:tr>
      <w:tr>
        <w:tblPrEx>
          <w:tblCellMar>
            <w:top w:w="0" w:type="dxa"/>
            <w:left w:w="0" w:type="dxa"/>
            <w:bottom w:w="0" w:type="dxa"/>
            <w:right w:w="0" w:type="dxa"/>
          </w:tblCellMar>
        </w:tblPrEx>
        <w:trPr>
          <w:trHeight w:val="399" w:hRule="atLeast"/>
          <w:jc w:val="center"/>
        </w:trPr>
        <w:tc>
          <w:tcPr>
            <w:tcW w:w="771"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12</w:t>
            </w:r>
          </w:p>
        </w:tc>
        <w:tc>
          <w:tcPr>
            <w:tcW w:w="2710"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K9+840~K9+880</w:t>
            </w:r>
          </w:p>
        </w:tc>
        <w:tc>
          <w:tcPr>
            <w:tcW w:w="228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eastAsia"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新建</w:t>
            </w:r>
          </w:p>
        </w:tc>
        <w:tc>
          <w:tcPr>
            <w:tcW w:w="1988"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b w:val="0"/>
                <w:bCs w:val="0"/>
                <w:i w:val="0"/>
                <w:color w:val="000000"/>
                <w:kern w:val="2"/>
                <w:sz w:val="21"/>
                <w:szCs w:val="21"/>
                <w:u w:val="none"/>
                <w:lang w:val="en-US" w:eastAsia="zh-CN" w:bidi="ar-SA"/>
              </w:rPr>
            </w:pPr>
            <w:r>
              <w:rPr>
                <w:rFonts w:hint="eastAsia" w:ascii="Times New Roman" w:hAnsi="Times New Roman" w:eastAsia="宋体" w:cs="Times New Roman"/>
                <w:b w:val="0"/>
                <w:bCs w:val="0"/>
                <w:i w:val="0"/>
                <w:color w:val="000000"/>
                <w:sz w:val="21"/>
                <w:szCs w:val="21"/>
                <w:u w:val="none"/>
                <w:lang w:val="en-US" w:eastAsia="zh-CN"/>
              </w:rPr>
              <w:t>5.0~8.5</w:t>
            </w:r>
          </w:p>
        </w:tc>
        <w:tc>
          <w:tcPr>
            <w:tcW w:w="1832"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挖方</w:t>
            </w:r>
          </w:p>
        </w:tc>
      </w:tr>
      <w:tr>
        <w:tblPrEx>
          <w:tblCellMar>
            <w:top w:w="0" w:type="dxa"/>
            <w:left w:w="0" w:type="dxa"/>
            <w:bottom w:w="0" w:type="dxa"/>
            <w:right w:w="0" w:type="dxa"/>
          </w:tblCellMar>
        </w:tblPrEx>
        <w:trPr>
          <w:trHeight w:val="399" w:hRule="atLeast"/>
          <w:jc w:val="center"/>
        </w:trPr>
        <w:tc>
          <w:tcPr>
            <w:tcW w:w="771"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13</w:t>
            </w:r>
          </w:p>
        </w:tc>
        <w:tc>
          <w:tcPr>
            <w:tcW w:w="2710"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K10+480~K10+560</w:t>
            </w:r>
          </w:p>
        </w:tc>
        <w:tc>
          <w:tcPr>
            <w:tcW w:w="228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eastAsia"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新建</w:t>
            </w:r>
          </w:p>
        </w:tc>
        <w:tc>
          <w:tcPr>
            <w:tcW w:w="1988"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b w:val="0"/>
                <w:bCs w:val="0"/>
                <w:i w:val="0"/>
                <w:color w:val="000000"/>
                <w:kern w:val="2"/>
                <w:sz w:val="21"/>
                <w:szCs w:val="21"/>
                <w:u w:val="none"/>
                <w:lang w:val="en-US" w:eastAsia="zh-CN" w:bidi="ar-SA"/>
              </w:rPr>
            </w:pPr>
            <w:r>
              <w:rPr>
                <w:rFonts w:hint="eastAsia" w:ascii="Times New Roman" w:hAnsi="Times New Roman" w:eastAsia="宋体" w:cs="Times New Roman"/>
                <w:b w:val="0"/>
                <w:bCs w:val="0"/>
                <w:i w:val="0"/>
                <w:color w:val="000000"/>
                <w:sz w:val="21"/>
                <w:szCs w:val="21"/>
                <w:u w:val="none"/>
                <w:lang w:val="en-US" w:eastAsia="zh-CN"/>
              </w:rPr>
              <w:t>5.0~5.5</w:t>
            </w:r>
          </w:p>
        </w:tc>
        <w:tc>
          <w:tcPr>
            <w:tcW w:w="1832"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填方</w:t>
            </w:r>
          </w:p>
        </w:tc>
      </w:tr>
      <w:tr>
        <w:tblPrEx>
          <w:tblCellMar>
            <w:top w:w="0" w:type="dxa"/>
            <w:left w:w="0" w:type="dxa"/>
            <w:bottom w:w="0" w:type="dxa"/>
            <w:right w:w="0" w:type="dxa"/>
          </w:tblCellMar>
        </w:tblPrEx>
        <w:trPr>
          <w:trHeight w:val="399" w:hRule="atLeast"/>
          <w:jc w:val="center"/>
        </w:trPr>
        <w:tc>
          <w:tcPr>
            <w:tcW w:w="771"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14</w:t>
            </w:r>
          </w:p>
        </w:tc>
        <w:tc>
          <w:tcPr>
            <w:tcW w:w="2710"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K11+080~K11+160</w:t>
            </w:r>
          </w:p>
        </w:tc>
        <w:tc>
          <w:tcPr>
            <w:tcW w:w="228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eastAsia"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新建</w:t>
            </w:r>
          </w:p>
        </w:tc>
        <w:tc>
          <w:tcPr>
            <w:tcW w:w="1988"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b w:val="0"/>
                <w:bCs w:val="0"/>
                <w:i w:val="0"/>
                <w:color w:val="000000"/>
                <w:kern w:val="2"/>
                <w:sz w:val="21"/>
                <w:szCs w:val="21"/>
                <w:u w:val="none"/>
                <w:lang w:val="en-US" w:eastAsia="zh-CN" w:bidi="ar-SA"/>
              </w:rPr>
            </w:pPr>
            <w:r>
              <w:rPr>
                <w:rFonts w:hint="eastAsia" w:ascii="Times New Roman" w:hAnsi="Times New Roman" w:eastAsia="宋体" w:cs="Times New Roman"/>
                <w:b w:val="0"/>
                <w:bCs w:val="0"/>
                <w:i w:val="0"/>
                <w:color w:val="000000"/>
                <w:sz w:val="21"/>
                <w:szCs w:val="21"/>
                <w:u w:val="none"/>
                <w:lang w:val="en-US" w:eastAsia="zh-CN"/>
              </w:rPr>
              <w:t>5.0~9.0</w:t>
            </w:r>
          </w:p>
        </w:tc>
        <w:tc>
          <w:tcPr>
            <w:tcW w:w="1832"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default" w:ascii="Times New Roman" w:hAnsi="Times New Roman" w:eastAsia="宋体" w:cs="Times New Roman"/>
                <w:b w:val="0"/>
                <w:bCs w:val="0"/>
                <w:i w:val="0"/>
                <w:color w:val="000000"/>
                <w:sz w:val="21"/>
                <w:szCs w:val="21"/>
                <w:u w:val="none"/>
                <w:lang w:val="en-US" w:eastAsia="zh-CN"/>
              </w:rPr>
              <w:t>挖方</w:t>
            </w:r>
          </w:p>
        </w:tc>
      </w:tr>
      <w:tr>
        <w:tblPrEx>
          <w:tblCellMar>
            <w:top w:w="0" w:type="dxa"/>
            <w:left w:w="0" w:type="dxa"/>
            <w:bottom w:w="0" w:type="dxa"/>
            <w:right w:w="0" w:type="dxa"/>
          </w:tblCellMar>
        </w:tblPrEx>
        <w:trPr>
          <w:trHeight w:val="399" w:hRule="atLeast"/>
          <w:jc w:val="center"/>
        </w:trPr>
        <w:tc>
          <w:tcPr>
            <w:tcW w:w="771"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15</w:t>
            </w:r>
          </w:p>
        </w:tc>
        <w:tc>
          <w:tcPr>
            <w:tcW w:w="2710"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K11+500~K11+600</w:t>
            </w:r>
          </w:p>
        </w:tc>
        <w:tc>
          <w:tcPr>
            <w:tcW w:w="228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eastAsia"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新建</w:t>
            </w:r>
          </w:p>
        </w:tc>
        <w:tc>
          <w:tcPr>
            <w:tcW w:w="1988"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5.0~7.7</w:t>
            </w:r>
          </w:p>
        </w:tc>
        <w:tc>
          <w:tcPr>
            <w:tcW w:w="1832"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填方</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2"/>
        <w:rPr>
          <w:rFonts w:hint="eastAsia" w:ascii="Times New Roman" w:hAnsi="Times New Roman" w:eastAsia="宋体" w:cs="Times New Roman"/>
          <w:sz w:val="24"/>
          <w:szCs w:val="24"/>
          <w:lang w:val="en-US" w:eastAsia="zh-CN"/>
        </w:rPr>
      </w:pPr>
      <w:bookmarkStart w:id="22" w:name="_Toc14674"/>
      <w:r>
        <w:rPr>
          <w:rFonts w:hint="eastAsia" w:ascii="Times New Roman" w:hAnsi="Times New Roman" w:eastAsia="宋体" w:cs="Times New Roman"/>
          <w:sz w:val="24"/>
          <w:szCs w:val="24"/>
          <w:lang w:val="en-US" w:eastAsia="zh-CN"/>
        </w:rPr>
        <w:t>2.3.2主要工程内容</w:t>
      </w:r>
      <w:bookmarkEnd w:id="22"/>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本项目主要工程内容见表2.3.2-1。</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表2.3.2-1 项目主要工程内容</w:t>
      </w:r>
    </w:p>
    <w:tbl>
      <w:tblPr>
        <w:tblStyle w:val="9"/>
        <w:tblW w:w="9618" w:type="dxa"/>
        <w:jc w:val="center"/>
        <w:shd w:val="clear" w:color="auto" w:fill="auto"/>
        <w:tblLayout w:type="autofit"/>
        <w:tblCellMar>
          <w:top w:w="0" w:type="dxa"/>
          <w:left w:w="0" w:type="dxa"/>
          <w:bottom w:w="0" w:type="dxa"/>
          <w:right w:w="0" w:type="dxa"/>
        </w:tblCellMar>
      </w:tblPr>
      <w:tblGrid>
        <w:gridCol w:w="1135"/>
        <w:gridCol w:w="2781"/>
        <w:gridCol w:w="1159"/>
        <w:gridCol w:w="1836"/>
        <w:gridCol w:w="2707"/>
      </w:tblGrid>
      <w:tr>
        <w:tblPrEx>
          <w:shd w:val="clear" w:color="auto" w:fill="auto"/>
          <w:tblCellMar>
            <w:top w:w="0" w:type="dxa"/>
            <w:left w:w="0" w:type="dxa"/>
            <w:bottom w:w="0" w:type="dxa"/>
            <w:right w:w="0" w:type="dxa"/>
          </w:tblCellMar>
        </w:tblPrEx>
        <w:trPr>
          <w:trHeight w:val="521" w:hRule="atLeast"/>
          <w:jc w:val="center"/>
        </w:trPr>
        <w:tc>
          <w:tcPr>
            <w:tcW w:w="113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bCs/>
                <w:i w:val="0"/>
                <w:color w:val="000000"/>
                <w:sz w:val="21"/>
                <w:szCs w:val="21"/>
                <w:u w:val="none"/>
              </w:rPr>
            </w:pPr>
            <w:r>
              <w:rPr>
                <w:rFonts w:hint="default" w:ascii="Times New Roman" w:hAnsi="Times New Roman" w:eastAsia="宋体" w:cs="Times New Roman"/>
                <w:b/>
                <w:bCs/>
                <w:i w:val="0"/>
                <w:color w:val="000000"/>
                <w:kern w:val="0"/>
                <w:sz w:val="21"/>
                <w:szCs w:val="21"/>
                <w:u w:val="none"/>
                <w:lang w:val="en-US" w:eastAsia="zh-CN" w:bidi="ar"/>
              </w:rPr>
              <w:t>序号</w:t>
            </w:r>
          </w:p>
        </w:tc>
        <w:tc>
          <w:tcPr>
            <w:tcW w:w="3940"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bCs/>
                <w:i w:val="0"/>
                <w:color w:val="000000"/>
                <w:sz w:val="21"/>
                <w:szCs w:val="21"/>
                <w:u w:val="none"/>
              </w:rPr>
            </w:pPr>
            <w:r>
              <w:rPr>
                <w:rFonts w:hint="default" w:ascii="Times New Roman" w:hAnsi="Times New Roman" w:eastAsia="宋体" w:cs="Times New Roman"/>
                <w:b/>
                <w:bCs/>
                <w:i w:val="0"/>
                <w:color w:val="000000"/>
                <w:kern w:val="0"/>
                <w:sz w:val="21"/>
                <w:szCs w:val="21"/>
                <w:u w:val="none"/>
                <w:lang w:val="en-US" w:eastAsia="zh-CN" w:bidi="ar"/>
              </w:rPr>
              <w:t>项目</w:t>
            </w:r>
          </w:p>
        </w:tc>
        <w:tc>
          <w:tcPr>
            <w:tcW w:w="18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bCs/>
                <w:i w:val="0"/>
                <w:color w:val="000000"/>
                <w:sz w:val="21"/>
                <w:szCs w:val="21"/>
                <w:u w:val="none"/>
              </w:rPr>
            </w:pPr>
            <w:r>
              <w:rPr>
                <w:rFonts w:hint="default" w:ascii="Times New Roman" w:hAnsi="Times New Roman" w:eastAsia="宋体" w:cs="Times New Roman"/>
                <w:b/>
                <w:bCs/>
                <w:i w:val="0"/>
                <w:color w:val="000000"/>
                <w:kern w:val="0"/>
                <w:sz w:val="21"/>
                <w:szCs w:val="21"/>
                <w:u w:val="none"/>
                <w:lang w:val="en-US" w:eastAsia="zh-CN" w:bidi="ar"/>
              </w:rPr>
              <w:t>单位</w:t>
            </w:r>
          </w:p>
        </w:tc>
        <w:tc>
          <w:tcPr>
            <w:tcW w:w="270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bCs/>
                <w:i w:val="0"/>
                <w:color w:val="000000"/>
                <w:sz w:val="21"/>
                <w:szCs w:val="21"/>
                <w:u w:val="none"/>
              </w:rPr>
            </w:pPr>
            <w:r>
              <w:rPr>
                <w:rFonts w:hint="default" w:ascii="Times New Roman" w:hAnsi="Times New Roman" w:eastAsia="宋体" w:cs="Times New Roman"/>
                <w:b/>
                <w:bCs/>
                <w:i w:val="0"/>
                <w:color w:val="000000"/>
                <w:kern w:val="0"/>
                <w:sz w:val="21"/>
                <w:szCs w:val="21"/>
                <w:u w:val="none"/>
                <w:lang w:val="en-US" w:eastAsia="zh-CN" w:bidi="ar"/>
              </w:rPr>
              <w:t>工程量</w:t>
            </w:r>
          </w:p>
        </w:tc>
      </w:tr>
      <w:tr>
        <w:tblPrEx>
          <w:tblCellMar>
            <w:top w:w="0" w:type="dxa"/>
            <w:left w:w="0" w:type="dxa"/>
            <w:bottom w:w="0" w:type="dxa"/>
            <w:right w:w="0" w:type="dxa"/>
          </w:tblCellMar>
        </w:tblPrEx>
        <w:trPr>
          <w:trHeight w:val="337" w:hRule="atLeast"/>
          <w:jc w:val="center"/>
        </w:trPr>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1</w:t>
            </w: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土石方工程</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挖方</w:t>
            </w: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1"/>
                <w:szCs w:val="21"/>
                <w:u w:val="none"/>
                <w:lang w:val="en-US"/>
              </w:rPr>
            </w:pPr>
            <w:r>
              <w:rPr>
                <w:rFonts w:hint="default" w:ascii="Times New Roman" w:hAnsi="Times New Roman" w:eastAsia="宋体" w:cs="Times New Roman"/>
                <w:b w:val="0"/>
                <w:bCs w:val="0"/>
                <w:i w:val="0"/>
                <w:color w:val="000000"/>
                <w:kern w:val="0"/>
                <w:sz w:val="21"/>
                <w:szCs w:val="21"/>
                <w:u w:val="none"/>
                <w:lang w:val="en-US" w:eastAsia="zh-CN" w:bidi="ar"/>
              </w:rPr>
              <w:t>万</w:t>
            </w:r>
            <w:r>
              <w:rPr>
                <w:rStyle w:val="20"/>
                <w:rFonts w:hint="eastAsia" w:ascii="Times New Roman" w:hAnsi="Times New Roman" w:eastAsia="宋体" w:cs="Times New Roman"/>
                <w:b w:val="0"/>
                <w:bCs w:val="0"/>
                <w:sz w:val="21"/>
                <w:szCs w:val="21"/>
                <w:lang w:val="en-US" w:eastAsia="zh-CN" w:bidi="ar"/>
              </w:rPr>
              <w:t>m</w:t>
            </w:r>
            <w:r>
              <w:rPr>
                <w:rStyle w:val="20"/>
                <w:rFonts w:hint="eastAsia" w:ascii="Times New Roman" w:hAnsi="Times New Roman" w:eastAsia="宋体" w:cs="Times New Roman"/>
                <w:b w:val="0"/>
                <w:bCs w:val="0"/>
                <w:sz w:val="21"/>
                <w:szCs w:val="21"/>
                <w:vertAlign w:val="superscript"/>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19.85</w:t>
            </w:r>
          </w:p>
        </w:tc>
      </w:tr>
      <w:tr>
        <w:tblPrEx>
          <w:tblCellMar>
            <w:top w:w="0" w:type="dxa"/>
            <w:left w:w="0" w:type="dxa"/>
            <w:bottom w:w="0" w:type="dxa"/>
            <w:right w:w="0" w:type="dxa"/>
          </w:tblCellMar>
        </w:tblPrEx>
        <w:trPr>
          <w:trHeight w:val="337"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b w:val="0"/>
                <w:bCs w:val="0"/>
                <w:i w:val="0"/>
                <w:color w:val="000000"/>
                <w:sz w:val="21"/>
                <w:szCs w:val="21"/>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b w:val="0"/>
                <w:bCs w:val="0"/>
                <w:i w:val="0"/>
                <w:color w:val="000000"/>
                <w:sz w:val="21"/>
                <w:szCs w:val="21"/>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填方</w:t>
            </w: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b w:val="0"/>
                <w:bCs w:val="0"/>
                <w:i w:val="0"/>
                <w:color w:val="000000"/>
                <w:sz w:val="21"/>
                <w:szCs w:val="21"/>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185.89</w:t>
            </w:r>
          </w:p>
        </w:tc>
      </w:tr>
      <w:tr>
        <w:tblPrEx>
          <w:tblCellMar>
            <w:top w:w="0" w:type="dxa"/>
            <w:left w:w="0" w:type="dxa"/>
            <w:bottom w:w="0" w:type="dxa"/>
            <w:right w:w="0" w:type="dxa"/>
          </w:tblCellMar>
        </w:tblPrEx>
        <w:trPr>
          <w:trHeight w:val="337"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b w:val="0"/>
                <w:bCs w:val="0"/>
                <w:i w:val="0"/>
                <w:color w:val="000000"/>
                <w:sz w:val="21"/>
                <w:szCs w:val="21"/>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b w:val="0"/>
                <w:bCs w:val="0"/>
                <w:i w:val="0"/>
                <w:color w:val="000000"/>
                <w:sz w:val="21"/>
                <w:szCs w:val="21"/>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弃方</w:t>
            </w: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b w:val="0"/>
                <w:bCs w:val="0"/>
                <w:i w:val="0"/>
                <w:color w:val="000000"/>
                <w:sz w:val="21"/>
                <w:szCs w:val="21"/>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13.96</w:t>
            </w:r>
          </w:p>
        </w:tc>
      </w:tr>
      <w:tr>
        <w:tblPrEx>
          <w:tblCellMar>
            <w:top w:w="0" w:type="dxa"/>
            <w:left w:w="0" w:type="dxa"/>
            <w:bottom w:w="0" w:type="dxa"/>
            <w:right w:w="0" w:type="dxa"/>
          </w:tblCellMar>
        </w:tblPrEx>
        <w:trPr>
          <w:trHeight w:val="337"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2</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道路工程</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Style w:val="20"/>
                <w:rFonts w:hint="default" w:ascii="Times New Roman" w:hAnsi="Times New Roman" w:eastAsia="宋体" w:cs="Times New Roman"/>
                <w:b w:val="0"/>
                <w:bCs w:val="0"/>
                <w:sz w:val="21"/>
                <w:szCs w:val="21"/>
                <w:lang w:val="en-US" w:eastAsia="zh-CN" w:bidi="ar"/>
              </w:rPr>
              <w:t>m</w:t>
            </w:r>
            <w:r>
              <w:rPr>
                <w:rFonts w:hint="default" w:ascii="Times New Roman" w:hAnsi="Times New Roman" w:eastAsia="宋体" w:cs="Times New Roman"/>
                <w:b w:val="0"/>
                <w:bCs w:val="0"/>
                <w:i w:val="0"/>
                <w:color w:val="000000"/>
                <w:kern w:val="0"/>
                <w:sz w:val="21"/>
                <w:szCs w:val="21"/>
                <w:u w:val="none"/>
                <w:vertAlign w:val="superscript"/>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639634.05</w:t>
            </w:r>
          </w:p>
        </w:tc>
      </w:tr>
      <w:tr>
        <w:tblPrEx>
          <w:tblCellMar>
            <w:top w:w="0" w:type="dxa"/>
            <w:left w:w="0" w:type="dxa"/>
            <w:bottom w:w="0" w:type="dxa"/>
            <w:right w:w="0" w:type="dxa"/>
          </w:tblCellMar>
        </w:tblPrEx>
        <w:trPr>
          <w:trHeight w:val="337"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3</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eastAsia" w:ascii="Times New Roman" w:hAnsi="Times New Roman" w:eastAsia="宋体" w:cs="Times New Roman"/>
                <w:b w:val="0"/>
                <w:bCs w:val="0"/>
                <w:i w:val="0"/>
                <w:color w:val="000000"/>
                <w:kern w:val="0"/>
                <w:sz w:val="21"/>
                <w:szCs w:val="21"/>
                <w:u w:val="none"/>
                <w:lang w:val="en-US" w:eastAsia="zh-CN" w:bidi="ar"/>
              </w:rPr>
              <w:t>雨水</w:t>
            </w:r>
            <w:r>
              <w:rPr>
                <w:rFonts w:hint="default" w:ascii="Times New Roman" w:hAnsi="Times New Roman" w:eastAsia="宋体" w:cs="Times New Roman"/>
                <w:b w:val="0"/>
                <w:bCs w:val="0"/>
                <w:i w:val="0"/>
                <w:color w:val="000000"/>
                <w:kern w:val="0"/>
                <w:sz w:val="21"/>
                <w:szCs w:val="21"/>
                <w:u w:val="none"/>
                <w:lang w:val="en-US" w:eastAsia="zh-CN" w:bidi="ar"/>
              </w:rPr>
              <w:t>工程</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Style w:val="20"/>
                <w:rFonts w:hint="default" w:ascii="Times New Roman" w:hAnsi="Times New Roman" w:eastAsia="宋体" w:cs="Times New Roman"/>
                <w:b w:val="0"/>
                <w:bCs w:val="0"/>
                <w:sz w:val="21"/>
                <w:szCs w:val="21"/>
                <w:lang w:val="en-US" w:eastAsia="zh-CN"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11600.00</w:t>
            </w:r>
          </w:p>
        </w:tc>
      </w:tr>
      <w:tr>
        <w:tblPrEx>
          <w:tblCellMar>
            <w:top w:w="0" w:type="dxa"/>
            <w:left w:w="0" w:type="dxa"/>
            <w:bottom w:w="0" w:type="dxa"/>
            <w:right w:w="0" w:type="dxa"/>
          </w:tblCellMar>
        </w:tblPrEx>
        <w:trPr>
          <w:trHeight w:val="337"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4</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eastAsia" w:ascii="Times New Roman" w:hAnsi="Times New Roman" w:eastAsia="宋体" w:cs="Times New Roman"/>
                <w:b w:val="0"/>
                <w:bCs w:val="0"/>
                <w:i w:val="0"/>
                <w:color w:val="000000"/>
                <w:kern w:val="0"/>
                <w:sz w:val="21"/>
                <w:szCs w:val="21"/>
                <w:u w:val="none"/>
                <w:lang w:val="en-US" w:eastAsia="zh-CN" w:bidi="ar"/>
              </w:rPr>
              <w:t>污水工程</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Style w:val="20"/>
                <w:rFonts w:hint="default" w:ascii="Times New Roman" w:hAnsi="Times New Roman" w:eastAsia="宋体" w:cs="Times New Roman"/>
                <w:b w:val="0"/>
                <w:bCs w:val="0"/>
                <w:sz w:val="21"/>
                <w:szCs w:val="21"/>
                <w:lang w:val="en-US" w:eastAsia="zh-CN"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eastAsia" w:ascii="Times New Roman" w:hAnsi="Times New Roman" w:eastAsia="宋体" w:cs="Times New Roman"/>
                <w:b w:val="0"/>
                <w:bCs w:val="0"/>
                <w:i w:val="0"/>
                <w:color w:val="000000"/>
                <w:sz w:val="21"/>
                <w:szCs w:val="21"/>
                <w:u w:val="none"/>
                <w:lang w:val="en-US" w:eastAsia="zh-CN"/>
              </w:rPr>
              <w:t>11600.00</w:t>
            </w:r>
          </w:p>
        </w:tc>
      </w:tr>
      <w:tr>
        <w:tblPrEx>
          <w:tblCellMar>
            <w:top w:w="0" w:type="dxa"/>
            <w:left w:w="0" w:type="dxa"/>
            <w:bottom w:w="0" w:type="dxa"/>
            <w:right w:w="0" w:type="dxa"/>
          </w:tblCellMar>
        </w:tblPrEx>
        <w:trPr>
          <w:trHeight w:val="337"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5</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给水工程</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b w:val="0"/>
                <w:bCs w:val="0"/>
                <w:i w:val="0"/>
                <w:color w:val="000000"/>
                <w:sz w:val="21"/>
                <w:szCs w:val="21"/>
                <w:u w:val="none"/>
              </w:rPr>
            </w:pPr>
            <w:r>
              <w:rPr>
                <w:rStyle w:val="20"/>
                <w:rFonts w:hint="default" w:ascii="Times New Roman" w:hAnsi="Times New Roman" w:eastAsia="宋体" w:cs="Times New Roman"/>
                <w:b w:val="0"/>
                <w:bCs w:val="0"/>
                <w:sz w:val="21"/>
                <w:szCs w:val="21"/>
                <w:lang w:val="en-US" w:eastAsia="zh-CN" w:bidi="ar"/>
              </w:rPr>
              <w:t>m</w:t>
            </w:r>
            <w:r>
              <w:rPr>
                <w:rFonts w:hint="default" w:ascii="Times New Roman" w:hAnsi="Times New Roman" w:eastAsia="宋体" w:cs="Times New Roman"/>
                <w:b w:val="0"/>
                <w:bCs w:val="0"/>
                <w:i w:val="0"/>
                <w:color w:val="000000"/>
                <w:kern w:val="0"/>
                <w:sz w:val="21"/>
                <w:szCs w:val="21"/>
                <w:u w:val="none"/>
                <w:vertAlign w:val="superscript"/>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eastAsia" w:ascii="Times New Roman" w:hAnsi="Times New Roman" w:eastAsia="宋体" w:cs="Times New Roman"/>
                <w:b w:val="0"/>
                <w:bCs w:val="0"/>
                <w:i w:val="0"/>
                <w:color w:val="000000"/>
                <w:sz w:val="21"/>
                <w:szCs w:val="21"/>
                <w:u w:val="none"/>
                <w:lang w:val="en-US" w:eastAsia="zh-CN"/>
              </w:rPr>
              <w:t>11600.00</w:t>
            </w:r>
          </w:p>
        </w:tc>
      </w:tr>
      <w:tr>
        <w:tblPrEx>
          <w:tblCellMar>
            <w:top w:w="0" w:type="dxa"/>
            <w:left w:w="0" w:type="dxa"/>
            <w:bottom w:w="0" w:type="dxa"/>
            <w:right w:w="0" w:type="dxa"/>
          </w:tblCellMar>
        </w:tblPrEx>
        <w:trPr>
          <w:trHeight w:val="337"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6</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燃气工程</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Style w:val="20"/>
                <w:rFonts w:hint="default" w:ascii="Times New Roman" w:hAnsi="Times New Roman" w:eastAsia="宋体" w:cs="Times New Roman"/>
                <w:b w:val="0"/>
                <w:bCs w:val="0"/>
                <w:sz w:val="21"/>
                <w:szCs w:val="21"/>
                <w:lang w:val="en-US" w:eastAsia="zh-CN" w:bidi="ar"/>
              </w:rPr>
              <w:t>m</w:t>
            </w:r>
            <w:r>
              <w:rPr>
                <w:rFonts w:hint="default" w:ascii="Times New Roman" w:hAnsi="Times New Roman" w:eastAsia="宋体" w:cs="Times New Roman"/>
                <w:b w:val="0"/>
                <w:bCs w:val="0"/>
                <w:i w:val="0"/>
                <w:color w:val="000000"/>
                <w:kern w:val="0"/>
                <w:sz w:val="21"/>
                <w:szCs w:val="21"/>
                <w:u w:val="none"/>
                <w:vertAlign w:val="superscript"/>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eastAsia" w:ascii="Times New Roman" w:hAnsi="Times New Roman" w:eastAsia="宋体" w:cs="Times New Roman"/>
                <w:b w:val="0"/>
                <w:bCs w:val="0"/>
                <w:i w:val="0"/>
                <w:color w:val="000000"/>
                <w:sz w:val="21"/>
                <w:szCs w:val="21"/>
                <w:u w:val="none"/>
                <w:lang w:val="en-US" w:eastAsia="zh-CN"/>
              </w:rPr>
              <w:t>11600.00</w:t>
            </w:r>
          </w:p>
        </w:tc>
      </w:tr>
      <w:tr>
        <w:tblPrEx>
          <w:tblCellMar>
            <w:top w:w="0" w:type="dxa"/>
            <w:left w:w="0" w:type="dxa"/>
            <w:bottom w:w="0" w:type="dxa"/>
            <w:right w:w="0" w:type="dxa"/>
          </w:tblCellMar>
        </w:tblPrEx>
        <w:trPr>
          <w:trHeight w:val="337"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7</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kern w:val="2"/>
                <w:sz w:val="21"/>
                <w:szCs w:val="21"/>
                <w:u w:val="none"/>
                <w:lang w:val="en-US" w:eastAsia="zh-CN" w:bidi="ar-SA"/>
              </w:rPr>
            </w:pPr>
            <w:r>
              <w:rPr>
                <w:rFonts w:hint="default" w:ascii="Times New Roman" w:hAnsi="Times New Roman" w:eastAsia="宋体" w:cs="Times New Roman"/>
                <w:b w:val="0"/>
                <w:bCs w:val="0"/>
                <w:i w:val="0"/>
                <w:color w:val="000000"/>
                <w:kern w:val="0"/>
                <w:sz w:val="21"/>
                <w:szCs w:val="21"/>
                <w:u w:val="none"/>
                <w:lang w:val="en-US" w:eastAsia="zh-CN" w:bidi="ar"/>
              </w:rPr>
              <w:t>路灯</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kern w:val="2"/>
                <w:sz w:val="21"/>
                <w:szCs w:val="21"/>
                <w:u w:val="none"/>
                <w:lang w:val="en-US" w:eastAsia="zh-CN" w:bidi="ar-SA"/>
              </w:rPr>
            </w:pPr>
            <w:r>
              <w:rPr>
                <w:rFonts w:hint="default" w:ascii="Times New Roman" w:hAnsi="Times New Roman" w:eastAsia="宋体" w:cs="Times New Roman"/>
                <w:b w:val="0"/>
                <w:bCs w:val="0"/>
                <w:i w:val="0"/>
                <w:color w:val="000000"/>
                <w:kern w:val="0"/>
                <w:sz w:val="21"/>
                <w:szCs w:val="21"/>
                <w:u w:val="none"/>
                <w:lang w:val="en-US" w:eastAsia="zh-CN" w:bidi="ar"/>
              </w:rPr>
              <w:t>盏</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930</w:t>
            </w:r>
          </w:p>
        </w:tc>
      </w:tr>
      <w:tr>
        <w:tblPrEx>
          <w:tblCellMar>
            <w:top w:w="0" w:type="dxa"/>
            <w:left w:w="0" w:type="dxa"/>
            <w:bottom w:w="0" w:type="dxa"/>
            <w:right w:w="0" w:type="dxa"/>
          </w:tblCellMar>
        </w:tblPrEx>
        <w:trPr>
          <w:trHeight w:val="337"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8</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eastAsia" w:ascii="Times New Roman" w:hAnsi="Times New Roman" w:eastAsia="宋体" w:cs="Times New Roman"/>
                <w:b w:val="0"/>
                <w:bCs w:val="0"/>
                <w:i w:val="0"/>
                <w:color w:val="000000"/>
                <w:sz w:val="21"/>
                <w:szCs w:val="21"/>
                <w:u w:val="none"/>
                <w:lang w:eastAsia="zh-CN"/>
              </w:rPr>
            </w:pPr>
            <w:r>
              <w:rPr>
                <w:rFonts w:hint="eastAsia" w:ascii="Times New Roman" w:hAnsi="Times New Roman" w:eastAsia="宋体" w:cs="Times New Roman"/>
                <w:b w:val="0"/>
                <w:bCs w:val="0"/>
                <w:i w:val="0"/>
                <w:color w:val="000000"/>
                <w:sz w:val="21"/>
                <w:szCs w:val="21"/>
                <w:u w:val="none"/>
                <w:lang w:eastAsia="zh-CN"/>
              </w:rPr>
              <w:t>电力浅沟</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Style w:val="20"/>
                <w:rFonts w:hint="default" w:ascii="Times New Roman" w:hAnsi="Times New Roman" w:eastAsia="宋体" w:cs="Times New Roman"/>
                <w:b w:val="0"/>
                <w:bCs w:val="0"/>
                <w:sz w:val="21"/>
                <w:szCs w:val="21"/>
                <w:lang w:val="en-US" w:eastAsia="zh-CN"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23259.41</w:t>
            </w:r>
          </w:p>
        </w:tc>
      </w:tr>
      <w:tr>
        <w:tblPrEx>
          <w:tblCellMar>
            <w:top w:w="0" w:type="dxa"/>
            <w:left w:w="0" w:type="dxa"/>
            <w:bottom w:w="0" w:type="dxa"/>
            <w:right w:w="0" w:type="dxa"/>
          </w:tblCellMar>
        </w:tblPrEx>
        <w:trPr>
          <w:trHeight w:val="337"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9</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eastAsia" w:ascii="Times New Roman" w:hAnsi="Times New Roman" w:eastAsia="宋体" w:cs="Times New Roman"/>
                <w:b w:val="0"/>
                <w:bCs w:val="0"/>
                <w:i w:val="0"/>
                <w:color w:val="000000"/>
                <w:sz w:val="21"/>
                <w:szCs w:val="21"/>
                <w:u w:val="none"/>
                <w:lang w:eastAsia="zh-CN"/>
              </w:rPr>
            </w:pPr>
            <w:r>
              <w:rPr>
                <w:rFonts w:hint="eastAsia" w:ascii="Times New Roman" w:hAnsi="Times New Roman" w:eastAsia="宋体" w:cs="Times New Roman"/>
                <w:b w:val="0"/>
                <w:bCs w:val="0"/>
                <w:i w:val="0"/>
                <w:color w:val="000000"/>
                <w:sz w:val="21"/>
                <w:szCs w:val="21"/>
                <w:u w:val="none"/>
                <w:lang w:eastAsia="zh-CN"/>
              </w:rPr>
              <w:t>综合通讯</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Style w:val="20"/>
                <w:rFonts w:hint="default" w:ascii="Times New Roman" w:hAnsi="Times New Roman" w:eastAsia="宋体" w:cs="Times New Roman"/>
                <w:b w:val="0"/>
                <w:bCs w:val="0"/>
                <w:sz w:val="21"/>
                <w:szCs w:val="21"/>
                <w:lang w:val="en-US" w:eastAsia="zh-CN"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23259.41</w:t>
            </w:r>
          </w:p>
        </w:tc>
      </w:tr>
      <w:tr>
        <w:tblPrEx>
          <w:tblCellMar>
            <w:top w:w="0" w:type="dxa"/>
            <w:left w:w="0" w:type="dxa"/>
            <w:bottom w:w="0" w:type="dxa"/>
            <w:right w:w="0" w:type="dxa"/>
          </w:tblCellMar>
        </w:tblPrEx>
        <w:trPr>
          <w:trHeight w:val="337"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10</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kern w:val="2"/>
                <w:sz w:val="21"/>
                <w:szCs w:val="21"/>
                <w:u w:val="none"/>
                <w:lang w:val="en-US" w:eastAsia="zh-CN" w:bidi="ar-SA"/>
              </w:rPr>
            </w:pPr>
            <w:r>
              <w:rPr>
                <w:rFonts w:hint="default" w:ascii="Times New Roman" w:hAnsi="Times New Roman" w:eastAsia="宋体" w:cs="Times New Roman"/>
                <w:b w:val="0"/>
                <w:bCs w:val="0"/>
                <w:i w:val="0"/>
                <w:color w:val="000000"/>
                <w:kern w:val="0"/>
                <w:sz w:val="21"/>
                <w:szCs w:val="21"/>
                <w:u w:val="none"/>
                <w:lang w:val="en-US" w:eastAsia="zh-CN" w:bidi="ar"/>
              </w:rPr>
              <w:t>绿化带</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kern w:val="2"/>
                <w:sz w:val="21"/>
                <w:szCs w:val="21"/>
                <w:u w:val="none"/>
                <w:lang w:val="en-US" w:eastAsia="zh-CN" w:bidi="ar-SA"/>
              </w:rPr>
            </w:pPr>
            <w:r>
              <w:rPr>
                <w:rStyle w:val="20"/>
                <w:rFonts w:hint="default" w:ascii="Times New Roman" w:hAnsi="Times New Roman" w:eastAsia="宋体" w:cs="Times New Roman"/>
                <w:b w:val="0"/>
                <w:bCs w:val="0"/>
                <w:sz w:val="21"/>
                <w:szCs w:val="21"/>
                <w:lang w:val="en-US" w:eastAsia="zh-CN" w:bidi="ar"/>
              </w:rPr>
              <w:t>m</w:t>
            </w:r>
            <w:r>
              <w:rPr>
                <w:rFonts w:hint="default" w:ascii="Times New Roman" w:hAnsi="Times New Roman" w:eastAsia="宋体" w:cs="Times New Roman"/>
                <w:b w:val="0"/>
                <w:bCs w:val="0"/>
                <w:i w:val="0"/>
                <w:color w:val="000000"/>
                <w:kern w:val="0"/>
                <w:sz w:val="21"/>
                <w:szCs w:val="21"/>
                <w:u w:val="none"/>
                <w:vertAlign w:val="superscript"/>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12327.89</w:t>
            </w:r>
          </w:p>
        </w:tc>
      </w:tr>
      <w:tr>
        <w:tblPrEx>
          <w:tblCellMar>
            <w:top w:w="0" w:type="dxa"/>
            <w:left w:w="0" w:type="dxa"/>
            <w:bottom w:w="0" w:type="dxa"/>
            <w:right w:w="0" w:type="dxa"/>
          </w:tblCellMar>
        </w:tblPrEx>
        <w:trPr>
          <w:trHeight w:val="337"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11</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val="0"/>
                <w:bCs w:val="0"/>
                <w:i w:val="0"/>
                <w:color w:val="000000"/>
                <w:kern w:val="2"/>
                <w:sz w:val="21"/>
                <w:szCs w:val="21"/>
                <w:u w:val="none"/>
                <w:lang w:val="en-US" w:eastAsia="zh-CN" w:bidi="ar-SA"/>
              </w:rPr>
            </w:pPr>
            <w:r>
              <w:rPr>
                <w:rFonts w:hint="default" w:ascii="Times New Roman" w:hAnsi="Times New Roman" w:eastAsia="宋体" w:cs="Times New Roman"/>
                <w:b w:val="0"/>
                <w:bCs w:val="0"/>
                <w:i w:val="0"/>
                <w:color w:val="000000"/>
                <w:kern w:val="0"/>
                <w:sz w:val="21"/>
                <w:szCs w:val="21"/>
                <w:u w:val="none"/>
                <w:lang w:val="en-US" w:eastAsia="zh-CN" w:bidi="ar"/>
              </w:rPr>
              <w:t>环卫设施</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val="0"/>
                <w:bCs w:val="0"/>
                <w:i w:val="0"/>
                <w:color w:val="000000"/>
                <w:kern w:val="2"/>
                <w:sz w:val="21"/>
                <w:szCs w:val="21"/>
                <w:u w:val="none"/>
                <w:lang w:val="en-US" w:eastAsia="zh-CN" w:bidi="ar-SA"/>
              </w:rPr>
            </w:pPr>
            <w:r>
              <w:rPr>
                <w:rFonts w:hint="default" w:ascii="Times New Roman" w:hAnsi="Times New Roman" w:eastAsia="宋体" w:cs="Times New Roman"/>
                <w:b w:val="0"/>
                <w:bCs w:val="0"/>
                <w:i w:val="0"/>
                <w:color w:val="000000"/>
                <w:kern w:val="0"/>
                <w:sz w:val="21"/>
                <w:szCs w:val="21"/>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292</w:t>
            </w:r>
          </w:p>
        </w:tc>
      </w:tr>
      <w:tr>
        <w:tblPrEx>
          <w:tblCellMar>
            <w:top w:w="0" w:type="dxa"/>
            <w:left w:w="0" w:type="dxa"/>
            <w:bottom w:w="0" w:type="dxa"/>
            <w:right w:w="0" w:type="dxa"/>
          </w:tblCellMar>
        </w:tblPrEx>
        <w:trPr>
          <w:trHeight w:val="337"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12</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eastAsia" w:ascii="Times New Roman" w:hAnsi="Times New Roman" w:eastAsia="宋体" w:cs="Times New Roman"/>
                <w:b w:val="0"/>
                <w:bCs w:val="0"/>
                <w:i w:val="0"/>
                <w:color w:val="000000"/>
                <w:sz w:val="21"/>
                <w:szCs w:val="21"/>
                <w:u w:val="none"/>
                <w:lang w:eastAsia="zh-CN"/>
              </w:rPr>
            </w:pPr>
            <w:r>
              <w:rPr>
                <w:rFonts w:hint="eastAsia" w:ascii="Times New Roman" w:hAnsi="Times New Roman" w:eastAsia="宋体" w:cs="Times New Roman"/>
                <w:b w:val="0"/>
                <w:bCs w:val="0"/>
                <w:i w:val="0"/>
                <w:color w:val="000000"/>
                <w:sz w:val="21"/>
                <w:szCs w:val="21"/>
                <w:u w:val="none"/>
                <w:lang w:eastAsia="zh-CN"/>
              </w:rPr>
              <w:t>砌筑工程</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Style w:val="20"/>
                <w:rFonts w:hint="eastAsia" w:ascii="Times New Roman" w:hAnsi="Times New Roman" w:eastAsia="宋体" w:cs="Times New Roman"/>
                <w:b w:val="0"/>
                <w:bCs w:val="0"/>
                <w:sz w:val="21"/>
                <w:szCs w:val="21"/>
                <w:lang w:val="en-US" w:eastAsia="zh-CN" w:bidi="ar"/>
              </w:rPr>
              <w:t>m</w:t>
            </w:r>
            <w:r>
              <w:rPr>
                <w:rFonts w:hint="eastAsia" w:ascii="Times New Roman" w:hAnsi="Times New Roman" w:eastAsia="宋体" w:cs="Times New Roman"/>
                <w:b w:val="0"/>
                <w:bCs w:val="0"/>
                <w:i w:val="0"/>
                <w:color w:val="000000"/>
                <w:kern w:val="0"/>
                <w:sz w:val="21"/>
                <w:szCs w:val="21"/>
                <w:u w:val="none"/>
                <w:vertAlign w:val="superscript"/>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17000.00</w:t>
            </w:r>
          </w:p>
        </w:tc>
      </w:tr>
      <w:tr>
        <w:tblPrEx>
          <w:tblCellMar>
            <w:top w:w="0" w:type="dxa"/>
            <w:left w:w="0" w:type="dxa"/>
            <w:bottom w:w="0" w:type="dxa"/>
            <w:right w:w="0" w:type="dxa"/>
          </w:tblCellMar>
        </w:tblPrEx>
        <w:trPr>
          <w:trHeight w:val="337"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13</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eastAsia" w:ascii="Times New Roman" w:hAnsi="Times New Roman" w:eastAsia="宋体" w:cs="Times New Roman"/>
                <w:b w:val="0"/>
                <w:bCs w:val="0"/>
                <w:i w:val="0"/>
                <w:color w:val="000000"/>
                <w:sz w:val="21"/>
                <w:szCs w:val="21"/>
                <w:u w:val="none"/>
                <w:lang w:eastAsia="zh-CN"/>
              </w:rPr>
            </w:pPr>
            <w:r>
              <w:rPr>
                <w:rFonts w:hint="eastAsia" w:ascii="Times New Roman" w:hAnsi="Times New Roman" w:eastAsia="宋体" w:cs="Times New Roman"/>
                <w:b w:val="0"/>
                <w:bCs w:val="0"/>
                <w:i w:val="0"/>
                <w:color w:val="000000"/>
                <w:sz w:val="21"/>
                <w:szCs w:val="21"/>
                <w:u w:val="none"/>
                <w:lang w:eastAsia="zh-CN"/>
              </w:rPr>
              <w:t>桥梁工程</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val="0"/>
                <w:bCs w:val="0"/>
                <w:i w:val="0"/>
                <w:color w:val="000000"/>
                <w:sz w:val="21"/>
                <w:szCs w:val="21"/>
                <w:u w:val="none"/>
              </w:rPr>
            </w:pPr>
            <w:r>
              <w:rPr>
                <w:rStyle w:val="20"/>
                <w:rFonts w:hint="default" w:ascii="Times New Roman" w:hAnsi="Times New Roman" w:eastAsia="宋体" w:cs="Times New Roman"/>
                <w:b w:val="0"/>
                <w:bCs w:val="0"/>
                <w:sz w:val="21"/>
                <w:szCs w:val="21"/>
                <w:lang w:val="en-US" w:eastAsia="zh-CN" w:bidi="ar"/>
              </w:rPr>
              <w:t>m</w:t>
            </w:r>
            <w:r>
              <w:rPr>
                <w:rFonts w:hint="default" w:ascii="Times New Roman" w:hAnsi="Times New Roman" w:eastAsia="宋体" w:cs="Times New Roman"/>
                <w:b w:val="0"/>
                <w:bCs w:val="0"/>
                <w:i w:val="0"/>
                <w:color w:val="000000"/>
                <w:kern w:val="0"/>
                <w:sz w:val="21"/>
                <w:szCs w:val="21"/>
                <w:u w:val="none"/>
                <w:vertAlign w:val="superscript"/>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23400.00</w:t>
            </w:r>
          </w:p>
        </w:tc>
      </w:tr>
      <w:tr>
        <w:tblPrEx>
          <w:tblCellMar>
            <w:top w:w="0" w:type="dxa"/>
            <w:left w:w="0" w:type="dxa"/>
            <w:bottom w:w="0" w:type="dxa"/>
            <w:right w:w="0" w:type="dxa"/>
          </w:tblCellMar>
        </w:tblPrEx>
        <w:trPr>
          <w:trHeight w:val="337"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14</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kern w:val="2"/>
                <w:sz w:val="21"/>
                <w:szCs w:val="21"/>
                <w:u w:val="none"/>
                <w:lang w:val="en-US" w:eastAsia="zh-CN" w:bidi="ar-SA"/>
              </w:rPr>
            </w:pPr>
            <w:r>
              <w:rPr>
                <w:rFonts w:hint="default" w:ascii="Times New Roman" w:hAnsi="Times New Roman" w:eastAsia="宋体" w:cs="Times New Roman"/>
                <w:b w:val="0"/>
                <w:bCs w:val="0"/>
                <w:i w:val="0"/>
                <w:color w:val="000000"/>
                <w:kern w:val="0"/>
                <w:sz w:val="21"/>
                <w:szCs w:val="21"/>
                <w:u w:val="none"/>
                <w:lang w:val="en-US" w:eastAsia="zh-CN" w:bidi="ar"/>
              </w:rPr>
              <w:t>占地面积</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kern w:val="2"/>
                <w:sz w:val="21"/>
                <w:szCs w:val="21"/>
                <w:u w:val="none"/>
                <w:lang w:val="en-US" w:eastAsia="zh-CN" w:bidi="ar-SA"/>
              </w:rPr>
            </w:pPr>
            <w:r>
              <w:rPr>
                <w:rStyle w:val="20"/>
                <w:rFonts w:hint="default" w:ascii="Times New Roman" w:hAnsi="Times New Roman" w:eastAsia="宋体" w:cs="Times New Roman"/>
                <w:b w:val="0"/>
                <w:bCs w:val="0"/>
                <w:sz w:val="21"/>
                <w:szCs w:val="21"/>
                <w:lang w:val="en-US" w:eastAsia="zh-CN" w:bidi="ar"/>
              </w:rPr>
              <w:t>hm</w:t>
            </w:r>
            <w:r>
              <w:rPr>
                <w:rFonts w:hint="default" w:ascii="Times New Roman" w:hAnsi="Times New Roman" w:eastAsia="宋体" w:cs="Times New Roman"/>
                <w:b w:val="0"/>
                <w:bCs w:val="0"/>
                <w:i w:val="0"/>
                <w:color w:val="000000"/>
                <w:kern w:val="0"/>
                <w:sz w:val="21"/>
                <w:szCs w:val="21"/>
                <w:u w:val="none"/>
                <w:vertAlign w:val="superscript"/>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val="0"/>
                <w:bCs w:val="0"/>
                <w:i w:val="0"/>
                <w:color w:val="000000"/>
                <w:sz w:val="21"/>
                <w:szCs w:val="21"/>
                <w:u w:val="none"/>
                <w:lang w:val="en-US" w:eastAsia="zh-CN"/>
              </w:rPr>
            </w:pPr>
            <w:r>
              <w:rPr>
                <w:rFonts w:hint="eastAsia" w:ascii="Times New Roman" w:hAnsi="Times New Roman" w:eastAsia="宋体" w:cs="Times New Roman"/>
                <w:b w:val="0"/>
                <w:bCs w:val="0"/>
                <w:i w:val="0"/>
                <w:color w:val="000000"/>
                <w:sz w:val="21"/>
                <w:szCs w:val="21"/>
                <w:u w:val="none"/>
                <w:lang w:val="en-US" w:eastAsia="zh-CN"/>
              </w:rPr>
              <w:t>77.80</w:t>
            </w:r>
          </w:p>
        </w:tc>
      </w:tr>
    </w:tbl>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路面工程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路面结构采用沥青路面：62cm=5cmAC-13沥青吐(I型改性沥青)+5cmAC-20沥青杜(I型)+玻璃纤维格栅一层((BJG80×80，搭接系数1.05)+7cmAC-30沥青9(Ⅱ型)+30cm5%水泥稳定碎石+15cm级配碎石，在面层与面层之间、面层与基层之间分别设置粘层、透层沥青。</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人行道结构：5cm人行道彩砖；2cml:3水泥砂浆；10cmC10素混凝土；10cm填隙碎石，总厚27cm。</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横断面设计：60m=6.0m人行道+7.0m慢车道+2.0m绿化带+12.0m机动车道+6.0m绿化带+12.0m机动车道+2.0m绿化带+7.0m慢车道+6.0m人行道，详见平面图</w:t>
      </w:r>
      <w:r>
        <w:rPr>
          <w:rFonts w:hint="eastAsia" w:ascii="Times New Roman" w:hAnsi="Times New Roman" w:eastAsia="宋体" w:cs="Times New Roman"/>
          <w:sz w:val="24"/>
          <w:szCs w:val="24"/>
          <w:lang w:val="en-US" w:eastAsia="zh-CN"/>
        </w:rPr>
        <w:t>2.3.2-1</w:t>
      </w:r>
      <w:r>
        <w:rPr>
          <w:rFonts w:hint="default" w:ascii="Times New Roman" w:hAnsi="Times New Roman" w:eastAsia="宋体" w:cs="Times New Roman"/>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drawing>
          <wp:inline distT="0" distB="0" distL="114300" distR="114300">
            <wp:extent cx="5259705" cy="1238885"/>
            <wp:effectExtent l="0" t="0" r="17145" b="18415"/>
            <wp:docPr id="57" name="图片 57" descr="IMG_20200728_18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IMG_20200728_181425"/>
                    <pic:cNvPicPr>
                      <a:picLocks noChangeAspect="1"/>
                    </pic:cNvPicPr>
                  </pic:nvPicPr>
                  <pic:blipFill>
                    <a:blip r:embed="rId43"/>
                    <a:stretch>
                      <a:fillRect/>
                    </a:stretch>
                  </pic:blipFill>
                  <pic:spPr>
                    <a:xfrm>
                      <a:off x="0" y="0"/>
                      <a:ext cx="5259705" cy="123888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图</w:t>
      </w:r>
      <w:r>
        <w:rPr>
          <w:rFonts w:hint="eastAsia" w:ascii="Times New Roman" w:hAnsi="Times New Roman" w:eastAsia="宋体" w:cs="Times New Roman"/>
          <w:sz w:val="24"/>
          <w:szCs w:val="24"/>
          <w:lang w:val="en-US" w:eastAsia="zh-CN"/>
        </w:rPr>
        <w:t>2.3.2-1 项目横断面布置图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（2）路基工程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路堤边坡坡率根据填料性质，边坡高度和基底地质条件同排水及防护工程综合考虑确定；一般填方路基，当路堤高度小于等于12m时，边坡率1：1.5；当路堤高度大于12m时，采用台阶式边坡，从上至下每8m分一级，级与级中间设2m宽的平台，边坡率均采用1：1.5。坡脚设置护坡道，宽度2.0m。</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路堑方案主要根据岩土性质、水文条件、边坡高度等结合路堑排水及防护工程经综合考虑后进行设计</w:t>
      </w:r>
      <w:r>
        <w:rPr>
          <w:rFonts w:hint="eastAsia" w:ascii="Times New Roman" w:hAnsi="Times New Roman" w:eastAsia="宋体" w:cs="Times New Roman"/>
          <w:sz w:val="24"/>
          <w:szCs w:val="24"/>
          <w:lang w:val="en-US" w:eastAsia="zh-CN"/>
        </w:rPr>
        <w:t>并实施</w:t>
      </w:r>
      <w:r>
        <w:rPr>
          <w:rFonts w:hint="default" w:ascii="Times New Roman" w:hAnsi="Times New Roman" w:eastAsia="宋体" w:cs="Times New Roman"/>
          <w:sz w:val="24"/>
          <w:szCs w:val="24"/>
          <w:lang w:val="en-US" w:eastAsia="zh-CN"/>
        </w:rPr>
        <w:t>。采用台阶式边坡，边坡平台宽2.0m，每级高度8m，边坡坡率一般按以下原则确定：弱～微风化岩层边坡坡率1：0.35～0.5，强风化岩层边坡率1：0.5～0.75，全风化岩层及土质边坡坡率1：1～1：1.25。坡脚设置碎落台，宽1m。</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（3）交叉工程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本道路交叉口主要有：起点与</w:t>
      </w:r>
      <w:r>
        <w:rPr>
          <w:rFonts w:hint="eastAsia" w:ascii="Times New Roman" w:hAnsi="Times New Roman" w:eastAsia="宋体" w:cs="Times New Roman"/>
          <w:sz w:val="24"/>
          <w:szCs w:val="24"/>
          <w:lang w:val="en-US" w:eastAsia="zh-CN"/>
        </w:rPr>
        <w:t>长岭北路、金岭路</w:t>
      </w:r>
      <w:r>
        <w:rPr>
          <w:rFonts w:hint="default" w:ascii="Times New Roman" w:hAnsi="Times New Roman" w:eastAsia="宋体" w:cs="Times New Roman"/>
          <w:sz w:val="24"/>
          <w:szCs w:val="24"/>
          <w:lang w:val="en-US" w:eastAsia="zh-CN"/>
        </w:rPr>
        <w:t>相交，向</w:t>
      </w:r>
      <w:r>
        <w:rPr>
          <w:rFonts w:hint="eastAsia" w:ascii="Times New Roman" w:hAnsi="Times New Roman" w:eastAsia="宋体" w:cs="Times New Roman"/>
          <w:sz w:val="24"/>
          <w:szCs w:val="24"/>
          <w:lang w:val="en-US" w:eastAsia="zh-CN"/>
        </w:rPr>
        <w:t>北</w:t>
      </w:r>
      <w:r>
        <w:rPr>
          <w:rFonts w:hint="default" w:ascii="Times New Roman" w:hAnsi="Times New Roman" w:eastAsia="宋体" w:cs="Times New Roman"/>
          <w:sz w:val="24"/>
          <w:szCs w:val="24"/>
          <w:lang w:val="en-US" w:eastAsia="zh-CN"/>
        </w:rPr>
        <w:t>分别与</w:t>
      </w:r>
      <w:r>
        <w:rPr>
          <w:rFonts w:hint="eastAsia" w:ascii="Times New Roman" w:hAnsi="Times New Roman" w:eastAsia="宋体" w:cs="Times New Roman"/>
          <w:sz w:val="24"/>
          <w:szCs w:val="24"/>
          <w:lang w:val="en-US" w:eastAsia="zh-CN"/>
        </w:rPr>
        <w:t>白云大道、铁路、公路规划行政道路等32个交叉口。与铁路分离式相交，与白云大道跨线立交</w:t>
      </w:r>
      <w:r>
        <w:rPr>
          <w:rFonts w:hint="default" w:ascii="Times New Roman" w:hAnsi="Times New Roman" w:eastAsia="宋体" w:cs="Times New Roman"/>
          <w:sz w:val="24"/>
          <w:szCs w:val="24"/>
          <w:lang w:val="en-US" w:eastAsia="zh-CN"/>
        </w:rPr>
        <w:t>，其余均为红绿灯控制平交口。</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（4）桥梁工程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表2.3.2-2 项目桥梁工程</w:t>
      </w:r>
    </w:p>
    <w:tbl>
      <w:tblPr>
        <w:tblStyle w:val="9"/>
        <w:tblW w:w="899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81"/>
        <w:gridCol w:w="1727"/>
        <w:gridCol w:w="1932"/>
        <w:gridCol w:w="1388"/>
        <w:gridCol w:w="1893"/>
        <w:gridCol w:w="107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1" w:hRule="atLeast"/>
          <w:jc w:val="center"/>
        </w:trPr>
        <w:tc>
          <w:tcPr>
            <w:tcW w:w="981"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b/>
                <w:sz w:val="21"/>
              </w:rPr>
            </w:pPr>
            <w:r>
              <w:rPr>
                <w:rFonts w:hint="eastAsia" w:ascii="宋体" w:eastAsia="宋体"/>
                <w:b/>
                <w:sz w:val="21"/>
              </w:rPr>
              <w:t>序号</w:t>
            </w:r>
          </w:p>
        </w:tc>
        <w:tc>
          <w:tcPr>
            <w:tcW w:w="1727"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b/>
                <w:sz w:val="21"/>
              </w:rPr>
            </w:pPr>
            <w:r>
              <w:rPr>
                <w:rFonts w:hint="eastAsia" w:ascii="宋体" w:eastAsia="宋体"/>
                <w:b/>
                <w:sz w:val="21"/>
              </w:rPr>
              <w:t>名称</w:t>
            </w:r>
          </w:p>
        </w:tc>
        <w:tc>
          <w:tcPr>
            <w:tcW w:w="1932"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Times New Roman" w:eastAsia="宋体" w:cs="Times New Roman"/>
                <w:b/>
                <w:kern w:val="2"/>
                <w:sz w:val="21"/>
                <w:szCs w:val="24"/>
                <w:lang w:val="zh-CN" w:eastAsia="zh-CN" w:bidi="zh-CN"/>
              </w:rPr>
            </w:pPr>
            <w:r>
              <w:rPr>
                <w:rFonts w:hint="eastAsia" w:ascii="宋体" w:eastAsia="宋体"/>
                <w:b/>
                <w:sz w:val="21"/>
              </w:rPr>
              <w:t>桩号</w:t>
            </w:r>
          </w:p>
        </w:tc>
        <w:tc>
          <w:tcPr>
            <w:tcW w:w="1388"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b/>
                <w:sz w:val="21"/>
              </w:rPr>
            </w:pPr>
            <w:r>
              <w:rPr>
                <w:rFonts w:hint="eastAsia" w:ascii="宋体" w:eastAsia="宋体"/>
                <w:b/>
                <w:sz w:val="21"/>
              </w:rPr>
              <w:t>桥面长度</w:t>
            </w:r>
          </w:p>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b/>
                <w:sz w:val="21"/>
              </w:rPr>
            </w:pPr>
            <w:r>
              <w:rPr>
                <w:rFonts w:hint="eastAsia" w:ascii="宋体" w:eastAsia="宋体"/>
                <w:b/>
                <w:sz w:val="21"/>
              </w:rPr>
              <w:t>（</w:t>
            </w:r>
            <w:r>
              <w:rPr>
                <w:b/>
                <w:sz w:val="21"/>
              </w:rPr>
              <w:t>m</w:t>
            </w:r>
            <w:r>
              <w:rPr>
                <w:rFonts w:hint="eastAsia" w:ascii="宋体" w:eastAsia="宋体"/>
                <w:b/>
                <w:sz w:val="21"/>
              </w:rPr>
              <w:t>）</w:t>
            </w:r>
          </w:p>
        </w:tc>
        <w:tc>
          <w:tcPr>
            <w:tcW w:w="189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宋体" w:eastAsia="宋体"/>
                <w:b/>
                <w:sz w:val="21"/>
                <w:lang w:val="en-US" w:eastAsia="zh-CN"/>
              </w:rPr>
            </w:pPr>
            <w:r>
              <w:rPr>
                <w:rFonts w:hint="eastAsia" w:ascii="宋体" w:eastAsia="宋体"/>
                <w:b/>
                <w:sz w:val="21"/>
                <w:lang w:val="en-US" w:eastAsia="zh-CN"/>
              </w:rPr>
              <w:t>结构形式</w:t>
            </w:r>
          </w:p>
        </w:tc>
        <w:tc>
          <w:tcPr>
            <w:tcW w:w="107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b/>
                <w:sz w:val="21"/>
                <w:lang w:eastAsia="zh-CN"/>
              </w:rPr>
            </w:pPr>
            <w:r>
              <w:rPr>
                <w:rFonts w:hint="eastAsia" w:ascii="宋体" w:eastAsia="宋体"/>
                <w:b/>
                <w:sz w:val="21"/>
                <w:lang w:eastAsia="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1" w:hRule="atLeast"/>
          <w:jc w:val="center"/>
        </w:trPr>
        <w:tc>
          <w:tcPr>
            <w:tcW w:w="981"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sz w:val="21"/>
              </w:rPr>
            </w:pPr>
            <w:r>
              <w:rPr>
                <w:w w:val="99"/>
                <w:sz w:val="21"/>
              </w:rPr>
              <w:t>1</w:t>
            </w:r>
          </w:p>
        </w:tc>
        <w:tc>
          <w:tcPr>
            <w:tcW w:w="1727"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Times New Roman" w:eastAsia="宋体" w:cs="Times New Roman"/>
                <w:kern w:val="2"/>
                <w:sz w:val="21"/>
                <w:szCs w:val="24"/>
                <w:lang w:val="zh-CN" w:eastAsia="zh-CN" w:bidi="zh-CN"/>
              </w:rPr>
            </w:pPr>
            <w:r>
              <w:rPr>
                <w:rFonts w:hint="eastAsia" w:ascii="宋体" w:eastAsia="宋体" w:cs="Times New Roman"/>
                <w:kern w:val="2"/>
                <w:sz w:val="21"/>
                <w:szCs w:val="24"/>
                <w:lang w:val="zh-CN" w:eastAsia="zh-CN" w:bidi="zh-CN"/>
              </w:rPr>
              <w:t>跨白云大道、艳山红铁路编组站桥</w:t>
            </w:r>
          </w:p>
        </w:tc>
        <w:tc>
          <w:tcPr>
            <w:tcW w:w="1932"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4"/>
                <w:lang w:val="en-US" w:eastAsia="zh-CN" w:bidi="zh-CN"/>
              </w:rPr>
            </w:pPr>
            <w:r>
              <w:rPr>
                <w:sz w:val="21"/>
              </w:rPr>
              <w:t>K</w:t>
            </w:r>
            <w:r>
              <w:rPr>
                <w:rFonts w:hint="eastAsia" w:eastAsia="宋体"/>
                <w:sz w:val="21"/>
                <w:lang w:val="en-US" w:eastAsia="zh-CN"/>
              </w:rPr>
              <w:t>0+909~K1+317.5</w:t>
            </w:r>
          </w:p>
        </w:tc>
        <w:tc>
          <w:tcPr>
            <w:tcW w:w="1388"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eastAsia="宋体"/>
                <w:sz w:val="21"/>
                <w:lang w:val="en-US" w:eastAsia="zh-CN"/>
              </w:rPr>
            </w:pPr>
            <w:r>
              <w:rPr>
                <w:rFonts w:hint="eastAsia" w:eastAsia="宋体"/>
                <w:sz w:val="21"/>
                <w:lang w:val="en-US" w:eastAsia="zh-CN"/>
              </w:rPr>
              <w:t>408.5</w:t>
            </w:r>
          </w:p>
        </w:tc>
        <w:tc>
          <w:tcPr>
            <w:tcW w:w="189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eastAsia="宋体"/>
                <w:sz w:val="21"/>
                <w:lang w:val="en-US" w:eastAsia="zh-CN"/>
              </w:rPr>
            </w:pPr>
            <w:r>
              <w:rPr>
                <w:rFonts w:hint="eastAsia" w:eastAsia="宋体"/>
                <w:sz w:val="21"/>
                <w:lang w:val="en-US" w:eastAsia="zh-CN"/>
              </w:rPr>
              <w:t>等截面预应力砼简支空心板</w:t>
            </w:r>
          </w:p>
        </w:tc>
        <w:tc>
          <w:tcPr>
            <w:tcW w:w="107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sz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9" w:hRule="atLeast"/>
          <w:jc w:val="center"/>
        </w:trPr>
        <w:tc>
          <w:tcPr>
            <w:tcW w:w="981"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sz w:val="21"/>
              </w:rPr>
            </w:pPr>
            <w:r>
              <w:rPr>
                <w:w w:val="99"/>
                <w:sz w:val="21"/>
              </w:rPr>
              <w:t>2</w:t>
            </w:r>
          </w:p>
        </w:tc>
        <w:tc>
          <w:tcPr>
            <w:tcW w:w="1727"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kern w:val="2"/>
                <w:sz w:val="21"/>
                <w:szCs w:val="24"/>
                <w:lang w:val="zh-CN" w:eastAsia="zh-CN" w:bidi="zh-CN"/>
              </w:rPr>
            </w:pPr>
            <w:r>
              <w:rPr>
                <w:rFonts w:hint="eastAsia" w:ascii="宋体" w:hAnsi="宋体" w:eastAsia="宋体" w:cs="宋体"/>
                <w:kern w:val="2"/>
                <w:sz w:val="21"/>
                <w:szCs w:val="24"/>
                <w:lang w:val="zh-CN" w:eastAsia="zh-CN" w:bidi="zh-CN"/>
              </w:rPr>
              <w:t>跨绕城高速桥</w:t>
            </w:r>
          </w:p>
        </w:tc>
        <w:tc>
          <w:tcPr>
            <w:tcW w:w="1932"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4"/>
                <w:lang w:val="en-US" w:eastAsia="zh-CN" w:bidi="zh-CN"/>
              </w:rPr>
            </w:pPr>
            <w:r>
              <w:rPr>
                <w:sz w:val="21"/>
              </w:rPr>
              <w:t>K</w:t>
            </w:r>
            <w:r>
              <w:rPr>
                <w:rFonts w:hint="eastAsia" w:eastAsia="宋体"/>
                <w:sz w:val="21"/>
                <w:lang w:val="en-US" w:eastAsia="zh-CN"/>
              </w:rPr>
              <w:t>4+808~K4+858</w:t>
            </w:r>
          </w:p>
        </w:tc>
        <w:tc>
          <w:tcPr>
            <w:tcW w:w="1388"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sz w:val="21"/>
                <w:lang w:val="en-US"/>
              </w:rPr>
            </w:pPr>
            <w:r>
              <w:rPr>
                <w:rFonts w:hint="eastAsia" w:eastAsia="宋体"/>
                <w:sz w:val="21"/>
                <w:lang w:val="en-US" w:eastAsia="zh-CN"/>
              </w:rPr>
              <w:t>50.0</w:t>
            </w:r>
          </w:p>
        </w:tc>
        <w:tc>
          <w:tcPr>
            <w:tcW w:w="189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eastAsia="宋体"/>
                <w:sz w:val="21"/>
                <w:lang w:val="en-US" w:eastAsia="zh-CN"/>
              </w:rPr>
            </w:pPr>
            <w:r>
              <w:rPr>
                <w:rFonts w:hint="eastAsia" w:eastAsia="宋体"/>
                <w:sz w:val="21"/>
                <w:lang w:val="en-US" w:eastAsia="zh-CN"/>
              </w:rPr>
              <w:t>预应力混凝土T型梁</w:t>
            </w:r>
          </w:p>
        </w:tc>
        <w:tc>
          <w:tcPr>
            <w:tcW w:w="107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11" w:hRule="atLeast"/>
          <w:jc w:val="center"/>
        </w:trPr>
        <w:tc>
          <w:tcPr>
            <w:tcW w:w="981"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sz w:val="21"/>
              </w:rPr>
            </w:pPr>
            <w:r>
              <w:rPr>
                <w:w w:val="99"/>
                <w:sz w:val="21"/>
              </w:rPr>
              <w:t>3</w:t>
            </w:r>
          </w:p>
        </w:tc>
        <w:tc>
          <w:tcPr>
            <w:tcW w:w="1727"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Times New Roman" w:eastAsia="宋体" w:cs="Times New Roman"/>
                <w:kern w:val="2"/>
                <w:sz w:val="21"/>
                <w:szCs w:val="24"/>
                <w:lang w:val="zh-CN" w:eastAsia="zh-CN" w:bidi="zh-CN"/>
              </w:rPr>
            </w:pPr>
            <w:r>
              <w:rPr>
                <w:rFonts w:hint="eastAsia" w:ascii="宋体" w:eastAsia="宋体" w:cs="Times New Roman"/>
                <w:kern w:val="2"/>
                <w:sz w:val="21"/>
                <w:szCs w:val="24"/>
                <w:lang w:val="zh-CN" w:eastAsia="zh-CN" w:bidi="zh-CN"/>
              </w:rPr>
              <w:t>金苏大道桥</w:t>
            </w:r>
          </w:p>
        </w:tc>
        <w:tc>
          <w:tcPr>
            <w:tcW w:w="1932"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4"/>
                <w:lang w:val="en-US" w:eastAsia="zh-CN" w:bidi="zh-CN"/>
              </w:rPr>
            </w:pPr>
            <w:r>
              <w:rPr>
                <w:sz w:val="21"/>
              </w:rPr>
              <w:t>K</w:t>
            </w:r>
            <w:r>
              <w:rPr>
                <w:rFonts w:hint="eastAsia" w:eastAsia="宋体"/>
                <w:sz w:val="21"/>
                <w:lang w:val="en-US" w:eastAsia="zh-CN"/>
              </w:rPr>
              <w:t>7+607~K7+658</w:t>
            </w:r>
          </w:p>
        </w:tc>
        <w:tc>
          <w:tcPr>
            <w:tcW w:w="1388"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sz w:val="21"/>
                <w:lang w:val="en-US"/>
              </w:rPr>
            </w:pPr>
            <w:r>
              <w:rPr>
                <w:rFonts w:hint="eastAsia" w:eastAsia="宋体"/>
                <w:sz w:val="21"/>
                <w:lang w:val="en-US" w:eastAsia="zh-CN"/>
              </w:rPr>
              <w:t>51</w:t>
            </w:r>
          </w:p>
        </w:tc>
        <w:tc>
          <w:tcPr>
            <w:tcW w:w="189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eastAsia="宋体"/>
                <w:sz w:val="21"/>
                <w:lang w:val="en-US" w:eastAsia="zh-CN"/>
              </w:rPr>
            </w:pPr>
            <w:r>
              <w:rPr>
                <w:rFonts w:hint="eastAsia" w:eastAsia="宋体"/>
                <w:sz w:val="21"/>
                <w:lang w:val="en-US" w:eastAsia="zh-CN"/>
              </w:rPr>
              <w:t>简支预应力混凝土箱梁</w:t>
            </w:r>
          </w:p>
        </w:tc>
        <w:tc>
          <w:tcPr>
            <w:tcW w:w="107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sz w:val="21"/>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（5）沿线设施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本项目沿线建设有完善的排水系统，主要由边沟、排水沟、截水沟、检查井等组成，能有效截留本项目产生的污水，防止其对环境造成更大的影响。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本项目设置的交通设施包括警告标志、禁令标志、指示标志、导向标志、交通标线、防护设施等。在人行道及道路中间绿化带设置有双臂路灯，设置间距约为30米，能对道路进行有效照明。</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本项目在人行道种植有行道树，道路中间设有绿化带。沿线设置护栏、标志牌、信息板、环卫设施等。</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未设置专门的去料场，所需砂石、沥青等全部购买，设有1处永久弃土场以及4处临时弃土场，永久弃土场属于洼地，现已经过平整，规划为园区建设项目用地，4处临时弃土场现已恢复生态原貌或用于项目建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2"/>
        <w:rPr>
          <w:rFonts w:hint="default" w:ascii="Times New Roman" w:hAnsi="Times New Roman" w:eastAsia="宋体" w:cs="Times New Roman"/>
          <w:sz w:val="24"/>
          <w:szCs w:val="24"/>
          <w:lang w:val="en-US" w:eastAsia="zh-CN"/>
        </w:rPr>
      </w:pPr>
      <w:bookmarkStart w:id="23" w:name="_Toc8630"/>
      <w:r>
        <w:rPr>
          <w:rFonts w:hint="eastAsia" w:ascii="Times New Roman" w:hAnsi="Times New Roman" w:eastAsia="宋体" w:cs="Times New Roman"/>
          <w:sz w:val="24"/>
          <w:szCs w:val="24"/>
          <w:lang w:val="en-US" w:eastAsia="zh-CN"/>
        </w:rPr>
        <w:t>2.3.3项目工程量</w:t>
      </w:r>
      <w:bookmarkEnd w:id="23"/>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本项目建设道路639634.05m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lang w:val="en-US" w:eastAsia="zh-CN"/>
        </w:rPr>
        <w:t>，土石方量199.85m</w:t>
      </w:r>
      <w:r>
        <w:rPr>
          <w:rFonts w:hint="eastAsia" w:ascii="Times New Roman" w:hAnsi="Times New Roman" w:eastAsia="宋体" w:cs="Times New Roman"/>
          <w:sz w:val="24"/>
          <w:szCs w:val="24"/>
          <w:vertAlign w:val="superscript"/>
          <w:lang w:val="en-US" w:eastAsia="zh-CN"/>
        </w:rPr>
        <w:t>3</w:t>
      </w:r>
      <w:r>
        <w:rPr>
          <w:rFonts w:hint="eastAsia" w:ascii="Times New Roman" w:hAnsi="Times New Roman" w:eastAsia="宋体" w:cs="Times New Roman"/>
          <w:sz w:val="24"/>
          <w:szCs w:val="24"/>
          <w:lang w:val="en-US" w:eastAsia="zh-CN"/>
        </w:rPr>
        <w:t>，建设桥梁3座，永久性占地77.80hm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vertAlign w:val="baseline"/>
          <w:lang w:val="en-US" w:eastAsia="zh-CN"/>
        </w:rPr>
        <w:t>（其中16.41</w:t>
      </w:r>
      <w:r>
        <w:rPr>
          <w:rFonts w:hint="eastAsia" w:ascii="Times New Roman" w:hAnsi="Times New Roman" w:eastAsia="宋体" w:cs="Times New Roman"/>
          <w:sz w:val="24"/>
          <w:szCs w:val="24"/>
          <w:lang w:val="en-US" w:eastAsia="zh-CN"/>
        </w:rPr>
        <w:t>hm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vertAlign w:val="baseline"/>
          <w:lang w:val="en-US" w:eastAsia="zh-CN"/>
        </w:rPr>
        <w:t>为基本农田）。拆迁房屋93886m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vertAlign w:val="baseline"/>
          <w:lang w:val="en-US" w:eastAsia="zh-CN"/>
        </w:rPr>
        <w:t>，被拆迁626户约2100余人，企业10家。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2"/>
        <w:rPr>
          <w:rFonts w:hint="default" w:ascii="Times New Roman" w:hAnsi="Times New Roman" w:eastAsia="宋体" w:cs="Times New Roman"/>
          <w:sz w:val="24"/>
          <w:szCs w:val="24"/>
          <w:lang w:val="en-US" w:eastAsia="zh-CN"/>
        </w:rPr>
      </w:pPr>
      <w:bookmarkStart w:id="24" w:name="_Toc13520"/>
      <w:r>
        <w:rPr>
          <w:rFonts w:hint="eastAsia" w:ascii="Times New Roman" w:hAnsi="Times New Roman" w:eastAsia="宋体" w:cs="Times New Roman"/>
          <w:sz w:val="24"/>
          <w:szCs w:val="24"/>
          <w:lang w:val="en-US" w:eastAsia="zh-CN"/>
        </w:rPr>
        <w:t>2.3.4项目变更情况</w:t>
      </w:r>
      <w:bookmarkEnd w:id="24"/>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本项目基本按照环评报告书所列内容进行施工建设，无重大变更。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1"/>
        <w:rPr>
          <w:rFonts w:hint="default" w:ascii="Times New Roman" w:hAnsi="Times New Roman" w:eastAsia="宋体" w:cs="Times New Roman"/>
          <w:sz w:val="24"/>
          <w:szCs w:val="24"/>
          <w:lang w:val="en-US" w:eastAsia="zh-CN"/>
        </w:rPr>
      </w:pPr>
      <w:bookmarkStart w:id="25" w:name="_Toc12581"/>
      <w:r>
        <w:rPr>
          <w:rFonts w:hint="eastAsia" w:ascii="Times New Roman" w:hAnsi="Times New Roman" w:eastAsia="宋体" w:cs="Times New Roman"/>
          <w:sz w:val="24"/>
          <w:szCs w:val="24"/>
          <w:lang w:val="en-US" w:eastAsia="zh-CN"/>
        </w:rPr>
        <w:t>2.4交通量</w:t>
      </w:r>
      <w:bookmarkEnd w:id="25"/>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环评预测交通量见表2.4-1</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 xml:space="preserve">表2.4-1预测交通量  </w:t>
      </w:r>
      <w:r>
        <w:rPr>
          <w:rFonts w:hint="eastAsia" w:ascii="Times New Roman" w:hAnsi="Times New Roman" w:eastAsia="宋体" w:cs="Times New Roman"/>
          <w:sz w:val="21"/>
          <w:szCs w:val="21"/>
          <w:lang w:val="en-US" w:eastAsia="zh-CN"/>
        </w:rPr>
        <w:t>单位：辆/h</w:t>
      </w:r>
    </w:p>
    <w:tbl>
      <w:tblPr>
        <w:tblStyle w:val="1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2"/>
        <w:gridCol w:w="952"/>
        <w:gridCol w:w="953"/>
        <w:gridCol w:w="952"/>
        <w:gridCol w:w="953"/>
        <w:gridCol w:w="952"/>
        <w:gridCol w:w="957"/>
        <w:gridCol w:w="11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车型</w:t>
            </w:r>
          </w:p>
        </w:tc>
        <w:tc>
          <w:tcPr>
            <w:tcW w:w="1905"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近期</w:t>
            </w:r>
          </w:p>
        </w:tc>
        <w:tc>
          <w:tcPr>
            <w:tcW w:w="1905"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中期</w:t>
            </w:r>
          </w:p>
        </w:tc>
        <w:tc>
          <w:tcPr>
            <w:tcW w:w="1907"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晚期</w:t>
            </w:r>
          </w:p>
        </w:tc>
        <w:tc>
          <w:tcPr>
            <w:tcW w:w="110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vertAlign w:val="baseline"/>
                <w:lang w:val="en-US" w:eastAsia="zh-CN"/>
              </w:rPr>
            </w:pPr>
          </w:p>
        </w:tc>
        <w:tc>
          <w:tcPr>
            <w:tcW w:w="1905"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2011年</w:t>
            </w:r>
          </w:p>
        </w:tc>
        <w:tc>
          <w:tcPr>
            <w:tcW w:w="1905"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2015年</w:t>
            </w:r>
          </w:p>
        </w:tc>
        <w:tc>
          <w:tcPr>
            <w:tcW w:w="1907"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2029年</w:t>
            </w:r>
          </w:p>
        </w:tc>
        <w:tc>
          <w:tcPr>
            <w:tcW w:w="110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vertAlign w:val="baseline"/>
                <w:lang w:val="en-US" w:eastAsia="zh-CN"/>
              </w:rPr>
            </w:pPr>
          </w:p>
        </w:tc>
        <w:tc>
          <w:tcPr>
            <w:tcW w:w="9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昼间</w:t>
            </w:r>
          </w:p>
        </w:tc>
        <w:tc>
          <w:tcPr>
            <w:tcW w:w="9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夜间</w:t>
            </w:r>
          </w:p>
        </w:tc>
        <w:tc>
          <w:tcPr>
            <w:tcW w:w="9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0" w:firstLineChars="0"/>
              <w:jc w:val="center"/>
              <w:textAlignment w:val="auto"/>
              <w:outlineLvl w:val="9"/>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昼间</w:t>
            </w:r>
          </w:p>
        </w:tc>
        <w:tc>
          <w:tcPr>
            <w:tcW w:w="9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0" w:firstLineChars="0"/>
              <w:jc w:val="center"/>
              <w:textAlignment w:val="auto"/>
              <w:outlineLvl w:val="9"/>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夜间</w:t>
            </w:r>
          </w:p>
        </w:tc>
        <w:tc>
          <w:tcPr>
            <w:tcW w:w="9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0" w:firstLineChars="0"/>
              <w:jc w:val="center"/>
              <w:textAlignment w:val="auto"/>
              <w:outlineLvl w:val="9"/>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昼间</w:t>
            </w:r>
          </w:p>
        </w:tc>
        <w:tc>
          <w:tcPr>
            <w:tcW w:w="95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0" w:firstLineChars="0"/>
              <w:jc w:val="center"/>
              <w:textAlignment w:val="auto"/>
              <w:outlineLvl w:val="9"/>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夜间</w:t>
            </w:r>
          </w:p>
        </w:tc>
        <w:tc>
          <w:tcPr>
            <w:tcW w:w="110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小型车</w:t>
            </w:r>
          </w:p>
        </w:tc>
        <w:tc>
          <w:tcPr>
            <w:tcW w:w="9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288</w:t>
            </w:r>
          </w:p>
        </w:tc>
        <w:tc>
          <w:tcPr>
            <w:tcW w:w="9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227</w:t>
            </w:r>
          </w:p>
        </w:tc>
        <w:tc>
          <w:tcPr>
            <w:tcW w:w="9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484</w:t>
            </w:r>
          </w:p>
        </w:tc>
        <w:tc>
          <w:tcPr>
            <w:tcW w:w="9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380</w:t>
            </w:r>
          </w:p>
        </w:tc>
        <w:tc>
          <w:tcPr>
            <w:tcW w:w="9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892</w:t>
            </w:r>
          </w:p>
        </w:tc>
        <w:tc>
          <w:tcPr>
            <w:tcW w:w="95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701</w:t>
            </w:r>
          </w:p>
        </w:tc>
        <w:tc>
          <w:tcPr>
            <w:tcW w:w="110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中型车</w:t>
            </w:r>
          </w:p>
        </w:tc>
        <w:tc>
          <w:tcPr>
            <w:tcW w:w="9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122</w:t>
            </w:r>
          </w:p>
        </w:tc>
        <w:tc>
          <w:tcPr>
            <w:tcW w:w="9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96</w:t>
            </w:r>
          </w:p>
        </w:tc>
        <w:tc>
          <w:tcPr>
            <w:tcW w:w="9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205</w:t>
            </w:r>
          </w:p>
        </w:tc>
        <w:tc>
          <w:tcPr>
            <w:tcW w:w="9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161</w:t>
            </w:r>
          </w:p>
        </w:tc>
        <w:tc>
          <w:tcPr>
            <w:tcW w:w="9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378</w:t>
            </w:r>
          </w:p>
        </w:tc>
        <w:tc>
          <w:tcPr>
            <w:tcW w:w="95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297</w:t>
            </w:r>
          </w:p>
        </w:tc>
        <w:tc>
          <w:tcPr>
            <w:tcW w:w="110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大型车</w:t>
            </w:r>
          </w:p>
        </w:tc>
        <w:tc>
          <w:tcPr>
            <w:tcW w:w="9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78</w:t>
            </w:r>
          </w:p>
        </w:tc>
        <w:tc>
          <w:tcPr>
            <w:tcW w:w="9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61</w:t>
            </w:r>
          </w:p>
        </w:tc>
        <w:tc>
          <w:tcPr>
            <w:tcW w:w="9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131</w:t>
            </w:r>
          </w:p>
        </w:tc>
        <w:tc>
          <w:tcPr>
            <w:tcW w:w="9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103</w:t>
            </w:r>
          </w:p>
        </w:tc>
        <w:tc>
          <w:tcPr>
            <w:tcW w:w="9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242</w:t>
            </w:r>
          </w:p>
        </w:tc>
        <w:tc>
          <w:tcPr>
            <w:tcW w:w="95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190</w:t>
            </w:r>
          </w:p>
        </w:tc>
        <w:tc>
          <w:tcPr>
            <w:tcW w:w="110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vertAlign w:val="baseline"/>
                <w:lang w:val="en-US" w:eastAsia="zh-CN"/>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根据2020年6月贵州明德工程咨询有限公司检测报告显示，本项目的实际车流量如下。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昼间：小型车160辆/小时，中型车123辆/小时，大型车12辆/小时；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夜间：小型车120辆/小时，中型车53辆/小时，大型车4辆/小时.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折合标准车流量（小型车）昼间达到近期（2011年）预测的57.7%，中期（2015年）预测的34.3%，远期（2029年）预测的18.6%；夜间达到近期（2011年）预测的39.5%，中期（2015年）预测的23.5%，远期（2029年）预测的12.8%。</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left"/>
        <w:textAlignment w:val="auto"/>
        <w:outlineLvl w:val="1"/>
        <w:rPr>
          <w:rFonts w:hint="default" w:ascii="Times New Roman" w:hAnsi="Times New Roman" w:eastAsia="宋体" w:cs="Times New Roman"/>
          <w:sz w:val="24"/>
          <w:szCs w:val="24"/>
          <w:lang w:val="en-US" w:eastAsia="zh-CN"/>
        </w:rPr>
      </w:pPr>
      <w:bookmarkStart w:id="26" w:name="_Toc3048"/>
      <w:r>
        <w:rPr>
          <w:rFonts w:hint="eastAsia" w:ascii="Times New Roman" w:hAnsi="Times New Roman" w:eastAsia="宋体" w:cs="Times New Roman"/>
          <w:sz w:val="24"/>
          <w:szCs w:val="24"/>
          <w:lang w:val="en-US" w:eastAsia="zh-CN"/>
        </w:rPr>
        <w:t>2.5 环保投资</w:t>
      </w:r>
      <w:bookmarkEnd w:id="26"/>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本项目直接环保投资3142.66万元（不计兼顾环保工程投资及运营期环保费用），项目总投资126361.24万元，总环保投资4889.56万元，占项目总投资的3.87%。</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lang w:val="en-US" w:eastAsia="zh-CN"/>
        </w:rPr>
        <w:t>表2.5-1直接环保投资一览表</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4"/>
        <w:gridCol w:w="2287"/>
        <w:gridCol w:w="1659"/>
        <w:gridCol w:w="1873"/>
        <w:gridCol w:w="18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8" w:hRule="atLeast"/>
        </w:trPr>
        <w:tc>
          <w:tcPr>
            <w:tcW w:w="78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序号</w:t>
            </w:r>
          </w:p>
        </w:tc>
        <w:tc>
          <w:tcPr>
            <w:tcW w:w="228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环保措施</w:t>
            </w:r>
          </w:p>
        </w:tc>
        <w:tc>
          <w:tcPr>
            <w:tcW w:w="165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数量</w:t>
            </w:r>
          </w:p>
        </w:tc>
        <w:tc>
          <w:tcPr>
            <w:tcW w:w="187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环评估算</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金额（万元）</w:t>
            </w:r>
          </w:p>
        </w:tc>
        <w:tc>
          <w:tcPr>
            <w:tcW w:w="187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实际投资</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金额（万元）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78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w:t>
            </w:r>
          </w:p>
        </w:tc>
        <w:tc>
          <w:tcPr>
            <w:tcW w:w="228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跨河桥梁污水系统</w:t>
            </w:r>
          </w:p>
        </w:tc>
        <w:tc>
          <w:tcPr>
            <w:tcW w:w="165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1处</w:t>
            </w:r>
          </w:p>
        </w:tc>
        <w:tc>
          <w:tcPr>
            <w:tcW w:w="187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10</w:t>
            </w:r>
          </w:p>
        </w:tc>
        <w:tc>
          <w:tcPr>
            <w:tcW w:w="187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78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w:t>
            </w:r>
          </w:p>
        </w:tc>
        <w:tc>
          <w:tcPr>
            <w:tcW w:w="228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固体废物收集处理</w:t>
            </w:r>
          </w:p>
        </w:tc>
        <w:tc>
          <w:tcPr>
            <w:tcW w:w="165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292个</w:t>
            </w:r>
          </w:p>
        </w:tc>
        <w:tc>
          <w:tcPr>
            <w:tcW w:w="187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29.2</w:t>
            </w:r>
          </w:p>
        </w:tc>
        <w:tc>
          <w:tcPr>
            <w:tcW w:w="187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23.36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8" w:hRule="atLeast"/>
        </w:trPr>
        <w:tc>
          <w:tcPr>
            <w:tcW w:w="78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3</w:t>
            </w:r>
          </w:p>
        </w:tc>
        <w:tc>
          <w:tcPr>
            <w:tcW w:w="228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声环境保护</w:t>
            </w:r>
          </w:p>
        </w:tc>
        <w:tc>
          <w:tcPr>
            <w:tcW w:w="165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沿线居民、学校、医院</w:t>
            </w:r>
          </w:p>
        </w:tc>
        <w:tc>
          <w:tcPr>
            <w:tcW w:w="187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144.8</w:t>
            </w:r>
          </w:p>
        </w:tc>
        <w:tc>
          <w:tcPr>
            <w:tcW w:w="187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97.65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8" w:hRule="atLeast"/>
        </w:trPr>
        <w:tc>
          <w:tcPr>
            <w:tcW w:w="78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4</w:t>
            </w:r>
          </w:p>
        </w:tc>
        <w:tc>
          <w:tcPr>
            <w:tcW w:w="228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主体工程中具有水土保持功能的设施</w:t>
            </w:r>
          </w:p>
        </w:tc>
        <w:tc>
          <w:tcPr>
            <w:tcW w:w="165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w:t>
            </w:r>
          </w:p>
        </w:tc>
        <w:tc>
          <w:tcPr>
            <w:tcW w:w="187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2250.98</w:t>
            </w:r>
          </w:p>
        </w:tc>
        <w:tc>
          <w:tcPr>
            <w:tcW w:w="187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2305.62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78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5</w:t>
            </w:r>
          </w:p>
        </w:tc>
        <w:tc>
          <w:tcPr>
            <w:tcW w:w="228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新增水土保持</w:t>
            </w:r>
          </w:p>
        </w:tc>
        <w:tc>
          <w:tcPr>
            <w:tcW w:w="165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w:t>
            </w:r>
          </w:p>
        </w:tc>
        <w:tc>
          <w:tcPr>
            <w:tcW w:w="187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717.01</w:t>
            </w:r>
          </w:p>
        </w:tc>
        <w:tc>
          <w:tcPr>
            <w:tcW w:w="187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703.23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78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6</w:t>
            </w:r>
          </w:p>
        </w:tc>
        <w:tc>
          <w:tcPr>
            <w:tcW w:w="3946"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合计</w:t>
            </w:r>
          </w:p>
        </w:tc>
        <w:tc>
          <w:tcPr>
            <w:tcW w:w="187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3151.99</w:t>
            </w:r>
          </w:p>
        </w:tc>
        <w:tc>
          <w:tcPr>
            <w:tcW w:w="187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3142.66</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表2.5-2兼顾环保工程投资一览表</w:t>
      </w:r>
    </w:p>
    <w:tbl>
      <w:tblPr>
        <w:tblStyle w:val="10"/>
        <w:tblW w:w="845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2"/>
        <w:gridCol w:w="1742"/>
        <w:gridCol w:w="1412"/>
        <w:gridCol w:w="1617"/>
        <w:gridCol w:w="1452"/>
        <w:gridCol w:w="14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7" w:hRule="atLeast"/>
        </w:trPr>
        <w:tc>
          <w:tcPr>
            <w:tcW w:w="78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序号</w:t>
            </w:r>
          </w:p>
        </w:tc>
        <w:tc>
          <w:tcPr>
            <w:tcW w:w="174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环保措施</w:t>
            </w:r>
          </w:p>
        </w:tc>
        <w:tc>
          <w:tcPr>
            <w:tcW w:w="141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项目</w:t>
            </w:r>
          </w:p>
        </w:tc>
        <w:tc>
          <w:tcPr>
            <w:tcW w:w="161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数量</w:t>
            </w:r>
          </w:p>
        </w:tc>
        <w:tc>
          <w:tcPr>
            <w:tcW w:w="14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环评预估</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金额（万元）</w:t>
            </w:r>
          </w:p>
        </w:tc>
        <w:tc>
          <w:tcPr>
            <w:tcW w:w="145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eastAsia"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实际投资</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eastAsia"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金额（万元）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782"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w:t>
            </w:r>
          </w:p>
        </w:tc>
        <w:tc>
          <w:tcPr>
            <w:tcW w:w="1742"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植物措施</w:t>
            </w:r>
          </w:p>
        </w:tc>
        <w:tc>
          <w:tcPr>
            <w:tcW w:w="141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植树种草</w:t>
            </w:r>
          </w:p>
        </w:tc>
        <w:tc>
          <w:tcPr>
            <w:tcW w:w="161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123275m</w:t>
            </w:r>
            <w:r>
              <w:rPr>
                <w:rFonts w:hint="eastAsia" w:ascii="Times New Roman" w:hAnsi="Times New Roman" w:eastAsia="宋体" w:cs="Times New Roman"/>
                <w:sz w:val="21"/>
                <w:szCs w:val="21"/>
                <w:vertAlign w:val="superscript"/>
                <w:lang w:val="en-US" w:eastAsia="zh-CN"/>
              </w:rPr>
              <w:t>2</w:t>
            </w:r>
          </w:p>
        </w:tc>
        <w:tc>
          <w:tcPr>
            <w:tcW w:w="1452"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2465.50</w:t>
            </w:r>
          </w:p>
        </w:tc>
        <w:tc>
          <w:tcPr>
            <w:tcW w:w="1453"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2514.50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78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pPr>
          </w:p>
        </w:tc>
        <w:tc>
          <w:tcPr>
            <w:tcW w:w="174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pPr>
          </w:p>
        </w:tc>
        <w:tc>
          <w:tcPr>
            <w:tcW w:w="141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行道树</w:t>
            </w:r>
          </w:p>
        </w:tc>
        <w:tc>
          <w:tcPr>
            <w:tcW w:w="161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2900棵</w:t>
            </w:r>
          </w:p>
        </w:tc>
        <w:tc>
          <w:tcPr>
            <w:tcW w:w="145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p>
        </w:tc>
        <w:tc>
          <w:tcPr>
            <w:tcW w:w="1453"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78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w:t>
            </w:r>
          </w:p>
        </w:tc>
        <w:tc>
          <w:tcPr>
            <w:tcW w:w="174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排水工程</w:t>
            </w:r>
          </w:p>
        </w:tc>
        <w:tc>
          <w:tcPr>
            <w:tcW w:w="141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截、排水沟</w:t>
            </w:r>
          </w:p>
        </w:tc>
        <w:tc>
          <w:tcPr>
            <w:tcW w:w="161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11.60km</w:t>
            </w:r>
          </w:p>
        </w:tc>
        <w:tc>
          <w:tcPr>
            <w:tcW w:w="14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3488.91</w:t>
            </w:r>
          </w:p>
        </w:tc>
        <w:tc>
          <w:tcPr>
            <w:tcW w:w="145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3512.33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78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3</w:t>
            </w:r>
          </w:p>
        </w:tc>
        <w:tc>
          <w:tcPr>
            <w:tcW w:w="174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土地、青苗补偿</w:t>
            </w:r>
          </w:p>
        </w:tc>
        <w:tc>
          <w:tcPr>
            <w:tcW w:w="141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征地</w:t>
            </w:r>
          </w:p>
        </w:tc>
        <w:tc>
          <w:tcPr>
            <w:tcW w:w="161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730亩</w:t>
            </w:r>
          </w:p>
        </w:tc>
        <w:tc>
          <w:tcPr>
            <w:tcW w:w="14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42150.00</w:t>
            </w:r>
          </w:p>
        </w:tc>
        <w:tc>
          <w:tcPr>
            <w:tcW w:w="145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45002.30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7" w:hRule="atLeast"/>
        </w:trPr>
        <w:tc>
          <w:tcPr>
            <w:tcW w:w="78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4</w:t>
            </w:r>
          </w:p>
        </w:tc>
        <w:tc>
          <w:tcPr>
            <w:tcW w:w="174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拆迁补偿</w:t>
            </w:r>
          </w:p>
        </w:tc>
        <w:tc>
          <w:tcPr>
            <w:tcW w:w="141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生产及生活按着</w:t>
            </w:r>
          </w:p>
        </w:tc>
        <w:tc>
          <w:tcPr>
            <w:tcW w:w="161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29394m</w:t>
            </w:r>
            <w:r>
              <w:rPr>
                <w:rFonts w:hint="eastAsia" w:ascii="Times New Roman" w:hAnsi="Times New Roman" w:eastAsia="宋体" w:cs="Times New Roman"/>
                <w:sz w:val="21"/>
                <w:szCs w:val="21"/>
                <w:vertAlign w:val="superscript"/>
                <w:lang w:val="en-US" w:eastAsia="zh-CN"/>
              </w:rPr>
              <w:t>2</w:t>
            </w:r>
          </w:p>
        </w:tc>
        <w:tc>
          <w:tcPr>
            <w:tcW w:w="14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13561.86</w:t>
            </w:r>
          </w:p>
        </w:tc>
        <w:tc>
          <w:tcPr>
            <w:tcW w:w="145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20013.40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trPr>
        <w:tc>
          <w:tcPr>
            <w:tcW w:w="78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5</w:t>
            </w:r>
          </w:p>
        </w:tc>
        <w:tc>
          <w:tcPr>
            <w:tcW w:w="4771" w:type="dxa"/>
            <w:gridSpan w:val="3"/>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合计</w:t>
            </w:r>
          </w:p>
        </w:tc>
        <w:tc>
          <w:tcPr>
            <w:tcW w:w="14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61666.27</w:t>
            </w:r>
          </w:p>
        </w:tc>
        <w:tc>
          <w:tcPr>
            <w:tcW w:w="145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71042.53</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lang w:val="en-US" w:eastAsia="zh-CN"/>
        </w:rPr>
        <w:t>表2.5-3施工期主要环保投资一览表</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20"/>
        <w:gridCol w:w="1416"/>
        <w:gridCol w:w="14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环保措施</w:t>
            </w:r>
          </w:p>
        </w:tc>
        <w:tc>
          <w:tcPr>
            <w:tcW w:w="141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环评预估投资（万元）</w:t>
            </w:r>
          </w:p>
        </w:tc>
        <w:tc>
          <w:tcPr>
            <w:tcW w:w="148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eastAsia"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实际投资</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b/>
                <w:bCs/>
                <w:kern w:val="2"/>
                <w:sz w:val="21"/>
                <w:szCs w:val="21"/>
                <w:vertAlign w:val="baseline"/>
                <w:lang w:val="en-US" w:eastAsia="zh-CN" w:bidi="ar-SA"/>
              </w:rPr>
            </w:pPr>
            <w:r>
              <w:rPr>
                <w:rFonts w:hint="eastAsia" w:ascii="Times New Roman" w:hAnsi="Times New Roman" w:eastAsia="宋体" w:cs="Times New Roman"/>
                <w:b/>
                <w:bCs/>
                <w:sz w:val="21"/>
                <w:szCs w:val="21"/>
                <w:vertAlign w:val="baseline"/>
                <w:lang w:val="en-US" w:eastAsia="zh-CN"/>
              </w:rPr>
              <w:t>金额（万元）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56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临时声屏障</w:t>
            </w:r>
          </w:p>
        </w:tc>
        <w:tc>
          <w:tcPr>
            <w:tcW w:w="141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50.0</w:t>
            </w:r>
          </w:p>
        </w:tc>
        <w:tc>
          <w:tcPr>
            <w:tcW w:w="148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56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施工营地化粪池、垃圾清运</w:t>
            </w:r>
          </w:p>
        </w:tc>
        <w:tc>
          <w:tcPr>
            <w:tcW w:w="141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22.5</w:t>
            </w:r>
          </w:p>
        </w:tc>
        <w:tc>
          <w:tcPr>
            <w:tcW w:w="148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56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桥梁施工防止污染河流</w:t>
            </w:r>
          </w:p>
        </w:tc>
        <w:tc>
          <w:tcPr>
            <w:tcW w:w="141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30.0</w:t>
            </w:r>
          </w:p>
        </w:tc>
        <w:tc>
          <w:tcPr>
            <w:tcW w:w="148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56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建材运输加盖、设蓬、堆放防雨措施</w:t>
            </w:r>
          </w:p>
        </w:tc>
        <w:tc>
          <w:tcPr>
            <w:tcW w:w="141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37.0</w:t>
            </w:r>
          </w:p>
        </w:tc>
        <w:tc>
          <w:tcPr>
            <w:tcW w:w="148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56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施工现场清理</w:t>
            </w:r>
          </w:p>
        </w:tc>
        <w:tc>
          <w:tcPr>
            <w:tcW w:w="141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30.0</w:t>
            </w:r>
          </w:p>
        </w:tc>
        <w:tc>
          <w:tcPr>
            <w:tcW w:w="148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32.5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56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水土流失防治措施</w:t>
            </w:r>
          </w:p>
        </w:tc>
        <w:tc>
          <w:tcPr>
            <w:tcW w:w="141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184.5</w:t>
            </w:r>
          </w:p>
        </w:tc>
        <w:tc>
          <w:tcPr>
            <w:tcW w:w="148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153.6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56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施工现场洒水、防尘</w:t>
            </w:r>
          </w:p>
        </w:tc>
        <w:tc>
          <w:tcPr>
            <w:tcW w:w="141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57.0</w:t>
            </w:r>
          </w:p>
        </w:tc>
        <w:tc>
          <w:tcPr>
            <w:tcW w:w="148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40.7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56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绿化、生态恢复、营地及临时道路的恢复</w:t>
            </w:r>
          </w:p>
        </w:tc>
        <w:tc>
          <w:tcPr>
            <w:tcW w:w="141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694.4</w:t>
            </w:r>
          </w:p>
        </w:tc>
        <w:tc>
          <w:tcPr>
            <w:tcW w:w="148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532.6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56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环境监测、环境管理、环境监理</w:t>
            </w:r>
          </w:p>
        </w:tc>
        <w:tc>
          <w:tcPr>
            <w:tcW w:w="141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178.8</w:t>
            </w:r>
          </w:p>
        </w:tc>
        <w:tc>
          <w:tcPr>
            <w:tcW w:w="148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56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合计</w:t>
            </w:r>
          </w:p>
        </w:tc>
        <w:tc>
          <w:tcPr>
            <w:tcW w:w="141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1249.2</w:t>
            </w:r>
          </w:p>
        </w:tc>
        <w:tc>
          <w:tcPr>
            <w:tcW w:w="148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976.9</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表2.5-4 运营期环境管理费用一览表（以20年计）</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0"/>
        <w:gridCol w:w="2988"/>
        <w:gridCol w:w="2130"/>
        <w:gridCol w:w="21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5" w:hRule="atLeast"/>
        </w:trPr>
        <w:tc>
          <w:tcPr>
            <w:tcW w:w="12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项目</w:t>
            </w:r>
          </w:p>
        </w:tc>
        <w:tc>
          <w:tcPr>
            <w:tcW w:w="298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具体内容</w:t>
            </w:r>
          </w:p>
        </w:tc>
        <w:tc>
          <w:tcPr>
            <w:tcW w:w="21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环评预估费用</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（万元/年）</w:t>
            </w:r>
          </w:p>
        </w:tc>
        <w:tc>
          <w:tcPr>
            <w:tcW w:w="21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金额（万元）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127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环保管理</w:t>
            </w:r>
          </w:p>
        </w:tc>
        <w:tc>
          <w:tcPr>
            <w:tcW w:w="298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日常环保管理</w:t>
            </w:r>
          </w:p>
        </w:tc>
        <w:tc>
          <w:tcPr>
            <w:tcW w:w="21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2.5</w:t>
            </w:r>
          </w:p>
        </w:tc>
        <w:tc>
          <w:tcPr>
            <w:tcW w:w="21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127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p>
        </w:tc>
        <w:tc>
          <w:tcPr>
            <w:tcW w:w="298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设施运行、维护、折旧</w:t>
            </w:r>
          </w:p>
        </w:tc>
        <w:tc>
          <w:tcPr>
            <w:tcW w:w="21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4.5</w:t>
            </w:r>
          </w:p>
        </w:tc>
        <w:tc>
          <w:tcPr>
            <w:tcW w:w="21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127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p>
        </w:tc>
        <w:tc>
          <w:tcPr>
            <w:tcW w:w="298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绿化维护</w:t>
            </w:r>
          </w:p>
        </w:tc>
        <w:tc>
          <w:tcPr>
            <w:tcW w:w="21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20.0</w:t>
            </w:r>
          </w:p>
        </w:tc>
        <w:tc>
          <w:tcPr>
            <w:tcW w:w="21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127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p>
        </w:tc>
        <w:tc>
          <w:tcPr>
            <w:tcW w:w="298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固废收集、环境卫生</w:t>
            </w:r>
          </w:p>
        </w:tc>
        <w:tc>
          <w:tcPr>
            <w:tcW w:w="21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4.0</w:t>
            </w:r>
          </w:p>
        </w:tc>
        <w:tc>
          <w:tcPr>
            <w:tcW w:w="21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12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环境监测</w:t>
            </w:r>
          </w:p>
        </w:tc>
        <w:tc>
          <w:tcPr>
            <w:tcW w:w="298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环境监测费</w:t>
            </w:r>
          </w:p>
        </w:tc>
        <w:tc>
          <w:tcPr>
            <w:tcW w:w="21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3</w:t>
            </w:r>
          </w:p>
        </w:tc>
        <w:tc>
          <w:tcPr>
            <w:tcW w:w="21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12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人员培训</w:t>
            </w:r>
          </w:p>
        </w:tc>
        <w:tc>
          <w:tcPr>
            <w:tcW w:w="298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人员培训费</w:t>
            </w:r>
          </w:p>
        </w:tc>
        <w:tc>
          <w:tcPr>
            <w:tcW w:w="21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2.0</w:t>
            </w:r>
          </w:p>
        </w:tc>
        <w:tc>
          <w:tcPr>
            <w:tcW w:w="21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12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环保工程</w:t>
            </w:r>
          </w:p>
        </w:tc>
        <w:tc>
          <w:tcPr>
            <w:tcW w:w="298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不可预见费用</w:t>
            </w:r>
          </w:p>
        </w:tc>
        <w:tc>
          <w:tcPr>
            <w:tcW w:w="21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2.5</w:t>
            </w:r>
          </w:p>
        </w:tc>
        <w:tc>
          <w:tcPr>
            <w:tcW w:w="21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trPr>
        <w:tc>
          <w:tcPr>
            <w:tcW w:w="4258"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合计</w:t>
            </w:r>
          </w:p>
        </w:tc>
        <w:tc>
          <w:tcPr>
            <w:tcW w:w="21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38.5</w:t>
            </w:r>
          </w:p>
        </w:tc>
        <w:tc>
          <w:tcPr>
            <w:tcW w:w="21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770</w:t>
            </w:r>
          </w:p>
        </w:tc>
      </w:tr>
    </w:tbl>
    <w:p>
      <w:pP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br w:type="page"/>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0"/>
        <w:rPr>
          <w:rFonts w:hint="eastAsia" w:ascii="Times New Roman" w:hAnsi="Times New Roman" w:eastAsia="宋体" w:cs="Times New Roman"/>
          <w:b/>
          <w:bCs/>
          <w:sz w:val="24"/>
          <w:szCs w:val="24"/>
          <w:lang w:val="en-US" w:eastAsia="zh-CN"/>
        </w:rPr>
      </w:pPr>
      <w:bookmarkStart w:id="27" w:name="_Toc31303"/>
      <w:r>
        <w:rPr>
          <w:rFonts w:hint="eastAsia" w:ascii="Times New Roman" w:hAnsi="Times New Roman" w:eastAsia="宋体" w:cs="Times New Roman"/>
          <w:b/>
          <w:bCs/>
          <w:sz w:val="24"/>
          <w:szCs w:val="24"/>
          <w:lang w:val="en-US" w:eastAsia="zh-CN"/>
        </w:rPr>
        <w:t>3 环境影响评价报告回顾</w:t>
      </w:r>
      <w:bookmarkEnd w:id="27"/>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环境影响调查的重要任务之一是查清工程在设计、施工过程中对《环境影响</w:t>
      </w:r>
      <w:r>
        <w:rPr>
          <w:rFonts w:hint="eastAsia" w:ascii="Times New Roman" w:hAnsi="Times New Roman" w:eastAsia="宋体" w:cs="Times New Roman"/>
          <w:sz w:val="24"/>
          <w:szCs w:val="24"/>
          <w:lang w:val="en-US" w:eastAsia="zh-CN"/>
        </w:rPr>
        <w:t>评价</w:t>
      </w:r>
      <w:r>
        <w:rPr>
          <w:rFonts w:hint="default" w:ascii="Times New Roman" w:hAnsi="Times New Roman" w:eastAsia="宋体" w:cs="Times New Roman"/>
          <w:sz w:val="24"/>
          <w:szCs w:val="24"/>
          <w:lang w:val="en-US" w:eastAsia="zh-CN"/>
        </w:rPr>
        <w:t>报告书》及其批复要求的环境保护措施和建议的执行落实情况，因此，回顾《环境影</w:t>
      </w:r>
      <w:r>
        <w:rPr>
          <w:rFonts w:hint="eastAsia" w:ascii="Times New Roman" w:hAnsi="Times New Roman" w:eastAsia="宋体" w:cs="Times New Roman"/>
          <w:sz w:val="24"/>
          <w:szCs w:val="24"/>
          <w:lang w:val="en-US" w:eastAsia="zh-CN"/>
        </w:rPr>
        <w:t>评价</w:t>
      </w:r>
      <w:r>
        <w:rPr>
          <w:rFonts w:hint="default" w:ascii="Times New Roman" w:hAnsi="Times New Roman" w:eastAsia="宋体" w:cs="Times New Roman"/>
          <w:sz w:val="24"/>
          <w:szCs w:val="24"/>
          <w:lang w:val="en-US" w:eastAsia="zh-CN"/>
        </w:rPr>
        <w:t>响报告书》的主要内容以及环保行政主管部门对报告书的批复意见非常重要。</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w:t>
      </w:r>
      <w:r>
        <w:rPr>
          <w:rFonts w:hint="eastAsia" w:ascii="Times New Roman" w:hAnsi="Times New Roman" w:eastAsia="宋体" w:cs="Times New Roman"/>
          <w:sz w:val="24"/>
          <w:szCs w:val="24"/>
          <w:lang w:val="en-US" w:eastAsia="zh-CN"/>
        </w:rPr>
        <w:t>贵阳高新技术产业经济带沙文生态科技产业园金苏大道道路工程环境影响评价报告书</w:t>
      </w:r>
      <w:r>
        <w:rPr>
          <w:rFonts w:hint="default" w:ascii="Times New Roman" w:hAnsi="Times New Roman" w:eastAsia="宋体" w:cs="Times New Roman"/>
          <w:sz w:val="24"/>
          <w:szCs w:val="24"/>
          <w:lang w:val="en-US" w:eastAsia="zh-CN"/>
        </w:rPr>
        <w:t>》由</w:t>
      </w:r>
      <w:r>
        <w:rPr>
          <w:rFonts w:hint="eastAsia" w:ascii="Times New Roman" w:hAnsi="Times New Roman" w:eastAsia="宋体" w:cs="Times New Roman"/>
          <w:sz w:val="24"/>
          <w:szCs w:val="24"/>
          <w:lang w:val="en-US" w:eastAsia="zh-CN"/>
        </w:rPr>
        <w:t>贵州省环境科学研究设计院</w:t>
      </w:r>
      <w:r>
        <w:rPr>
          <w:rFonts w:hint="default" w:ascii="Times New Roman" w:hAnsi="Times New Roman" w:eastAsia="宋体" w:cs="Times New Roman"/>
          <w:sz w:val="24"/>
          <w:szCs w:val="24"/>
          <w:lang w:val="en-US" w:eastAsia="zh-CN"/>
        </w:rPr>
        <w:t>于2009年</w:t>
      </w:r>
      <w:r>
        <w:rPr>
          <w:rFonts w:hint="eastAsia" w:ascii="Times New Roman" w:hAnsi="Times New Roman" w:eastAsia="宋体" w:cs="Times New Roman"/>
          <w:sz w:val="24"/>
          <w:szCs w:val="24"/>
          <w:lang w:val="en-US" w:eastAsia="zh-CN"/>
        </w:rPr>
        <w:t>03</w:t>
      </w:r>
      <w:r>
        <w:rPr>
          <w:rFonts w:hint="default" w:ascii="Times New Roman" w:hAnsi="Times New Roman" w:eastAsia="宋体" w:cs="Times New Roman"/>
          <w:sz w:val="24"/>
          <w:szCs w:val="24"/>
          <w:lang w:val="en-US" w:eastAsia="zh-CN"/>
        </w:rPr>
        <w:t>月编制完成，并于2009 年</w:t>
      </w:r>
      <w:r>
        <w:rPr>
          <w:rFonts w:hint="eastAsia" w:ascii="Times New Roman" w:hAnsi="Times New Roman" w:eastAsia="宋体" w:cs="Times New Roman"/>
          <w:sz w:val="24"/>
          <w:szCs w:val="24"/>
          <w:lang w:val="en-US" w:eastAsia="zh-CN"/>
        </w:rPr>
        <w:t>04</w:t>
      </w:r>
      <w:r>
        <w:rPr>
          <w:rFonts w:hint="default" w:ascii="Times New Roman" w:hAnsi="Times New Roman" w:eastAsia="宋体" w:cs="Times New Roman"/>
          <w:sz w:val="24"/>
          <w:szCs w:val="24"/>
          <w:lang w:val="en-US" w:eastAsia="zh-CN"/>
        </w:rPr>
        <w:t>月得到了贵州省环保厅的批复，本次调查中采用的某些结论及环境保护措施考察的依据即出自《</w:t>
      </w:r>
      <w:r>
        <w:rPr>
          <w:rFonts w:hint="eastAsia" w:ascii="Times New Roman" w:hAnsi="Times New Roman" w:eastAsia="宋体" w:cs="Times New Roman"/>
          <w:sz w:val="24"/>
          <w:szCs w:val="24"/>
          <w:lang w:val="en-US" w:eastAsia="zh-CN"/>
        </w:rPr>
        <w:t>贵阳高新技术产业经济带沙文生态科技产业园金苏大道道路工程环境影响评价报告书</w:t>
      </w:r>
      <w:r>
        <w:rPr>
          <w:rFonts w:hint="default" w:ascii="Times New Roman" w:hAnsi="Times New Roman" w:eastAsia="宋体" w:cs="Times New Roman"/>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1"/>
        <w:rPr>
          <w:rFonts w:hint="eastAsia" w:ascii="Times New Roman" w:hAnsi="Times New Roman" w:eastAsia="宋体" w:cs="Times New Roman"/>
          <w:sz w:val="24"/>
          <w:szCs w:val="24"/>
          <w:lang w:val="en-US" w:eastAsia="zh-CN"/>
        </w:rPr>
      </w:pPr>
      <w:bookmarkStart w:id="28" w:name="_Toc10596"/>
      <w:r>
        <w:rPr>
          <w:rFonts w:hint="eastAsia" w:ascii="Times New Roman" w:hAnsi="Times New Roman" w:eastAsia="宋体" w:cs="Times New Roman"/>
          <w:sz w:val="24"/>
          <w:szCs w:val="24"/>
          <w:lang w:val="en-US" w:eastAsia="zh-CN"/>
        </w:rPr>
        <w:t>3.1环境影响影响评价报告的主要结论</w:t>
      </w:r>
      <w:bookmarkEnd w:id="28"/>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2"/>
        <w:rPr>
          <w:rFonts w:hint="eastAsia" w:ascii="Times New Roman" w:hAnsi="Times New Roman" w:eastAsia="宋体" w:cs="Times New Roman"/>
          <w:sz w:val="24"/>
          <w:szCs w:val="24"/>
          <w:lang w:val="en-US" w:eastAsia="zh-CN"/>
        </w:rPr>
      </w:pPr>
      <w:bookmarkStart w:id="29" w:name="_Toc2772"/>
      <w:r>
        <w:rPr>
          <w:rFonts w:hint="eastAsia" w:ascii="Times New Roman" w:hAnsi="Times New Roman" w:eastAsia="宋体" w:cs="Times New Roman"/>
          <w:sz w:val="24"/>
          <w:szCs w:val="24"/>
          <w:lang w:val="en-US" w:eastAsia="zh-CN"/>
        </w:rPr>
        <w:t>3.1.1工程概况</w:t>
      </w:r>
      <w:bookmarkEnd w:id="29"/>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南起金阳新区长岭路北段、金岭路交叉口（K0+000），在该处形成十字形的平面交叉口，与长岭路北段在该处做一500m半径；向北经白云大道（K1）与白云大道平面交叉，后上跨艳山红铁路编组站（K1+200，该段道路平面左转弯，曲线半径为1000m；在贵阳耐火材料厂（K2+500）段道路有偏，曲线半径为1000m；后道路向北直行，过同心路与白沙大道转盘（K2+900，再向北沿现状白沙大道两侧拓宽改造，该段道路平面线型基本同现状道路，在有条件路段尽量采用较好的平面线型。后道路在K4＋900处上跨绕城高速公路，向北经格林山庄（K5），在该段设一右偏的1000m半径；后在武警交通二工程处八支队（K5+800）设一右偏的1000m半径，以躲避其主要建筑物；在苏庄干田砖厂（K7）附近设一1000m半径的左转弯，道路沿正北方向布线。向正北方向在自云麻堡小学处与麦沙大道相接交（K8），在K8+700处与现状150县道（沙文～麦架）相交，从沙子哨第四监区西侧经过；道路向北经周家山、邓家坡、大坡、杨冲大坡、团坡等地，终点（K11+600）接新寨处规划的青山路。路线全长116km，按城市I级主干道标准进行设计，计算行车速度分别为60km/h，道路红线宽度为60m。拟建道路主要工程有∶路基土石方工程199.85万m²，排水工程11.6km，桥梁工程509.5m、3座。。</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2"/>
        <w:rPr>
          <w:rFonts w:hint="default" w:ascii="Times New Roman" w:hAnsi="Times New Roman" w:eastAsia="宋体" w:cs="Times New Roman"/>
          <w:sz w:val="24"/>
          <w:szCs w:val="24"/>
          <w:lang w:val="en-US" w:eastAsia="zh-CN"/>
        </w:rPr>
      </w:pPr>
      <w:bookmarkStart w:id="30" w:name="_Toc16865"/>
      <w:r>
        <w:rPr>
          <w:rFonts w:hint="eastAsia" w:ascii="Times New Roman" w:hAnsi="Times New Roman" w:eastAsia="宋体" w:cs="Times New Roman"/>
          <w:sz w:val="24"/>
          <w:szCs w:val="24"/>
          <w:lang w:val="en-US" w:eastAsia="zh-CN"/>
        </w:rPr>
        <w:t>3.1.2规划符合性</w:t>
      </w:r>
      <w:bookmarkEnd w:id="30"/>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项目作为贵阳高新技术经济带沙文生态科技产业园规划的纵向城市I级主干道，项目建成运营后，不仅为产业园区路网结构的建设发挥着重要作用，同时为金阳新区通往白云区、产业园区构筑起一条通道，为充分发挥三地骨架路网的整体效益做出十分重要的贡献。本项目与《贵阳高新技术经济带沙文生态科技产业园规划》、《贵阳市城区道路网规划（2006～2020年）》、《贵阳市白云区控制性详细规划》中各规划道路协调性较好，符合上述规划。</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2"/>
        <w:rPr>
          <w:rFonts w:hint="default" w:ascii="Times New Roman" w:hAnsi="Times New Roman" w:eastAsia="宋体" w:cs="Times New Roman"/>
          <w:sz w:val="24"/>
          <w:szCs w:val="24"/>
          <w:lang w:val="en-US" w:eastAsia="zh-CN"/>
        </w:rPr>
      </w:pPr>
      <w:bookmarkStart w:id="31" w:name="_Toc21391"/>
      <w:r>
        <w:rPr>
          <w:rFonts w:hint="eastAsia" w:ascii="Times New Roman" w:hAnsi="Times New Roman" w:eastAsia="宋体" w:cs="Times New Roman"/>
          <w:sz w:val="24"/>
          <w:szCs w:val="24"/>
          <w:lang w:val="en-US" w:eastAsia="zh-CN"/>
        </w:rPr>
        <w:t>3.1.3方案比选</w:t>
      </w:r>
      <w:bookmarkEnd w:id="31"/>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同心路交叉口至绕城高速段（K2+812.416～K4+833.144）经过白沙路，白沙路沿线有塔山公园、白云一中、贵铝医院且居民聚集，无论是沿左侧拆迁还是沿右侧拆迁，对白沙路沿线两侧的居民、白云一中、贵铝医院、塔山公园等影响均较大，因此本评价从环评角度综合考虑，并结合工可报告方案和相关单位主管部门意见情况，本评价建议采取沿道路左侧扩建，以减少项目建设对白云一中、贵铝医院的影响。同时建议在下阶段设计中，结合工程实际在该段取消绿化带的建设，避免项目占用白云一中、贵铝医院、塔山公园的土地，减轻项目建设对白云一中、贵铝医院、塔出公园的影响。环评路线与工程可研推荐方案一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2"/>
        <w:rPr>
          <w:rFonts w:hint="default" w:ascii="Times New Roman" w:hAnsi="Times New Roman" w:eastAsia="宋体" w:cs="Times New Roman"/>
          <w:sz w:val="24"/>
          <w:szCs w:val="24"/>
          <w:lang w:val="en-US" w:eastAsia="zh-CN"/>
        </w:rPr>
      </w:pPr>
      <w:bookmarkStart w:id="32" w:name="_Toc24367"/>
      <w:r>
        <w:rPr>
          <w:rFonts w:hint="eastAsia" w:ascii="Times New Roman" w:hAnsi="Times New Roman" w:eastAsia="宋体" w:cs="Times New Roman"/>
          <w:sz w:val="24"/>
          <w:szCs w:val="24"/>
          <w:lang w:val="en-US" w:eastAsia="zh-CN"/>
        </w:rPr>
        <w:t>3.1.4环境现状评价</w:t>
      </w:r>
      <w:bookmarkEnd w:id="32"/>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3"/>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3.1.4.1生态环境</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拟建公路沿线200m范围内主要植被结构总体以农田植被为主，占评价面积的64.46%，其中旱作44.10%，水田20.36%。全路线所经地段的林地植被面积达18.77hm²，林地植被以针叶林植被为主，占评价区面积的2.13%，灌木林植被占1.77%，草地植被占0.41%，可见本公路建设所经地段林地植被主要以针叶林地为主。</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3"/>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3.1.4.2水环境</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地表水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地表水常规监测结果表明∶麦架河桥上游200m W1断面各指标均能满足《地表水环境质量标准》（GB3838-2002）的Ⅲ类标准;金苏大道桥下游1500mW2断面NH4-N已经超标，标准指数为3.88，BOD;已接近（GB3838-2002）的Ⅲ类标准限值，标准指数为0.98。</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地下水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次评价对项目沿线董家堰水井进行了水质监测，据监测报告，该井的pH、高锰酸盐指数、总硬度和NH3-N均能达到《地下水质量标准》（GB/T14848-93）Ⅲ类水质标准要求。但是其总大肠菌群严重超标，超标倍数超过76.67倍，这主要是由于地下水出露于地表后受人畜、鸟类等粪便污染的缘故。</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3"/>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3.1.4.3环境空气</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据监测报告</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两个测点的两种监测项目5天的监测结果均未超过《环境空气质量标准》GB3095-1996二级标准，说明当地空气环境质量达标，NO</w:t>
      </w:r>
      <w:r>
        <w:rPr>
          <w:rFonts w:hint="default" w:ascii="Times New Roman" w:hAnsi="Times New Roman" w:eastAsia="宋体" w:cs="Times New Roman"/>
          <w:sz w:val="24"/>
          <w:szCs w:val="24"/>
          <w:vertAlign w:val="subscript"/>
          <w:lang w:val="en-US" w:eastAsia="zh-CN"/>
        </w:rPr>
        <w:t>2</w:t>
      </w:r>
      <w:r>
        <w:rPr>
          <w:rFonts w:hint="default" w:ascii="Times New Roman" w:hAnsi="Times New Roman" w:eastAsia="宋体" w:cs="Times New Roman"/>
          <w:sz w:val="24"/>
          <w:szCs w:val="24"/>
          <w:lang w:val="en-US" w:eastAsia="zh-CN"/>
        </w:rPr>
        <w:t>和T</w:t>
      </w:r>
      <w:r>
        <w:rPr>
          <w:rFonts w:hint="eastAsia" w:ascii="Times New Roman" w:hAnsi="Times New Roman" w:eastAsia="宋体" w:cs="Times New Roman"/>
          <w:sz w:val="24"/>
          <w:szCs w:val="24"/>
          <w:lang w:val="en-US" w:eastAsia="zh-CN"/>
        </w:rPr>
        <w:t>SP</w:t>
      </w:r>
      <w:r>
        <w:rPr>
          <w:rFonts w:hint="default" w:ascii="Times New Roman" w:hAnsi="Times New Roman" w:eastAsia="宋体" w:cs="Times New Roman"/>
          <w:sz w:val="24"/>
          <w:szCs w:val="24"/>
          <w:lang w:val="en-US" w:eastAsia="zh-CN"/>
        </w:rPr>
        <w:t>均有相当的剩余环境容量。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3"/>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3.1.4.4声环境</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声环境据监测报告，在6个监测点的1天2次监测中，昼夜监测结果表明昼间均能达到《声环境质量标准》（GB3096-2008）4a类区的标准;夜间干田砖厂居民点、新寨能达到《声环境质量标准》（GB3096-2008）4a类区的标准，白云第一中学夜间不能达到《声环境质量标准》（GB3096-2008）2类区标准的要求;其余监测点夜间均超过标准的要求，这主要是受交通噪声、社会噪声、建筑施工噪声影响的缘故。 白云一中24h的监测结果中，由于受交通噪声和学生下课活动的影响，早上10点、晚上9点的监测结果比其它时段的监测结果明显要高，致使24h监测结果的平均值偏高，超过《声环境质量标准》（GB3096-2008）2类标准的要求，夜间声环境质量较为良好，能满足声功能区划要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3"/>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3.1.4.5景观环境</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合景观敏感性、阈值及景观现状质量评价结果，拟建公路沿线景观环境质量现状较差，为了在营运期给司乘人员创造较好的景观环境，公路建设过程中应注重对沿线景观环境的保护，并做好施工结束后的景观恢复与创造工作，使公路外部景观保存完整，公路内部景观流畅，内部景观融入外部景观，协调一致</w:t>
      </w:r>
      <w:r>
        <w:rPr>
          <w:rFonts w:hint="eastAsia" w:ascii="Times New Roman" w:hAnsi="Times New Roman" w:eastAsia="宋体" w:cs="Times New Roman"/>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2"/>
        <w:rPr>
          <w:rFonts w:hint="default" w:ascii="Times New Roman" w:hAnsi="Times New Roman" w:eastAsia="宋体" w:cs="Times New Roman"/>
          <w:sz w:val="24"/>
          <w:szCs w:val="24"/>
          <w:lang w:val="en-US" w:eastAsia="zh-CN"/>
        </w:rPr>
      </w:pPr>
      <w:bookmarkStart w:id="33" w:name="_Toc2757"/>
      <w:r>
        <w:rPr>
          <w:rFonts w:hint="eastAsia" w:ascii="Times New Roman" w:hAnsi="Times New Roman" w:eastAsia="宋体" w:cs="Times New Roman"/>
          <w:sz w:val="24"/>
          <w:szCs w:val="24"/>
          <w:lang w:val="en-US" w:eastAsia="zh-CN"/>
        </w:rPr>
        <w:t>3.1.5环境影响预测与评价</w:t>
      </w:r>
      <w:bookmarkEnd w:id="33"/>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3"/>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3.1.5.1社会环境</w:t>
      </w:r>
    </w:p>
    <w:p>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施工期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道路工程施工期对周围社会环境的影响主要体现在施工占地拆迁、群众出行、学校正常教学秩序、电力电讯供水设施迁移等方面的影响。</w:t>
      </w:r>
    </w:p>
    <w:p>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营运期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项目建成后，社会效益显著，有利于繁荣地方经济，取得较大的社会经济效益，有利于扩大就业，促进社会综合事业的发展，有利于提高沿线人民的收入，改善人民的生活环境，有利于改善当地人文环境，提高文化教育水平，促进旅游业发展，使沿线广大人民直接受益。建设带来的负面影响，主要是占用耕地较多，施工和运营中对环境带来一定污染，但只要采取积极有效的措施是可以得到妥善解决的。项目所在地的社会环境、人文条件适应项目的建设与可持续发展，社会风险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3"/>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3.1.5.2生态环境</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施工期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①路基工程施工</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由于项目有部分路段临近河道，路基工程建设中需要挖、填、切方，局部地段可能引发崩塌及填方体边坡滑塌，造成水土流失等，不仅影响工程区域生态环境，遇雨冲刷直接进入河流水体，致使河床增高，河道淤塞，影响河流畅通，麦架河等将受到直接影响，其后果是河流下游产生新的生态环境问题∶洪水淹没农田，导致农业减产，人民生命财产受到威胁等。</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②桥梁工程产生的影响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公路沿线路基及拟建桥梁，工程建设桥台、桥墩可能引发基坑坑壁基岩顺层滑坡、崩塌，产生水土流失等生态环境影响，后果同上。</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③石料场、弃土场的合理性分析</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本工程不设料场、取土场。工程土石方开挖量199.85万m²，填方数量为185.89 万m²，弃方数量为13.96万m³（其中7.75万m²运至永久渣场堆放，6.21万m²存放在临时渣场，后用于公路建设区和渣场区植物措施复土）。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容量的合理性</w:t>
      </w:r>
      <w:r>
        <w:rPr>
          <w:rFonts w:hint="eastAsia" w:ascii="Times New Roman" w:hAnsi="Times New Roman" w:eastAsia="宋体" w:cs="Times New Roman"/>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本工程设置3个永久和3个临时弃土场，容渣量分别为8.49万m³、6.24万m³，需堆存的弃土量为7.75万m³、6.21万m²，能满足弃土的堆放。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占地的合理性</w:t>
      </w:r>
      <w:r>
        <w:rPr>
          <w:rFonts w:hint="eastAsia" w:ascii="Times New Roman" w:hAnsi="Times New Roman" w:eastAsia="宋体" w:cs="Times New Roman"/>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工程的选择的3个永久弃土场所占土地均为坡耕地、沟谷地貌、植被类型为灌草丛等，不涉及基本农田保护区、水源保护区、风景名胜区等，离地表水体麦架河、高山河、大泥窝河、罗格幽水库等均在500m以远，只要采取必要的挡、拦、植被恢复等措施，弃土场的设置对环境的影响有限，弃土场的设置基本合理。由于贵州山区耕地少，应尽量少占耕地。另外，作为市政交通道路基础设施建设，不宜在产业园区内设置永久弃土场，评价建议本工程弃土应结合产业园区其它市政工程进行土石方综合调配，将本工程的弃方用于其它工程的填方，以减少弃土占地对生态环境和景观环境的影响。 本工程的选择的3个临时弃土场所占土地均为坡耕地、沟谷地貌、植被类型为灌草丛等，不涉及基本农田保护区、水源保护区、风景名胜区等，离地表水体麦架河、高山河、大泥窝河、罗格幽水库等均在 500m 以远，只要采取必要的挡、拦、植被恢复、表土复用后立即复垦等措施，临时弃土场的设置对环境的影响有限，弃土场的设置基本合理。</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④对塔山公园的影响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工程施工中存在和30m 高的边坡挖方，将破坏和影响施工区原有的地面植被，使植被覆盖率下降，环境功能的下降。其影响主要表现在系统的总生物量有一定的减少，但对公园单位面积的生物量影响较小，对其功能与稳定性不会产生大的影响，不会引起植物物种的损失。</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营运期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本工程对农业的影响主要是占用耕地，拟建项目将永久性占用耕地 29.22 hm²（其中基本农田16</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41hm²），占项目永久占地的40.82%，对沿线地区的农业总体影响较大。被占用地的耕地将丧失原有的农业生产能力，给道路沿线地区农业生产带来一定损失，使农作物产量减少，沿线农民的农业收入和生活受到一定的影响。根据拟建公路占用耕地的情况、沿线地区各农作物的种植比例及各农作物的平均产量，公路建设将减少粮食作物约16t</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a，蔬菜约10</w:t>
      </w:r>
      <w:r>
        <w:rPr>
          <w:rFonts w:hint="eastAsia" w:ascii="Times New Roman" w:hAnsi="Times New Roman" w:eastAsia="宋体" w:cs="Times New Roman"/>
          <w:sz w:val="24"/>
          <w:szCs w:val="24"/>
          <w:lang w:val="en-US" w:eastAsia="zh-CN"/>
        </w:rPr>
        <w:t>t/</w:t>
      </w:r>
      <w:r>
        <w:rPr>
          <w:rFonts w:hint="default" w:ascii="Times New Roman" w:hAnsi="Times New Roman" w:eastAsia="宋体" w:cs="Times New Roman"/>
          <w:sz w:val="24"/>
          <w:szCs w:val="24"/>
          <w:lang w:val="en-US" w:eastAsia="zh-CN"/>
        </w:rPr>
        <w:t>a。应在工程完工后及时对部分临时占地进行复垦，同时切实落实征地补偿安置政策，随着地方实行产业结构调整，使农民的生产和生活不低于征地前的水平。</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3"/>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3.1.5.3水环境</w:t>
      </w:r>
    </w:p>
    <w:p>
      <w:pPr>
        <w:keepNext w:val="0"/>
        <w:keepLines w:val="0"/>
        <w:pageBreakBefore w:val="0"/>
        <w:widowControl w:val="0"/>
        <w:numPr>
          <w:ilvl w:val="0"/>
          <w:numId w:val="13"/>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施工期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①地表水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路建设属于线性污染影响，特点是排污量且小分散，污染物主要来源于施工人员生活营地排污。由于该项目施工人员多为本地群众，施工生活营地设在就麻堡组</w:t>
      </w:r>
      <w:r>
        <w:rPr>
          <w:rFonts w:hint="eastAsia" w:ascii="Times New Roman" w:hAnsi="Times New Roman" w:eastAsia="宋体" w:cs="Times New Roman"/>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工程拟设施工营地不占良田好土、林地，周围大多为农田和可耕地，方便施工营地旱厕农肥清掏和施用，施工营地临近村寨，可充分利用民房，减少占地面积，施工营地附近有麦架河，离麦架河最近距离150m，相对高差10m（麦架河低）。本项目生产废水设置沉淀池沉淀后回收利用不外排，生活污水经旱厕、化粪池处理后经现有农灌沟渠农灌，不外排，只要加强施工管理，严禁施工期间的各种废污水及生活垃圾等固体废物排放如何，避免对河流水质产 生影响，施工营地的选址是合理的</w:t>
      </w:r>
      <w:r>
        <w:rPr>
          <w:rFonts w:hint="eastAsia" w:ascii="Times New Roman" w:hAnsi="Times New Roman" w:eastAsia="宋体" w:cs="Times New Roman"/>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由于沿河施工，土石开挖产生水土流失，增加河流泥沙含量，从而影响河水水质;施工中的废弃物随意倾倒，雨季遇雨水冲刷，随地表径流入河，造成水体污染。因此加强施工期的管理十分重要。</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②地下水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路建设对地下水的影响主要表现在以下几个方面∶①建筑材料运输与堆放和施工营地生活污水对水质的影响;②在路基开挖过程中，由于地下水水位埋深较浅，一方面直接凿穿了溶隙，另一方面震动加大了溶隙的透水能力，致使大量的溶隙水从基础开挖裸露面涌出，从而阻断地下水的通道。 本项目不涉及隧道等对地下水影响较大的工程项目，高填深挖较少。因此，本项目的建设对地下水的影响较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本项目离董家堰水井最近距离180m，若项目施工过程中不加强管理，弃土弃渣乱堆乱排、原材料堆放临近水井等均会对水井水质产生污染，因此项目建设对其有一定影响。</w:t>
      </w:r>
    </w:p>
    <w:p>
      <w:pPr>
        <w:keepNext w:val="0"/>
        <w:keepLines w:val="0"/>
        <w:pageBreakBefore w:val="0"/>
        <w:widowControl w:val="0"/>
        <w:numPr>
          <w:ilvl w:val="0"/>
          <w:numId w:val="13"/>
        </w:numPr>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营运期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由于本项目不设停车场和收费站，因此道路营运期间主要是路面径流雨水对沿线水体的影响。据预测桥面雨水产生的污染物排入麦架河后，由于的污水排放流量小，大大小于麦架河的流量，所以对麦架河水质的影响不大，其水质各项指标均未超《地表水环境质量标准》（GB3838-2002）Ⅲ类标准，影响较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危险品运输车辆等若发生事故，使其翻入河流或冲撞水井，对河流及水井水质均会造成污染</w:t>
      </w:r>
      <w:r>
        <w:rPr>
          <w:rFonts w:hint="eastAsia" w:ascii="Times New Roman" w:hAnsi="Times New Roman" w:eastAsia="宋体" w:cs="Times New Roman"/>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3"/>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3.1.5.4环境空气</w:t>
      </w:r>
    </w:p>
    <w:p>
      <w:pPr>
        <w:keepNext w:val="0"/>
        <w:keepLines w:val="0"/>
        <w:pageBreakBefore w:val="0"/>
        <w:widowControl w:val="0"/>
        <w:numPr>
          <w:ilvl w:val="0"/>
          <w:numId w:val="14"/>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施工期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施工期对环境空气污染的主要污染源有汽车行驶扬尘、原材料堆场扬尘、材料拌合扬尘、沥青铺设过程中的沥青烟等。沥青铺浇路面时所排放的烟气其污染物影响距离一般在50m之内，因此，当路段施工靠近村庄、学校时，沥青铺浇时应避免风向针对村庄、学校的时段，以免对人群健康产生影响。</w:t>
      </w:r>
    </w:p>
    <w:p>
      <w:pPr>
        <w:keepNext w:val="0"/>
        <w:keepLines w:val="0"/>
        <w:pageBreakBefore w:val="0"/>
        <w:widowControl w:val="0"/>
        <w:numPr>
          <w:ilvl w:val="0"/>
          <w:numId w:val="14"/>
        </w:numPr>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营运期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用《环境空气质量标准》（GB3095-1996）二级标准评价，NO</w:t>
      </w:r>
      <w:r>
        <w:rPr>
          <w:rFonts w:hint="default" w:ascii="Times New Roman" w:hAnsi="Times New Roman" w:eastAsia="宋体" w:cs="Times New Roman"/>
          <w:sz w:val="24"/>
          <w:szCs w:val="24"/>
          <w:vertAlign w:val="subscript"/>
          <w:lang w:val="en-US" w:eastAsia="zh-CN"/>
        </w:rPr>
        <w:t>2</w:t>
      </w:r>
      <w:r>
        <w:rPr>
          <w:rFonts w:hint="default" w:ascii="Times New Roman" w:hAnsi="Times New Roman" w:eastAsia="宋体" w:cs="Times New Roman"/>
          <w:sz w:val="24"/>
          <w:szCs w:val="24"/>
          <w:lang w:val="en-US" w:eastAsia="zh-CN"/>
        </w:rPr>
        <w:t>、TSP日均浓度预测值，在项目沿线均无超标现象，均能达到《环境空气质量标准》（GB3095-1996）二级标准的要求。可见，车速60km/h时，沥青路面清洁程度较高，NO</w:t>
      </w:r>
      <w:r>
        <w:rPr>
          <w:rFonts w:hint="eastAsia" w:ascii="Times New Roman" w:hAnsi="Times New Roman" w:eastAsia="宋体" w:cs="Times New Roman"/>
          <w:sz w:val="24"/>
          <w:szCs w:val="24"/>
          <w:vertAlign w:val="subscript"/>
          <w:lang w:val="en-US" w:eastAsia="zh-CN"/>
        </w:rPr>
        <w:t>2</w:t>
      </w:r>
      <w:r>
        <w:rPr>
          <w:rFonts w:hint="default" w:ascii="Times New Roman" w:hAnsi="Times New Roman" w:eastAsia="宋体" w:cs="Times New Roman"/>
          <w:sz w:val="24"/>
          <w:szCs w:val="24"/>
          <w:lang w:val="en-US" w:eastAsia="zh-CN"/>
        </w:rPr>
        <w:t>、TSP对公路两侧影响不大。</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对保护目标的影响∶用《环境空气质量标准》（GB3095-1996）二级标准评价，NO</w:t>
      </w:r>
      <w:r>
        <w:rPr>
          <w:rFonts w:hint="default" w:ascii="Times New Roman" w:hAnsi="Times New Roman" w:eastAsia="宋体" w:cs="Times New Roman"/>
          <w:sz w:val="24"/>
          <w:szCs w:val="24"/>
          <w:vertAlign w:val="subscript"/>
          <w:lang w:val="en-US" w:eastAsia="zh-CN"/>
        </w:rPr>
        <w:t>2</w:t>
      </w:r>
      <w:r>
        <w:rPr>
          <w:rFonts w:hint="default" w:ascii="Times New Roman" w:hAnsi="Times New Roman" w:eastAsia="宋体" w:cs="Times New Roman"/>
          <w:sz w:val="24"/>
          <w:szCs w:val="24"/>
          <w:lang w:val="en-US" w:eastAsia="zh-CN"/>
        </w:rPr>
        <w:t>、TSP对拟建公路沿线保护目标均影响不大，均在标准限值以内。</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3"/>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3.1.5.5声环境</w:t>
      </w:r>
    </w:p>
    <w:p>
      <w:pPr>
        <w:keepNext w:val="0"/>
        <w:keepLines w:val="0"/>
        <w:pageBreakBefore w:val="0"/>
        <w:widowControl w:val="0"/>
        <w:numPr>
          <w:ilvl w:val="0"/>
          <w:numId w:val="15"/>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施工期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据拟建公路沿线敏感点与路线的相对位置关系，公路沿线艳山红小学、耐火材料厂医院、贵州铝厂生活区、白云一中、贵铝医院、干田砖厂居民点、麻堡组、新寨等村庄和学校、医院敏感点受到施工噪声影响，施工期设置临时声屏障，能达到《建筑施工场界噪声限值》（GB12523-90）的要求</w:t>
      </w:r>
      <w:r>
        <w:rPr>
          <w:rFonts w:hint="eastAsia" w:ascii="Times New Roman" w:hAnsi="Times New Roman" w:eastAsia="宋体" w:cs="Times New Roman"/>
          <w:sz w:val="24"/>
          <w:szCs w:val="24"/>
          <w:lang w:val="en-US" w:eastAsia="zh-CN"/>
        </w:rPr>
        <w:t>。</w:t>
      </w:r>
    </w:p>
    <w:p>
      <w:pPr>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营运期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拟建道路沿线各敏感点营运近期（2011年）昼间除白云第一中学超标1.5dB （A）外;其余点全部达标，夜间除贵阳耐火材料厂处居民点、干田砖厂居民点、王家院处能达标外，其余敏感点均超标，超标范围0.9～5.6dB（A）;营运中期（2015年）昼间除贵阳耐火材料厂医院、白云一中处分别超标0.2dB（A）、2.7dB （A）外，其余敏感点均达标;夜间全部敏感点都超标，超标范围0.6～9.5dB（A）;营运远期（2029年）昼间除艳山红小学、贵阳耐火材料厂医院、白云一中超标外（分别超标3.4dB（A）、1.3dB（A）、4.6dB（A）），其余敏感点均达标。夜间全部敏感点超标，超标范围3.1～12.3dB（A）。</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3"/>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3.1.5.6景观环境</w:t>
      </w:r>
    </w:p>
    <w:p>
      <w:pPr>
        <w:keepNext w:val="0"/>
        <w:keepLines w:val="0"/>
        <w:pageBreakBefore w:val="0"/>
        <w:widowControl w:val="0"/>
        <w:numPr>
          <w:ilvl w:val="0"/>
          <w:numId w:val="16"/>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施工期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①路基施工</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路基建设中填挖的程度越大，产生的高填深挖路段也越多，从而对原有地形地貌及景观环境的改变也越大。高填深挖路段施工中大面积的深切山体及高填路基后形成的高大裸露坡面，势必会与周围植被及农业生态景观产生巨大的反差，成为路段内主要的视觉敏感点;而其敏感程度还与施工后期的绿化恢复紧密相关，绿化恢复越差，人工的痕迹越明显，则其与周围景观的不协调性越大，给司乘人员和沿线居民视觉上的不良冲击越强烈。</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②桥梁等施工景观影响分析</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桥梁</w:t>
      </w:r>
      <w:r>
        <w:rPr>
          <w:rFonts w:hint="default" w:ascii="Times New Roman" w:hAnsi="Times New Roman" w:eastAsia="宋体" w:cs="Times New Roman"/>
          <w:sz w:val="24"/>
          <w:szCs w:val="24"/>
          <w:lang w:val="en-US" w:eastAsia="zh-CN"/>
        </w:rPr>
        <w:t>施工中对岸侧原有地形地貌的改变形成的裸露面，及桥墩的建设中可能的淤泥、油类随意排放污染河道等均会对景观环境产生一定的不利影响。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分离式</w:t>
      </w:r>
      <w:r>
        <w:rPr>
          <w:rFonts w:hint="default" w:ascii="Times New Roman" w:hAnsi="Times New Roman" w:eastAsia="宋体" w:cs="Times New Roman"/>
          <w:sz w:val="24"/>
          <w:szCs w:val="24"/>
          <w:lang w:val="en-US" w:eastAsia="zh-CN"/>
        </w:rPr>
        <w:t>立交其线形和造型如设计得好，则会对其附近的整体景观起到良好的托作用，本工程设立的互通主要是依据交通流量分布和城市功能确定，将对改能城市近郊的景观起到较好的烘托作用。</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③施工用地景观影响分析</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除水土保持方案中所推荐的弃土场外，预制场、施工营地、运输便道施工用地均沿路线两侧分布，并大多处于道路可视范围内，如未能在施工结束后及时绿化、复耕或进行相应的土地利用，裸露的地表将与周围植被茂盛的景观环境形成鲜明的反差，将对沿线景观产生不利影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④对城市景观的影响分析</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拟建公路本身作为市政基础设施，其推荐方案终点段穿经沙文镇区，所经区域有居民点、学校、企业等。为减轻拟建公路与沿线景观的不协调性，应对拟建道路进行专门的景观设计，建议加强公路沿线的绿化工作，减缓其景观影响。</w:t>
      </w:r>
    </w:p>
    <w:p>
      <w:pPr>
        <w:keepNext w:val="0"/>
        <w:keepLines w:val="0"/>
        <w:pageBreakBefore w:val="0"/>
        <w:widowControl w:val="0"/>
        <w:numPr>
          <w:ilvl w:val="0"/>
          <w:numId w:val="16"/>
        </w:numPr>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营运期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公路建成以后，倘若对原有破坏的生态恢复措施得当，形成</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绿色通道</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之效，则公路本身也形成独特的一道景观。从用路者的角度来看，公路的舒适、美观及公路与周围环境的和谐性都使人感到赏心悦目。车外的绿色融融、远处的蓝</w:t>
      </w:r>
      <w:r>
        <w:rPr>
          <w:rFonts w:hint="eastAsia" w:ascii="Times New Roman" w:hAnsi="Times New Roman" w:eastAsia="宋体" w:cs="Times New Roman"/>
          <w:sz w:val="24"/>
          <w:szCs w:val="24"/>
          <w:lang w:val="en-US" w:eastAsia="zh-CN"/>
        </w:rPr>
        <w:t>天</w:t>
      </w:r>
      <w:r>
        <w:rPr>
          <w:rFonts w:hint="default" w:ascii="Times New Roman" w:hAnsi="Times New Roman" w:eastAsia="宋体" w:cs="Times New Roman"/>
          <w:sz w:val="24"/>
          <w:szCs w:val="24"/>
          <w:lang w:val="en-US" w:eastAsia="zh-CN"/>
        </w:rPr>
        <w:t>白云，再加上公路本身行车的速度，两旁的景致一览无余，使人感到心旷神怡。</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3"/>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3.1.5.7固体废物</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（1）施工期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本项目施工过程中产生的固体废物主要为工程并方、施工人员生活垃报筑材料临时对方及施工作业场所所产生的建筑废料等。</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①工程弃方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本项目共开挖土石方（自然方）</w:t>
      </w:r>
      <w:r>
        <w:rPr>
          <w:rFonts w:hint="eastAsia" w:ascii="Times New Roman" w:hAnsi="Times New Roman" w:eastAsia="宋体" w:cs="Times New Roman"/>
          <w:sz w:val="24"/>
          <w:szCs w:val="24"/>
          <w:lang w:val="en-US" w:eastAsia="zh-CN"/>
        </w:rPr>
        <w:t>199.85</w:t>
      </w:r>
      <w:r>
        <w:rPr>
          <w:rFonts w:hint="default" w:ascii="Times New Roman" w:hAnsi="Times New Roman" w:eastAsia="宋体" w:cs="Times New Roman"/>
          <w:sz w:val="24"/>
          <w:szCs w:val="24"/>
          <w:lang w:val="en-US" w:eastAsia="zh-CN"/>
        </w:rPr>
        <w:t>万m²，</w:t>
      </w:r>
      <w:r>
        <w:rPr>
          <w:rFonts w:hint="eastAsia" w:ascii="Times New Roman" w:hAnsi="Times New Roman" w:eastAsia="宋体" w:cs="Times New Roman"/>
          <w:sz w:val="24"/>
          <w:szCs w:val="24"/>
          <w:lang w:val="en-US" w:eastAsia="zh-CN"/>
        </w:rPr>
        <w:t>填方数量为185.89</w:t>
      </w:r>
      <w:r>
        <w:rPr>
          <w:rFonts w:hint="default" w:ascii="Times New Roman" w:hAnsi="Times New Roman" w:eastAsia="宋体" w:cs="Times New Roman"/>
          <w:sz w:val="24"/>
          <w:szCs w:val="24"/>
          <w:lang w:val="en-US" w:eastAsia="zh-CN"/>
        </w:rPr>
        <w:t>万</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弃方</w:t>
      </w:r>
      <w:r>
        <w:rPr>
          <w:rFonts w:hint="eastAsia" w:ascii="Times New Roman" w:hAnsi="Times New Roman" w:eastAsia="宋体" w:cs="Times New Roman"/>
          <w:sz w:val="24"/>
          <w:szCs w:val="24"/>
          <w:lang w:val="en-US" w:eastAsia="zh-CN"/>
        </w:rPr>
        <w:t>数量为13.96万</w:t>
      </w:r>
      <w:r>
        <w:rPr>
          <w:rFonts w:hint="default" w:ascii="Times New Roman" w:hAnsi="Times New Roman" w:eastAsia="宋体" w:cs="Times New Roman"/>
          <w:sz w:val="24"/>
          <w:szCs w:val="24"/>
          <w:lang w:val="en-US" w:eastAsia="zh-CN"/>
        </w:rPr>
        <w:t>m</w:t>
      </w:r>
      <w:r>
        <w:rPr>
          <w:rFonts w:hint="eastAsia"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lang w:val="en-US" w:eastAsia="zh-CN"/>
        </w:rPr>
        <w:t>（</w:t>
      </w:r>
      <w:r>
        <w:rPr>
          <w:rFonts w:hint="eastAsia" w:ascii="Times New Roman" w:hAnsi="Times New Roman" w:eastAsia="宋体" w:cs="Times New Roman"/>
          <w:sz w:val="24"/>
          <w:szCs w:val="24"/>
          <w:lang w:val="en-US" w:eastAsia="zh-CN"/>
        </w:rPr>
        <w:t>其中7.75万</w:t>
      </w:r>
      <w:r>
        <w:rPr>
          <w:rFonts w:hint="default" w:ascii="Times New Roman" w:hAnsi="Times New Roman" w:eastAsia="宋体" w:cs="Times New Roman"/>
          <w:sz w:val="24"/>
          <w:szCs w:val="24"/>
          <w:lang w:val="en-US" w:eastAsia="zh-CN"/>
        </w:rPr>
        <w:t>m</w:t>
      </w:r>
      <w:r>
        <w:rPr>
          <w:rFonts w:hint="eastAsia" w:ascii="Times New Roman" w:hAnsi="Times New Roman" w:eastAsia="宋体" w:cs="Times New Roman"/>
          <w:sz w:val="24"/>
          <w:szCs w:val="24"/>
          <w:vertAlign w:val="superscript"/>
          <w:lang w:val="en-US" w:eastAsia="zh-CN"/>
        </w:rPr>
        <w:t>3</w:t>
      </w:r>
      <w:r>
        <w:rPr>
          <w:rFonts w:hint="eastAsia" w:ascii="Times New Roman" w:hAnsi="Times New Roman" w:eastAsia="宋体" w:cs="Times New Roman"/>
          <w:sz w:val="24"/>
          <w:szCs w:val="24"/>
          <w:vertAlign w:val="baseline"/>
          <w:lang w:val="en-US" w:eastAsia="zh-CN"/>
        </w:rPr>
        <w:t>运至永久弃土场</w:t>
      </w:r>
      <w:r>
        <w:rPr>
          <w:rFonts w:hint="default" w:ascii="Times New Roman" w:hAnsi="Times New Roman" w:eastAsia="宋体" w:cs="Times New Roman"/>
          <w:sz w:val="24"/>
          <w:szCs w:val="24"/>
          <w:lang w:val="en-US" w:eastAsia="zh-CN"/>
        </w:rPr>
        <w:t>，</w:t>
      </w:r>
      <w:r>
        <w:rPr>
          <w:rFonts w:hint="eastAsia" w:ascii="Times New Roman" w:hAnsi="Times New Roman" w:eastAsia="宋体" w:cs="Times New Roman"/>
          <w:sz w:val="24"/>
          <w:szCs w:val="24"/>
          <w:lang w:val="en-US" w:eastAsia="zh-CN"/>
        </w:rPr>
        <w:t>6.21</w:t>
      </w:r>
      <w:r>
        <w:rPr>
          <w:rFonts w:hint="default" w:ascii="Times New Roman" w:hAnsi="Times New Roman" w:eastAsia="宋体" w:cs="Times New Roman"/>
          <w:sz w:val="24"/>
          <w:szCs w:val="24"/>
          <w:lang w:val="en-US" w:eastAsia="zh-CN"/>
        </w:rPr>
        <w:t>万m³</w:t>
      </w:r>
      <w:r>
        <w:rPr>
          <w:rFonts w:hint="eastAsia" w:ascii="Times New Roman" w:hAnsi="Times New Roman" w:eastAsia="宋体" w:cs="Times New Roman"/>
          <w:sz w:val="24"/>
          <w:szCs w:val="24"/>
          <w:lang w:val="en-US" w:eastAsia="zh-CN"/>
        </w:rPr>
        <w:t>存放在临时弃土场用于公路建设区和渣场区植被措施复土</w:t>
      </w:r>
      <w:r>
        <w:rPr>
          <w:rFonts w:hint="default" w:ascii="Times New Roman" w:hAnsi="Times New Roman" w:eastAsia="宋体" w:cs="Times New Roman"/>
          <w:sz w:val="24"/>
          <w:szCs w:val="24"/>
          <w:lang w:val="en-US" w:eastAsia="zh-CN"/>
        </w:rPr>
        <w:t>）。弃土场恢复植被或复垦。</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②生活垃圾、建筑垃圾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施工人员在施工中避免不了要产生固体废物。固体废物是多种污染物的</w:t>
      </w:r>
      <w:r>
        <w:rPr>
          <w:rFonts w:hint="eastAsia" w:ascii="Times New Roman" w:hAnsi="Times New Roman" w:eastAsia="宋体" w:cs="Times New Roman"/>
          <w:sz w:val="24"/>
          <w:szCs w:val="24"/>
          <w:lang w:val="en-US" w:eastAsia="zh-CN"/>
        </w:rPr>
        <w:t>最终</w:t>
      </w:r>
      <w:r>
        <w:rPr>
          <w:rFonts w:hint="default" w:ascii="Times New Roman" w:hAnsi="Times New Roman" w:eastAsia="宋体" w:cs="Times New Roman"/>
          <w:sz w:val="24"/>
          <w:szCs w:val="24"/>
          <w:lang w:val="en-US" w:eastAsia="zh-CN"/>
        </w:rPr>
        <w:t>形态，成分较为复杂。固体废物对周围环境的影响</w:t>
      </w:r>
      <w:r>
        <w:rPr>
          <w:rFonts w:hint="eastAsia" w:ascii="Times New Roman" w:hAnsi="Times New Roman" w:eastAsia="宋体" w:cs="Times New Roman"/>
          <w:sz w:val="24"/>
          <w:szCs w:val="24"/>
          <w:lang w:val="en-US" w:eastAsia="zh-CN"/>
        </w:rPr>
        <w:t>首先表现</w:t>
      </w:r>
      <w:r>
        <w:rPr>
          <w:rFonts w:hint="default" w:ascii="Times New Roman" w:hAnsi="Times New Roman" w:eastAsia="宋体" w:cs="Times New Roman"/>
          <w:sz w:val="24"/>
          <w:szCs w:val="24"/>
          <w:lang w:val="en-US" w:eastAsia="zh-CN"/>
        </w:rPr>
        <w:t>在侵占土地，破坏地貌和植被。如果对固体废物不加以处置和利用，就必须放在果一个地方堆存，</w:t>
      </w:r>
      <w:r>
        <w:rPr>
          <w:rFonts w:hint="eastAsia" w:ascii="Times New Roman" w:hAnsi="Times New Roman" w:eastAsia="宋体" w:cs="Times New Roman"/>
          <w:sz w:val="24"/>
          <w:szCs w:val="24"/>
          <w:lang w:val="en-US" w:eastAsia="zh-CN"/>
        </w:rPr>
        <w:t>这</w:t>
      </w:r>
      <w:r>
        <w:rPr>
          <w:rFonts w:hint="default" w:ascii="Times New Roman" w:hAnsi="Times New Roman" w:eastAsia="宋体" w:cs="Times New Roman"/>
          <w:sz w:val="24"/>
          <w:szCs w:val="24"/>
          <w:lang w:val="en-US" w:eastAsia="zh-CN"/>
        </w:rPr>
        <w:t>就必须占用一定量的土地。需堆存的数量越大，占用的土地就会越多。</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公路施工场地的建筑垃圾主要是指剩余的筑路材料，包括石料、砂、石灰、水泥、木料等。上述筑路材料均是按施工进度有计划购置的，但公路工程土石方用量巨大，难免有少量的筑路材料余下来，放置在工棚里或露天堆放、杂乱无序，从宏观上和周围环境很不协调，造成视觉污染。若石灰或水泥随水渗入地下，将使土壤板结、pH值升高，同时还会污染地下水，使该块土地失去生产能力。</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2"/>
        <w:rPr>
          <w:rFonts w:hint="default" w:ascii="Times New Roman" w:hAnsi="Times New Roman" w:eastAsia="宋体" w:cs="Times New Roman"/>
          <w:sz w:val="24"/>
          <w:szCs w:val="24"/>
          <w:lang w:val="en-US" w:eastAsia="zh-CN"/>
        </w:rPr>
      </w:pPr>
      <w:bookmarkStart w:id="34" w:name="_Toc11095"/>
      <w:r>
        <w:rPr>
          <w:rFonts w:hint="eastAsia" w:ascii="Times New Roman" w:hAnsi="Times New Roman" w:eastAsia="宋体" w:cs="Times New Roman"/>
          <w:sz w:val="24"/>
          <w:szCs w:val="24"/>
          <w:lang w:val="en-US" w:eastAsia="zh-CN"/>
        </w:rPr>
        <w:t>3.1.6主要环境影响减缓措施</w:t>
      </w:r>
      <w:bookmarkEnd w:id="34"/>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3"/>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3.1.6.1施工期</w:t>
      </w:r>
    </w:p>
    <w:p>
      <w:pPr>
        <w:keepNext w:val="0"/>
        <w:keepLines w:val="0"/>
        <w:pageBreakBefore w:val="0"/>
        <w:widowControl w:val="0"/>
        <w:numPr>
          <w:ilvl w:val="0"/>
          <w:numId w:val="17"/>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社会环境</w:t>
      </w:r>
    </w:p>
    <w:p>
      <w:pPr>
        <w:keepNext w:val="0"/>
        <w:keepLines w:val="0"/>
        <w:pageBreakBefore w:val="0"/>
        <w:widowControl w:val="0"/>
        <w:numPr>
          <w:ilvl w:val="0"/>
          <w:numId w:val="18"/>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保畅措施∶以半封闭方式组织施工，给行人、自行车和公共汽车留出通道</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采取修建临时道路和搭建临时便桥，并设置必要的安全措施</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制定道路施工计划时，注意统筹规划，合理安排，同时相临和相交路段尽量分期施工，以有利于机动车的及时有效分流，减少因车辆方向性拥挤而造成的交通阻塞。</w:t>
      </w:r>
    </w:p>
    <w:p>
      <w:pPr>
        <w:keepNext w:val="0"/>
        <w:keepLines w:val="0"/>
        <w:pageBreakBefore w:val="0"/>
        <w:widowControl w:val="0"/>
        <w:numPr>
          <w:ilvl w:val="0"/>
          <w:numId w:val="18"/>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拆迁安置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应重视征地、拆迁安置工作，道路的设计选线尽量避开耕地、人口密集区、学校，减少征地面积和拆迁安置量。对于无法避让的路段，应作好安置计划。本工程在建设施工前必须落实科学发展观的指导思想，以人为本，共建和谐社会，根据国家有关征地、拆迁补偿的方针、政策、法律、法规、标准及地方有关政策、法规、标准，结合当地国民经济和被征地、拆迁对象的实际情况，兼顾国家、地方和受损的群众、企事业单位的利益，严格制定《征地、拆迁补偿方案和补偿标准》和编制《拆迁安置计划》，并在当地有关部门的监督下落到实处。帮助和扶持受损对象，道路建成后，保证其生活水平不低于失去土地前的水平。</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施工前，必须先行落实麻堡小学的拆迁安置方案，并修建新的教学设施，遵循</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先安置、后施工</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的原则，确保麻堡小学正常的教学秩序不因项目建设而受影响。</w:t>
      </w:r>
    </w:p>
    <w:p>
      <w:pPr>
        <w:keepNext w:val="0"/>
        <w:keepLines w:val="0"/>
        <w:pageBreakBefore w:val="0"/>
        <w:widowControl w:val="0"/>
        <w:numPr>
          <w:ilvl w:val="0"/>
          <w:numId w:val="18"/>
        </w:numPr>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电力输送和通讯线的迁移</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在工程施工前，应积极开展与电力、通讯部门的协调工作。在每一电力线迁移点，应有专门的安全监管员负责安全工作。安全警告如设立明显的警告线，夜间安装明显的指示灯等应该得到充分考虑。</w:t>
      </w:r>
    </w:p>
    <w:p>
      <w:pPr>
        <w:keepNext w:val="0"/>
        <w:keepLines w:val="0"/>
        <w:pageBreakBefore w:val="0"/>
        <w:widowControl w:val="0"/>
        <w:numPr>
          <w:ilvl w:val="0"/>
          <w:numId w:val="17"/>
        </w:numPr>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生态环境</w:t>
      </w:r>
    </w:p>
    <w:p>
      <w:pPr>
        <w:keepNext w:val="0"/>
        <w:keepLines w:val="0"/>
        <w:pageBreakBefore w:val="0"/>
        <w:widowControl w:val="0"/>
        <w:numPr>
          <w:ilvl w:val="0"/>
          <w:numId w:val="19"/>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合理规划，作好土石方挖填平衡和纵向调运，减少临时占地与借土占地。做好山体开挖后的绿化措施，避免造成大的景观影响。</w:t>
      </w:r>
    </w:p>
    <w:p>
      <w:pPr>
        <w:keepNext w:val="0"/>
        <w:keepLines w:val="0"/>
        <w:pageBreakBefore w:val="0"/>
        <w:widowControl w:val="0"/>
        <w:numPr>
          <w:ilvl w:val="0"/>
          <w:numId w:val="19"/>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加强施工人员的环境保护教育，增强环保意识，在施工中不乱砍伐树木，取土、弃土，应按设计要求进行。减少对作业区周围草地、灌木丛的破坏，施工营地不准设在林地</w:t>
      </w:r>
    </w:p>
    <w:p>
      <w:pPr>
        <w:keepNext w:val="0"/>
        <w:keepLines w:val="0"/>
        <w:pageBreakBefore w:val="0"/>
        <w:widowControl w:val="0"/>
        <w:numPr>
          <w:ilvl w:val="0"/>
          <w:numId w:val="19"/>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施工人员应爱护和保护野生动物，不得捕杀野生动物，在道路施工过程中若遇到野生动物时，应及时把它们移到远离公路的地方放生。</w:t>
      </w:r>
    </w:p>
    <w:p>
      <w:pPr>
        <w:keepNext w:val="0"/>
        <w:keepLines w:val="0"/>
        <w:pageBreakBefore w:val="0"/>
        <w:widowControl w:val="0"/>
        <w:numPr>
          <w:ilvl w:val="0"/>
          <w:numId w:val="19"/>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工程弃土场要做好挡土墙，按先挡后弃的原则，分期安排挡墙工程。于弃土的顶部及侧部设置排水沟，避免雨水直接冲刷。在弃渣场的裸露部分撒播草籽进行绿化</w:t>
      </w:r>
      <w:r>
        <w:rPr>
          <w:rFonts w:hint="eastAsia" w:ascii="Times New Roman" w:hAnsi="Times New Roman" w:eastAsia="宋体" w:cs="Times New Roman"/>
          <w:sz w:val="24"/>
          <w:szCs w:val="24"/>
          <w:lang w:val="en-US" w:eastAsia="zh-CN"/>
        </w:rPr>
        <w:t>。</w:t>
      </w:r>
    </w:p>
    <w:p>
      <w:pPr>
        <w:keepNext w:val="0"/>
        <w:keepLines w:val="0"/>
        <w:pageBreakBefore w:val="0"/>
        <w:widowControl w:val="0"/>
        <w:numPr>
          <w:ilvl w:val="0"/>
          <w:numId w:val="19"/>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路基成形后即应按绿化设计要求对环境设施带进行绿化栽植。在道路营运2～3年内，道路沿线植被覆盖率应恢复到原有水平。</w:t>
      </w:r>
    </w:p>
    <w:p>
      <w:pPr>
        <w:keepNext w:val="0"/>
        <w:keepLines w:val="0"/>
        <w:pageBreakBefore w:val="0"/>
        <w:widowControl w:val="0"/>
        <w:numPr>
          <w:ilvl w:val="0"/>
          <w:numId w:val="19"/>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严格按照爆破技术规范进行、选择合适的季节进行爆破。</w:t>
      </w:r>
    </w:p>
    <w:p>
      <w:pPr>
        <w:keepNext w:val="0"/>
        <w:keepLines w:val="0"/>
        <w:pageBreakBefore w:val="0"/>
        <w:widowControl w:val="0"/>
        <w:numPr>
          <w:ilvl w:val="0"/>
          <w:numId w:val="19"/>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临时堆场尽量选择荒地或耕作条件较差的土地，工程结束后予以清理、复绿，以补偿临时占地造成的绿地损失。</w:t>
      </w:r>
    </w:p>
    <w:p>
      <w:pPr>
        <w:keepNext w:val="0"/>
        <w:keepLines w:val="0"/>
        <w:pageBreakBefore w:val="0"/>
        <w:widowControl w:val="0"/>
        <w:numPr>
          <w:ilvl w:val="0"/>
          <w:numId w:val="19"/>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建设单位应将所占耕地的耕作层土壤堆在一边，用于新开垦耕地、劣质地或其它耕地的土壤改良。</w:t>
      </w:r>
    </w:p>
    <w:p>
      <w:pPr>
        <w:keepNext w:val="0"/>
        <w:keepLines w:val="0"/>
        <w:pageBreakBefore w:val="0"/>
        <w:widowControl w:val="0"/>
        <w:numPr>
          <w:ilvl w:val="0"/>
          <w:numId w:val="19"/>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工程施工中应尽量避免占用耕地，特别应尽量少占用基本农田。对占用的耕地要及时按照相关政策进行补偿，帮助农民实行产业结构调整，使失去十地的农民的生产和生活不低于征地前的水平</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工程完工后应及时对临时用地和部分弃渣场进行复耕以减少对耕地的占用。</w:t>
      </w:r>
    </w:p>
    <w:p>
      <w:pPr>
        <w:keepNext w:val="0"/>
        <w:keepLines w:val="0"/>
        <w:pageBreakBefore w:val="0"/>
        <w:widowControl w:val="0"/>
        <w:numPr>
          <w:ilvl w:val="0"/>
          <w:numId w:val="19"/>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对占用的基本农田，除依照《中华人民共和国工地管理法》和有关政法规的规定交纳税费外，并应当按照占多少，恳多少的原则，由占用单位或入人负责开垦与拟建公路所占基本农田的数量与质量相当的耕地</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没有条件开垦或者开垦的耕地不符合要求的，由用地单位或个人，按照责州省的规定缴纳耕地开垦费，向所占基本农田的区（市）土地主管部门缴纳耕地造地费，专款用于开恳新的耕地。经国务院批准占用基本农田的，当地人民政府应当按照国务院的批准文件修改土地利用总体规划，并补充划入数量和质量相当的基本农田。占用基本农田的单位应当按照县级地方人民政府的要求，将所占用的基本农田耕作层的壤用于新开垦的耕地、劣质地或其它耕地的土壤改良。在下阶段的设计中，应在满足技术标准的前提下，尽量减少基本农田的占用，在穿越基本农田较多的路段，应采取桥梁或收缩路基边坡方案，并保证保护及时恢复农田灌溉系统。</w:t>
      </w:r>
    </w:p>
    <w:p>
      <w:pPr>
        <w:keepNext w:val="0"/>
        <w:keepLines w:val="0"/>
        <w:pageBreakBefore w:val="0"/>
        <w:widowControl w:val="0"/>
        <w:numPr>
          <w:ilvl w:val="0"/>
          <w:numId w:val="19"/>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对塔山公园处，做好山体开挖后的绿化措施，加强边坡绿化和防护等工作，要与主体工程建设统筹规划并与主体工程同步设计、同步施工、同步验收。坚持从实际出发，科学规划，合理布局，宜林则林，宜草则草，适地适树（草），乔灌草综合考虑，优化配置，使其对植物生境的影响降到最小程度;加强施工人员的环境保护教育，增强环保意识，在施工中不乱砍伐树木，取土、弃土，应按设计要求进行。减少对作业区周围草地、灌木丛的破坏;施工人员应爱护和保护野生动物，不得捕杀野生动物，在道路施工过程中若遇到野生动物时，应及时把它们移到远离公路的地方放生</w:t>
      </w:r>
      <w:r>
        <w:rPr>
          <w:rFonts w:hint="eastAsia" w:ascii="Times New Roman" w:hAnsi="Times New Roman" w:eastAsia="宋体" w:cs="Times New Roman"/>
          <w:sz w:val="24"/>
          <w:szCs w:val="24"/>
          <w:lang w:val="en-US" w:eastAsia="zh-CN"/>
        </w:rPr>
        <w:t>。</w:t>
      </w:r>
    </w:p>
    <w:p>
      <w:pPr>
        <w:keepNext w:val="0"/>
        <w:keepLines w:val="0"/>
        <w:pageBreakBefore w:val="0"/>
        <w:widowControl w:val="0"/>
        <w:numPr>
          <w:ilvl w:val="0"/>
          <w:numId w:val="17"/>
        </w:numPr>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水环境</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施工区设置旱厕，并设置化粪池将粪便污水集中收集并初步处理，化粪池上清液鼓励当地农民作为农家肥使用或联系当地环卫部门定期清运处理，施工结束后将旱厕和化粪池覆土掩埋。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施工区生产废水主要来源于机械车辆维修冲洗废水和混凝土拌和车、罐车冲洗废水等，产生的生产废水经沉淀隔油处理后回用。</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在临近</w:t>
      </w:r>
      <w:r>
        <w:rPr>
          <w:rFonts w:hint="eastAsia" w:ascii="Times New Roman" w:hAnsi="Times New Roman" w:eastAsia="宋体" w:cs="Times New Roman"/>
          <w:sz w:val="24"/>
          <w:szCs w:val="24"/>
          <w:lang w:val="en-US" w:eastAsia="zh-CN"/>
        </w:rPr>
        <w:t>董家堰</w:t>
      </w:r>
      <w:r>
        <w:rPr>
          <w:rFonts w:hint="default" w:ascii="Times New Roman" w:hAnsi="Times New Roman" w:eastAsia="宋体" w:cs="Times New Roman"/>
          <w:sz w:val="24"/>
          <w:szCs w:val="24"/>
          <w:lang w:val="en-US" w:eastAsia="zh-CN"/>
        </w:rPr>
        <w:t>水井路段施工时，严禁将生产废水、废料等排入水井，生产废水经沉淀后回收利用，生产废料就近排入弃土场。</w:t>
      </w:r>
    </w:p>
    <w:p>
      <w:pPr>
        <w:keepNext w:val="0"/>
        <w:keepLines w:val="0"/>
        <w:pageBreakBefore w:val="0"/>
        <w:widowControl w:val="0"/>
        <w:numPr>
          <w:ilvl w:val="0"/>
          <w:numId w:val="17"/>
        </w:numPr>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环境空气</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在施工场地应采取洒水抑尘措施，每天洒水4~5次，可以减少扬尘70%左右</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建筑材料包括灰沙、土方的运输必需使用经改装后加有盖板的车辆，避免沿途撒落</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路面沥青材料外购环保部门验收认可的产品</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工程开挖方应集中堆放，以缩小粉尘影响范围，及时回填，减小粉尘影响时间。</w:t>
      </w:r>
    </w:p>
    <w:p>
      <w:pPr>
        <w:keepNext w:val="0"/>
        <w:keepLines w:val="0"/>
        <w:pageBreakBefore w:val="0"/>
        <w:widowControl w:val="0"/>
        <w:numPr>
          <w:ilvl w:val="0"/>
          <w:numId w:val="17"/>
        </w:numPr>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声环境</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根据沿线敏感点与路线的相对位置关系，以及临近敏感点的路段形式，亮天寨、高坡村、王家院、沙文镇、沙文中学等敏感点，施工期受到施工噪声影响，为此需采取以下措施减轻施工噪声对声环境的影响∶</w:t>
      </w:r>
    </w:p>
    <w:p>
      <w:pPr>
        <w:keepNext w:val="0"/>
        <w:keepLines w:val="0"/>
        <w:pageBreakBefore w:val="0"/>
        <w:widowControl w:val="0"/>
        <w:numPr>
          <w:ilvl w:val="0"/>
          <w:numId w:val="2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施工时尽量选用低噪声设备，所选设备必须符合国家有关标准的要求</w:t>
      </w:r>
      <w:r>
        <w:rPr>
          <w:rFonts w:hint="eastAsia" w:ascii="Times New Roman" w:hAnsi="Times New Roman" w:eastAsia="宋体" w:cs="Times New Roman"/>
          <w:sz w:val="24"/>
          <w:szCs w:val="24"/>
          <w:lang w:val="en-US" w:eastAsia="zh-CN"/>
        </w:rPr>
        <w:t>，震动较大的固定机械设备应加装减振机座，固定强噪声源应考虑加装隔音罩，同时加强设备的维护和保养，保持其良好运转，以便从源头上降低施工机械的噪声级；</w:t>
      </w:r>
    </w:p>
    <w:p>
      <w:pPr>
        <w:keepNext w:val="0"/>
        <w:keepLines w:val="0"/>
        <w:pageBreakBefore w:val="0"/>
        <w:widowControl w:val="0"/>
        <w:numPr>
          <w:ilvl w:val="0"/>
          <w:numId w:val="2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强噪声机械施工作业时间应和校方商定，尽量不在学校考试时间和上课时间施工；</w:t>
      </w:r>
    </w:p>
    <w:p>
      <w:pPr>
        <w:keepNext w:val="0"/>
        <w:keepLines w:val="0"/>
        <w:pageBreakBefore w:val="0"/>
        <w:widowControl w:val="0"/>
        <w:numPr>
          <w:ilvl w:val="0"/>
          <w:numId w:val="2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避免高噪声设备同时运营；</w:t>
      </w:r>
    </w:p>
    <w:p>
      <w:pPr>
        <w:keepNext w:val="0"/>
        <w:keepLines w:val="0"/>
        <w:pageBreakBefore w:val="0"/>
        <w:widowControl w:val="0"/>
        <w:numPr>
          <w:ilvl w:val="0"/>
          <w:numId w:val="2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对教学楼和办公楼采取抽样监测，视监测结果采取移动式或临时声屏 障等防噪措施；</w:t>
      </w:r>
    </w:p>
    <w:p>
      <w:pPr>
        <w:keepNext w:val="0"/>
        <w:keepLines w:val="0"/>
        <w:pageBreakBefore w:val="0"/>
        <w:widowControl w:val="0"/>
        <w:numPr>
          <w:ilvl w:val="0"/>
          <w:numId w:val="2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建设单位应责成施工单位在施工现场标明张布通告和投诉电话，建设单位在接到报案后应及时与当地环保部门取得联系，以便及时处理各种环境纠 纷；</w:t>
      </w:r>
    </w:p>
    <w:p>
      <w:pPr>
        <w:keepNext w:val="0"/>
        <w:keepLines w:val="0"/>
        <w:pageBreakBefore w:val="0"/>
        <w:widowControl w:val="0"/>
        <w:numPr>
          <w:ilvl w:val="0"/>
          <w:numId w:val="2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噪声大的施工器械在夜间（22：00～06：00）、昼间（12：00～14：00）及学生考试时间停止施工。若必须连续施工作业，施工单位应视具体情况及时与当地环保部门取得联系，按规定申领夜间施工证，同时发布公告最大限度的争取学校的支持。</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3"/>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3.1.6.2营运期</w:t>
      </w:r>
    </w:p>
    <w:p>
      <w:pPr>
        <w:keepNext w:val="0"/>
        <w:keepLines w:val="0"/>
        <w:pageBreakBefore w:val="0"/>
        <w:widowControl w:val="0"/>
        <w:numPr>
          <w:ilvl w:val="0"/>
          <w:numId w:val="21"/>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社会环境</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加强路政管理，宣传教育道路沿线群众不得侵占道路用地修建住房等民用设施，加强安全教育；禁止不符合安全运输规定的车辆上路行使；拟建道路的管理机构应做好交通运输安全预防和宣传工作，确保道路畅通和人民生命财产安全；做好环境保护工程的建设和维护工作，使道路与周围环境相协调，消除道路主体工程阻隔及营运对沿线人民心理上产生的压力；加强道路主体工程的管理工作，确保通道工程畅通，以提供人民的出行方便、工作方便；为保证沿线城区建设规划与拟建道路景观建设相协调，建议主管部门加强道路两侧用地的规划工作，为沿线建筑物的性质、规模和建筑风格的严格审批；加强安全教育，在危险路段设置相应的安全提示标志，避免交通事故。</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若项目营运时对新建麻堡小学有影响，必须委托具有相应资质的单位对其影响进行重先评估，根据评估结果提出具体的防治措施。</w:t>
      </w:r>
    </w:p>
    <w:p>
      <w:pPr>
        <w:keepNext w:val="0"/>
        <w:keepLines w:val="0"/>
        <w:pageBreakBefore w:val="0"/>
        <w:widowControl w:val="0"/>
        <w:numPr>
          <w:ilvl w:val="0"/>
          <w:numId w:val="21"/>
        </w:numPr>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生态环境</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应按道路设计要求，完成拟建道路边坡、道路征地范围内可绿化地面的植树种草工作，以达到恢复植被、减少水土流失、减少雨季路面径流污染路侧水休目的；做好临时施工营地、堆渣场、施工便道等临时古地的植被恢复和绿化的实植被恢复计划。首先，道路绿化工程是一项系统的工程，应在主体工积初步竣工，边坡等工程基本完成后进行植被恢复或复坚。其次，绿化的具体建议如下：边坡绿化应以适应当地生长的草坪植物、藤本或低濯木为主；行道树应以杨树、槐树为主。</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做好塔山公园处边坡绿化和维护工作，使之与周围环境景观相协调，公园植被覆盖率不因项目建设而有所下降。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3、水环境</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严格执行危险品运输规定，危险品运输车辆，必须有明显标志，运输过程中，以便引起其他车辆的重视。一旦事故发生，应及时迅速报警，及时通知有关路政、消防、环保部门，采取应急措施；加强对驾驶员的安全意识教育和职业道德教育，以减少人为交通事故的发生。在泄漏事故发生后应及时采取有效的污染控制措施，严禁化学品进入麦架河，以确保水体不受污染；为防止车辆失控掉入沿线河流和董家堰水井造成水质污染，应对麦架河桥两侧和董家堰水井临路一侧设置防撞护栏；该道路营运期间由于无服务区和养护区等设施，因此对水环境影响较小；本项目营运期，路面雨水经道路两侧的截水沟收集后就近排入水体；要求跨越水体的麦架河桥两侧设置截水沟将初期雨水引出桥面，同时还需设置2处雨水收集池（在事故时作为应急池）用于接纳引出的污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4、声环境</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对预测结果中营运近期出现超标的各敏感点采取相应的防治对策：亮天寨、高坡村、沙子坡、麻堡组、王家院、潘家湾、沙文镇、沙文中学等敏感点设置通风隔声窗，共需费用129.88万元。在村寨集镇处设置限速、禁鸣等措施，以最大限度降低车辆运行噪声对居民产生影响。采取措施后各敏感点均能达到《声环境质量标准》（GB3096-2008）中相关标准的要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5、环境空气</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加强交通管理和提供良好的行驶条件，周期、随机调查机动车噪声和尾气，若调查的机动车不能满足噪声及尾气排放标准，应采取措施禁止这些机动车的通行。</w:t>
      </w:r>
    </w:p>
    <w:p>
      <w:pPr>
        <w:keepNext w:val="0"/>
        <w:keepLines w:val="0"/>
        <w:pageBreakBefore w:val="0"/>
        <w:widowControl w:val="0"/>
        <w:numPr>
          <w:ilvl w:val="0"/>
          <w:numId w:val="17"/>
        </w:numPr>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危险品运输事故</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拟建道路本地危险品运输主要有柴油、汽油、液化气、农药以及化工原料等。危险品运输的风险主要表现为因交通事故和违反危险品运输的有关规定，使被运送的危险品在途中发生爆炸、燃烧或逸漏，并对当地环境造成污染影响。从预测出里可见，拟建道路发生危险品运输事故的概率非常小。但是只要发生危险品运论事故，对路域环境都将可能造成严重的污染和破坏，特别是对沿线的沙文镇、麦架河等产生较严重的影响。因此，应积极采取措施减少危险品运输风险，制定危险品运输事故污染风险减缓措施及应急措施，从道路设计阶段，到营运期上路检杳、途中运输、停车，直到事故处理等各个环节，要加强管理，以预防危险品运输事故的发生和控制突发环境污染事故事态的扩大。</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2"/>
        <w:rPr>
          <w:rFonts w:hint="eastAsia" w:ascii="Times New Roman" w:hAnsi="Times New Roman" w:eastAsia="宋体" w:cs="Times New Roman"/>
          <w:sz w:val="24"/>
          <w:szCs w:val="24"/>
          <w:lang w:val="en-US" w:eastAsia="zh-CN"/>
        </w:rPr>
      </w:pPr>
      <w:bookmarkStart w:id="35" w:name="_Toc29587"/>
      <w:r>
        <w:rPr>
          <w:rFonts w:hint="eastAsia" w:ascii="Times New Roman" w:hAnsi="Times New Roman" w:eastAsia="宋体" w:cs="Times New Roman"/>
          <w:sz w:val="24"/>
          <w:szCs w:val="24"/>
          <w:lang w:val="en-US" w:eastAsia="zh-CN"/>
        </w:rPr>
        <w:t>3.1.7水土保持</w:t>
      </w:r>
      <w:bookmarkEnd w:id="35"/>
    </w:p>
    <w:p>
      <w:pPr>
        <w:keepNext w:val="0"/>
        <w:keepLines w:val="0"/>
        <w:pageBreakBefore w:val="0"/>
        <w:widowControl w:val="0"/>
        <w:numPr>
          <w:ilvl w:val="0"/>
          <w:numId w:val="22"/>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水土流失防治责任范围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根据“谁开发、谁保护，谁造成水土流失、谁负责治理”的原则，按照《开发建设项目水土保持方案技术规范》（SL204-98）关于开发建设项目水土流失防治责任范围界定的有关规定，结合项目工程建设及工程运行期可能影响的水土流失范围，确定本方案水土流失防治责任范围总面积为94.73h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lang w:val="en-US" w:eastAsia="zh-CN"/>
        </w:rPr>
        <w:t>，其中，项目建设区面积77.8hm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lang w:val="en-US" w:eastAsia="zh-CN"/>
        </w:rPr>
        <w:t>，直接影响区16.93hm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lang w:val="en-US" w:eastAsia="zh-CN"/>
        </w:rPr>
        <w:t>。</w:t>
      </w:r>
    </w:p>
    <w:p>
      <w:pPr>
        <w:keepNext w:val="0"/>
        <w:keepLines w:val="0"/>
        <w:pageBreakBefore w:val="0"/>
        <w:widowControl w:val="0"/>
        <w:numPr>
          <w:ilvl w:val="0"/>
          <w:numId w:val="22"/>
        </w:numPr>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水土保持措施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根据本工程《水土保持方案》水土流失预测结果，结合主体工程已有水土保持功能的工程等内容，项目工程水土流失防治措施体系由预防措施、临时措施和治理措施等3大部分组成，水土保持防治措施体系详见本环境影响报告书第七章。拟建道路所经地区地形变化大，地貌类型多样，水文地质构造较复杂。本工程已经编制了水土保持方案报告书，只要按照其要求的防护措施严格执行，从技术上看是基本可行的。</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2"/>
        <w:rPr>
          <w:rFonts w:hint="default" w:ascii="Times New Roman" w:hAnsi="Times New Roman" w:eastAsia="宋体" w:cs="Times New Roman"/>
          <w:sz w:val="24"/>
          <w:szCs w:val="24"/>
          <w:lang w:val="en-US" w:eastAsia="zh-CN"/>
        </w:rPr>
      </w:pPr>
      <w:bookmarkStart w:id="36" w:name="_Toc8501"/>
      <w:r>
        <w:rPr>
          <w:rFonts w:hint="eastAsia" w:ascii="Times New Roman" w:hAnsi="Times New Roman" w:eastAsia="宋体" w:cs="Times New Roman"/>
          <w:sz w:val="24"/>
          <w:szCs w:val="24"/>
          <w:lang w:val="en-US" w:eastAsia="zh-CN"/>
        </w:rPr>
        <w:t>3.1.8公众参与</w:t>
      </w:r>
      <w:bookmarkEnd w:id="36"/>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根据《环境影响评价公众参与暂行办法》（2006年3月18日起施行）的要求，为了解拟建道路沿线公众对建设工程的反映，本次评价通过在项目直接影响区，路线经过的乡镇、办事处和村委会张贴公告，进行第一次公示。第二次是通过发放公众参与调查表格，广泛收集沿线乡镇（街道）及所属的镇（乡）的村委会、学校、企事业单位、社会团体及受影响的居民对道路建设的态度、意见和要求；第三次公众参与，在贵阳高新区网页发布第二次公告信息。根据调查结果统计，对该公路的建设支持率为95%以上；参加公众参与的个人和团体认为该道路建设对当地的经济发展有利∶对道路建设将占用土地和拆迁建筑物等，绝大部分表示理解，支持道路建设，服从国家或地方的征地、拆迁和重新安置政策，但建议尽量少占用良田沃土和少拆迁居民房屋，尽量采用货币安置；对道路建设对环境的影响，大多数人认为主要是噪声和灰尘，建议采取绿化、隔声窗等减缓措施，减轻对环境的影响。公众可以通过贵阳高新区网页下载或向建设单位和环评单位索取报告书简本，公众参与意见可以通过电话和邮箱与项目实施单位或环评单位提出，环评单位将公众意见反馈到报告书报批本中，以供管理部门和建设单位参考。</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2"/>
        <w:rPr>
          <w:rFonts w:hint="default" w:ascii="Times New Roman" w:hAnsi="Times New Roman" w:eastAsia="宋体" w:cs="Times New Roman"/>
          <w:sz w:val="24"/>
          <w:szCs w:val="24"/>
          <w:lang w:val="en-US" w:eastAsia="zh-CN"/>
        </w:rPr>
      </w:pPr>
      <w:bookmarkStart w:id="37" w:name="_Toc14525"/>
      <w:r>
        <w:rPr>
          <w:rFonts w:hint="eastAsia" w:ascii="Times New Roman" w:hAnsi="Times New Roman" w:eastAsia="宋体" w:cs="Times New Roman"/>
          <w:sz w:val="24"/>
          <w:szCs w:val="24"/>
          <w:lang w:val="en-US" w:eastAsia="zh-CN"/>
        </w:rPr>
        <w:t>3.1.9环境经济损益分析</w:t>
      </w:r>
      <w:bookmarkEnd w:id="37"/>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本项目工程总投资为126361.24万元，环保投资经费总额约为5171.19万元，约占工程总投资的4.09%。环保投资与项目运行期效益比为4.33%。</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2"/>
        <w:rPr>
          <w:rFonts w:hint="default" w:ascii="Times New Roman" w:hAnsi="Times New Roman" w:eastAsia="宋体" w:cs="Times New Roman"/>
          <w:sz w:val="24"/>
          <w:szCs w:val="24"/>
          <w:lang w:val="en-US" w:eastAsia="zh-CN"/>
        </w:rPr>
      </w:pPr>
      <w:bookmarkStart w:id="38" w:name="_Toc13965"/>
      <w:r>
        <w:rPr>
          <w:rFonts w:hint="eastAsia" w:ascii="Times New Roman" w:hAnsi="Times New Roman" w:eastAsia="宋体" w:cs="Times New Roman"/>
          <w:sz w:val="24"/>
          <w:szCs w:val="24"/>
          <w:lang w:val="en-US" w:eastAsia="zh-CN"/>
        </w:rPr>
        <w:t>3.1.10环评结论</w:t>
      </w:r>
      <w:bookmarkEnd w:id="38"/>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综上所述，本工程在真正落实各项环境影响减缓措施的基础上，从环境保护角度，项目建设是可行的。</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1"/>
        <w:rPr>
          <w:rFonts w:hint="default" w:ascii="Times New Roman" w:hAnsi="Times New Roman" w:eastAsia="宋体" w:cs="Times New Roman"/>
          <w:sz w:val="24"/>
          <w:szCs w:val="24"/>
          <w:lang w:val="en-US" w:eastAsia="zh-CN"/>
        </w:rPr>
      </w:pPr>
      <w:bookmarkStart w:id="39" w:name="_Toc16087"/>
      <w:r>
        <w:rPr>
          <w:rFonts w:hint="eastAsia" w:ascii="Times New Roman" w:hAnsi="Times New Roman" w:eastAsia="宋体" w:cs="Times New Roman"/>
          <w:sz w:val="24"/>
          <w:szCs w:val="24"/>
          <w:lang w:val="en-US" w:eastAsia="zh-CN"/>
        </w:rPr>
        <w:t>3.2环境影响评价报告建议</w:t>
      </w:r>
      <w:bookmarkEnd w:id="39"/>
    </w:p>
    <w:p>
      <w:pPr>
        <w:keepNext w:val="0"/>
        <w:keepLines w:val="0"/>
        <w:pageBreakBefore w:val="0"/>
        <w:widowControl w:val="0"/>
        <w:numPr>
          <w:ilvl w:val="0"/>
          <w:numId w:val="23"/>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本项目沿线均存在地质灾害危险可能，在下阶段的设计中，需进行详细勘察，工程建设应严格按照已编制的地质灾害危险性评估报告书实施。</w:t>
      </w:r>
    </w:p>
    <w:p>
      <w:pPr>
        <w:keepNext w:val="0"/>
        <w:keepLines w:val="0"/>
        <w:pageBreakBefore w:val="0"/>
        <w:widowControl w:val="0"/>
        <w:numPr>
          <w:ilvl w:val="0"/>
          <w:numId w:val="23"/>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建设单位应保证拆迁安置费用及时足量到位，以落实各项规划的安置对策，不让失地农民失去生活保障。</w:t>
      </w:r>
    </w:p>
    <w:p>
      <w:pPr>
        <w:keepNext w:val="0"/>
        <w:keepLines w:val="0"/>
        <w:pageBreakBefore w:val="0"/>
        <w:widowControl w:val="0"/>
        <w:numPr>
          <w:ilvl w:val="0"/>
          <w:numId w:val="23"/>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项目建设应按已制定的工程水土保持方案严格实施。</w:t>
      </w:r>
    </w:p>
    <w:p>
      <w:pPr>
        <w:keepNext w:val="0"/>
        <w:keepLines w:val="0"/>
        <w:pageBreakBefore w:val="0"/>
        <w:widowControl w:val="0"/>
        <w:numPr>
          <w:ilvl w:val="0"/>
          <w:numId w:val="23"/>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本评价是以工程可研报告为依据，随着设计的不断深入和优化，工可阶段的环境敏感点与拟建工程的相对位置可能发生变化，因此，在工程施工及将来的验收中，应结合实际予以考虑</w:t>
      </w:r>
      <w:r>
        <w:rPr>
          <w:rFonts w:hint="eastAsia" w:ascii="Times New Roman" w:hAnsi="Times New Roman" w:eastAsia="宋体" w:cs="Times New Roman"/>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1"/>
        <w:rPr>
          <w:rFonts w:hint="eastAsia" w:ascii="Times New Roman" w:hAnsi="Times New Roman" w:eastAsia="宋体" w:cs="Times New Roman"/>
          <w:sz w:val="24"/>
          <w:szCs w:val="24"/>
          <w:lang w:val="en-US" w:eastAsia="zh-CN"/>
        </w:rPr>
      </w:pPr>
      <w:bookmarkStart w:id="40" w:name="_Toc29687"/>
      <w:r>
        <w:rPr>
          <w:rFonts w:hint="eastAsia" w:ascii="Times New Roman" w:hAnsi="Times New Roman" w:eastAsia="宋体" w:cs="Times New Roman"/>
          <w:sz w:val="24"/>
          <w:szCs w:val="24"/>
          <w:lang w:val="en-US" w:eastAsia="zh-CN"/>
        </w:rPr>
        <w:t>3.3环境影响评价报告批复</w:t>
      </w:r>
      <w:bookmarkEnd w:id="40"/>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2009年04月03日，贵州省环境保护厅对本工程环评报告作出批复，其批复文件为《关于贵阳高新技术产业经济带沙文生态科技产业园金苏大道道路工程环境影响评价报告书的批复》（黔环函[2009]185号）文件。现将批复文件主要内容摘录如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一、《报告书》内容较全面，结论明确，提出的各项生态保护和污染防治措施基本可行，可以作为该项目工程设计、施工及环境管理的依据。</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金苏大道道路工程地处贵阳市城区北部，南起金阳新区长岭路北段、金岭路交叉口，总体走向为南北方向，向北先后经白云大道、同心路、白沙路、绕城高速、拟建的麦沙大道，终于规划的青山路。本工程为城市道路I级主干道，全长约11.6km（其中 K2+680～K3+880、K3+880～K5+740路段计3060m为拓宽改造），红线宽60m，设计车速为60km/h，路面结构为沥青混凝土路面。</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该工程符合《贵阳市城市道路网规划》、《白云区控制性详细规划》、《贵阳高新技术经济带沙文生态科技产业园控制性详细规划》，贵阳市发展和改革委员会已经批准该项目立项（筑发改投字〔2008〕425号）。在全面落实报告书提出的各 项防治生态破坏和环境污染措施的前提下，我局同意该工程按 拟选方案进行建设。</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二、项目建设和运行管理中应重点做好以下工作</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（一）</w:t>
      </w:r>
      <w:r>
        <w:rPr>
          <w:rFonts w:hint="eastAsia" w:ascii="Times New Roman" w:hAnsi="Times New Roman" w:eastAsia="宋体" w:cs="Times New Roman"/>
          <w:sz w:val="24"/>
          <w:szCs w:val="24"/>
          <w:lang w:val="en-US" w:eastAsia="zh-CN"/>
        </w:rPr>
        <w:tab/>
      </w:r>
      <w:r>
        <w:rPr>
          <w:rFonts w:hint="eastAsia" w:ascii="Times New Roman" w:hAnsi="Times New Roman" w:eastAsia="宋体" w:cs="Times New Roman"/>
          <w:sz w:val="24"/>
          <w:szCs w:val="24"/>
          <w:lang w:val="en-US" w:eastAsia="zh-CN"/>
        </w:rPr>
        <w:t>做好拆迁安置的环境保护工作，防止次生环境问题。进一步优线路方案，降低高填深挖带来的生态环境破坏。优化塔山公园路段景观设计，最大限度地减轻对塔山公园的影响。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（二）</w:t>
      </w:r>
      <w:r>
        <w:rPr>
          <w:rFonts w:hint="eastAsia" w:ascii="Times New Roman" w:hAnsi="Times New Roman" w:eastAsia="宋体" w:cs="Times New Roman"/>
          <w:sz w:val="24"/>
          <w:szCs w:val="24"/>
          <w:lang w:val="en-US" w:eastAsia="zh-CN"/>
        </w:rPr>
        <w:tab/>
      </w:r>
      <w:r>
        <w:rPr>
          <w:rFonts w:hint="eastAsia" w:ascii="Times New Roman" w:hAnsi="Times New Roman" w:eastAsia="宋体" w:cs="Times New Roman"/>
          <w:sz w:val="24"/>
          <w:szCs w:val="24"/>
          <w:lang w:val="en-US" w:eastAsia="zh-CN"/>
        </w:rPr>
        <w:t>加强施工期环境管理。施工营地应选址在保护目标下风向300米以外并远离主要水体。施工生活污水经处理后回于施工活动，设置旱厕，粪便用作农肥综合利用或按相关主管部门要求处置。施工废水经处理后，尽量全部回用于施工活动，剩余部分用于开挖路面洒水降尘。妥善处理桥梁孔桩施工产生的废渣、废泥浆、污水，防止桥梁施工产生环境污染。生活垃圾送城市生活垃圾处理场。采取洒水、密闭运输、清洗 运输工具等措施，防止施工扬尘、渣土对环境的影响。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（三）</w:t>
      </w:r>
      <w:r>
        <w:rPr>
          <w:rFonts w:hint="eastAsia" w:ascii="Times New Roman" w:hAnsi="Times New Roman" w:eastAsia="宋体" w:cs="Times New Roman"/>
          <w:sz w:val="24"/>
          <w:szCs w:val="24"/>
          <w:lang w:val="en-US" w:eastAsia="zh-CN"/>
        </w:rPr>
        <w:tab/>
      </w:r>
      <w:r>
        <w:rPr>
          <w:rFonts w:hint="eastAsia" w:ascii="Times New Roman" w:hAnsi="Times New Roman" w:eastAsia="宋体" w:cs="Times New Roman"/>
          <w:sz w:val="24"/>
          <w:szCs w:val="24"/>
          <w:lang w:val="en-US" w:eastAsia="zh-CN"/>
        </w:rPr>
        <w:t>合理组织施工，保证施工期现有各种管、线、沟、渠、河流、道路等通道的畅通。做好土石方量平衡，控制施工期水土流失，减少建筑垃圾产生，表土集中堆存并用于绿化，合理选址临时堆场并做好扬尘和水土流失防止工作，弃（土）渣及时清运至 K0+420、K9+120、K9+860处1、2、3号弃渣场妥善处置。工程不设置沥青、混凝土拌合站和料场，所需沥青、混凝土、砂石料外购。工程结束后，及时清理和恢复施工迹地，对渣场进行生态恢复。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（四）</w:t>
      </w:r>
      <w:r>
        <w:rPr>
          <w:rFonts w:hint="eastAsia" w:ascii="Times New Roman" w:hAnsi="Times New Roman" w:eastAsia="宋体" w:cs="Times New Roman"/>
          <w:sz w:val="24"/>
          <w:szCs w:val="24"/>
          <w:lang w:val="en-US" w:eastAsia="zh-CN"/>
        </w:rPr>
        <w:tab/>
      </w:r>
      <w:r>
        <w:rPr>
          <w:rFonts w:hint="eastAsia" w:ascii="Times New Roman" w:hAnsi="Times New Roman" w:eastAsia="宋体" w:cs="Times New Roman"/>
          <w:sz w:val="24"/>
          <w:szCs w:val="24"/>
          <w:lang w:val="en-US" w:eastAsia="zh-CN"/>
        </w:rPr>
        <w:t>做好施工期噪声污染治工作。合理安排施工时间，禁止夜间施工，减缓施工噪声的污染影响，防止施工活动干扰学校等敏感目标的正常运转。采取有效措施确保施工期噪声满足《建筑施工场界噪声限值》（GB12523-90）标准要求。</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（五）</w:t>
      </w:r>
      <w:r>
        <w:rPr>
          <w:rFonts w:hint="eastAsia" w:ascii="Times New Roman" w:hAnsi="Times New Roman" w:eastAsia="宋体" w:cs="Times New Roman"/>
          <w:sz w:val="24"/>
          <w:szCs w:val="24"/>
          <w:lang w:val="en-US" w:eastAsia="zh-CN"/>
        </w:rPr>
        <w:tab/>
      </w:r>
      <w:r>
        <w:rPr>
          <w:rFonts w:hint="eastAsia" w:ascii="Times New Roman" w:hAnsi="Times New Roman" w:eastAsia="宋体" w:cs="Times New Roman"/>
          <w:sz w:val="24"/>
          <w:szCs w:val="24"/>
          <w:lang w:val="en-US" w:eastAsia="zh-CN"/>
        </w:rPr>
        <w:t>采取完善交通标识、绿化、搬迁、隔声等工程措施，加强交通组织管理，确保营运期道元精化厂、艳山红小学、贵阳耐火材料厂处居民、贵阳耐火材料厂医院、贵州铝厂生活区、贵铝医院、白云第一中学、干田砖厂居民点、马场营、麻堡组、麻堡小学、王家院、新寨等声环境敏感目标和该工程沿线声环境质量达到相应功能区标准要求。加强对沿线噪声敏感点跟踪监测，根据噪声实测结果及时采取防治措施。积极配合地方人民政府合理规划沿线土地的使用，禁止在线路两侧新建学校、医院、住宅等噪声敏感建筑物。</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（六）</w:t>
      </w:r>
      <w:r>
        <w:rPr>
          <w:rFonts w:hint="eastAsia" w:ascii="Times New Roman" w:hAnsi="Times New Roman" w:eastAsia="宋体" w:cs="Times New Roman"/>
          <w:sz w:val="24"/>
          <w:szCs w:val="24"/>
          <w:lang w:val="en-US" w:eastAsia="zh-CN"/>
        </w:rPr>
        <w:tab/>
      </w:r>
      <w:r>
        <w:rPr>
          <w:rFonts w:hint="eastAsia" w:ascii="Times New Roman" w:hAnsi="Times New Roman" w:eastAsia="宋体" w:cs="Times New Roman"/>
          <w:sz w:val="24"/>
          <w:szCs w:val="24"/>
          <w:lang w:val="en-US" w:eastAsia="zh-CN"/>
        </w:rPr>
        <w:t>做好K7+700董家堰水井的保护，严禁在水井周围设置施工营地、弃土场、材料堆放场等，防止施工活动影响其水质、水量，并落实饮用该泉水的高坡村亮天寨的应急、替代供水方案。</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（七）</w:t>
      </w:r>
      <w:r>
        <w:rPr>
          <w:rFonts w:hint="eastAsia" w:ascii="Times New Roman" w:hAnsi="Times New Roman" w:eastAsia="宋体" w:cs="Times New Roman"/>
          <w:sz w:val="24"/>
          <w:szCs w:val="24"/>
          <w:lang w:val="en-US" w:eastAsia="zh-CN"/>
        </w:rPr>
        <w:tab/>
      </w:r>
      <w:r>
        <w:rPr>
          <w:rFonts w:hint="eastAsia" w:ascii="Times New Roman" w:hAnsi="Times New Roman" w:eastAsia="宋体" w:cs="Times New Roman"/>
          <w:sz w:val="24"/>
          <w:szCs w:val="24"/>
          <w:lang w:val="en-US" w:eastAsia="zh-CN"/>
        </w:rPr>
        <w:t>制定事故应急预案，落实环境风险防范措施，强化跨河桥梁防撞设计，营运期严格控制危险品运输车辆通行，防止危险品运输车辆发生交通事故进而引发环境污染事故。</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三、在初步设计环保篇章中落实防治生态破坏和环境污染的各项措施及投资。开展工程环境监理，在施工招标文件、施工合同和工程监理招标文件中明确环保条款和责任，定期向当地环保局提交施工期环境监理报告。</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四、项目建设必须严格执行环境保护设施及措施与主体工程同时设计、同时施工、同时投产使用的环境保护“三同时”制度。工程开工后按季度向白云区环保局报告工程进展和环保“三同时”执行情况。项目竣工后，建设单位必须按规定程序向我局申请竣工环保验收。验收合格后，项目方可正式投入运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五、我局委托白云区环保局负责该项目施工期和营运期的环境监管工作。</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六、你单位应在接到本批复后10日内，将本批复和项目环境影响报告书送贵阳市环保局、云区环保局，并主动接受各级环保部门的监督检查。</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br w:type="page"/>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0"/>
        <w:rPr>
          <w:rFonts w:hint="eastAsia" w:ascii="Times New Roman" w:hAnsi="Times New Roman" w:eastAsia="宋体" w:cs="Times New Roman"/>
          <w:b/>
          <w:bCs/>
          <w:sz w:val="24"/>
          <w:szCs w:val="24"/>
          <w:lang w:val="en-US" w:eastAsia="zh-CN"/>
        </w:rPr>
      </w:pPr>
      <w:bookmarkStart w:id="41" w:name="_Toc12555"/>
      <w:r>
        <w:rPr>
          <w:rFonts w:hint="eastAsia" w:ascii="Times New Roman" w:hAnsi="Times New Roman" w:eastAsia="宋体" w:cs="Times New Roman"/>
          <w:b/>
          <w:bCs/>
          <w:sz w:val="24"/>
          <w:szCs w:val="24"/>
          <w:lang w:val="en-US" w:eastAsia="zh-CN"/>
        </w:rPr>
        <w:t>4 环保措施落实情况</w:t>
      </w:r>
      <w:bookmarkEnd w:id="41"/>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贵州省环境科学研究设计院于2009年03月完成《贵阳高新技术产业经济带沙文生态科技产业园金苏大道道路工程环境影响评价报告书》的编制，并于2009年04月03日取得贵州省环境保护厅《关于贵阳高新技术产业经济带沙文生态科技产业园金苏大道道路工程环境影响评价报告书的批复》（黔环函[2009]185号）文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sz w:val="24"/>
          <w:szCs w:val="24"/>
          <w:lang w:val="en-US" w:eastAsia="zh-CN"/>
        </w:rPr>
        <w:t>贵州明德工程咨询有限公司于</w:t>
      </w:r>
      <w:r>
        <w:rPr>
          <w:rFonts w:hint="eastAsia" w:ascii="Times New Roman" w:hAnsi="Times New Roman" w:eastAsia="宋体" w:cs="Times New Roman"/>
          <w:color w:val="auto"/>
          <w:sz w:val="24"/>
          <w:szCs w:val="24"/>
          <w:lang w:val="en-US" w:eastAsia="zh-CN"/>
        </w:rPr>
        <w:t>2020年04月22日对本工程项目进行现场调查及踏勘。根据现场调查走访，本工程在施工和运营阶段的环保措施落实情况见表4-1。</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color w:val="auto"/>
          <w:sz w:val="24"/>
          <w:szCs w:val="24"/>
          <w:lang w:val="en-US" w:eastAsia="zh-CN"/>
        </w:rPr>
        <w:sectPr>
          <w:pgSz w:w="11906" w:h="16838"/>
          <w:pgMar w:top="1440" w:right="1800" w:bottom="1440" w:left="1800" w:header="850" w:footer="992" w:gutter="0"/>
          <w:pgNumType w:fmt="decimal"/>
          <w:cols w:space="425" w:num="1"/>
          <w:docGrid w:type="lines" w:linePitch="312" w:charSpace="0"/>
        </w:sect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表4-1 环境保护措施落实情况一览表</w:t>
      </w:r>
    </w:p>
    <w:tbl>
      <w:tblPr>
        <w:tblStyle w:val="10"/>
        <w:tblW w:w="142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0"/>
        <w:gridCol w:w="1151"/>
        <w:gridCol w:w="8040"/>
        <w:gridCol w:w="2130"/>
        <w:gridCol w:w="23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6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序号</w:t>
            </w:r>
          </w:p>
        </w:tc>
        <w:tc>
          <w:tcPr>
            <w:tcW w:w="115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专题</w:t>
            </w:r>
          </w:p>
        </w:tc>
        <w:tc>
          <w:tcPr>
            <w:tcW w:w="804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环评要求</w:t>
            </w:r>
          </w:p>
        </w:tc>
        <w:tc>
          <w:tcPr>
            <w:tcW w:w="21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批复要求</w:t>
            </w:r>
          </w:p>
        </w:tc>
        <w:tc>
          <w:tcPr>
            <w:tcW w:w="232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115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生态环境</w:t>
            </w:r>
          </w:p>
        </w:tc>
        <w:tc>
          <w:tcPr>
            <w:tcW w:w="804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施工期：</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（1）合理规划，作好土石方挖填平衡和纵向调运，减少临时占地与借土占地。做好山体开挖后的绿化措施，避免造成大的景观影响。</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（2）加强施工人员的环境保护教育，增强环保意识，在施工中不乱砍伐树木，取土、弃土，应按设计要求进行。减少对作业区周围草地、灌木丛的破坏，施工营地不准设在林地</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（3）施工人员应爱护和保护野生动物，不得捕杀野生动物，在道路施工过程中若遇到野生动物时，应及时把它们移到远离公路的地方放生。</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（4）工程弃土场要做好挡土墙，按先挡后弃的原则，分期安排挡墙工程。于弃土的顶部及侧部设置排水沟，避免雨水直接冲刷。在弃渣场的裸露部分撒播草籽进行绿化。</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（5）路基成形后即应按绿化设计要求对环境设施带进行绿化栽植。在道路营运2～3年内，道路沿线植被覆盖率应恢复到原有水平。</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（6）严格按照爆破技术规范进行、选择合适的季节进行爆破。</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（7）临时堆场尽量选择荒地或耕作条件较差的土地，工程结束后予以清理、复绿，以补偿临时占地造成的绿地损失。</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（8）建设单位应将所占耕地的耕作层土壤堆在一边，用于新开垦耕地、劣质地或其它耕地的土壤改良。</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工程施工中应尽量避免占用耕地，特别应尽量少占用基本农田。对占用的耕地要及时按照相关政策进行补偿，帮助农民实行产业结构调整，使失去十地的农民的生产和生活不低于征地前的水平；工程完工后应及时对临时用地和部分弃渣场进行复耕以减少对耕地的占用。</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对占用的基本农田，除依照《中华人民共和国工地管理法》和有关政法规的规定交纳税费外，并应当按照占多少，恳多少的原则，由占用单位或入人负责开垦与拟建公路所占基本农田的数量与质量相当的耕地；没有条件开垦或者开垦的耕地不符合要求的，由用地单位或个人，按照责州省的规定缴纳耕地开垦费，向所占基本农田的区（市）土地主管部门缴纳耕地造地费，</w:t>
            </w:r>
          </w:p>
        </w:tc>
        <w:tc>
          <w:tcPr>
            <w:tcW w:w="21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合理组织施工，保证施工期现有各种管、线、沟、渠、河流、道路等通道的畅通。做好土石方量平衡，控制施工期水土流失，减少建筑垃圾产生，表土集中堆存并用于绿化，合理选址临时堆场并做好扬尘和水土流失防止工作，弃（土）渣及时清运至弃渣场妥善处置。工程不设置沥青、混凝土拌合站和料场，所需沥青、混凝土、砂石料外购。工程结束后，及时清理和</w:t>
            </w:r>
          </w:p>
        </w:tc>
        <w:tc>
          <w:tcPr>
            <w:tcW w:w="2324" w:type="dxa"/>
            <w:vAlign w:val="center"/>
          </w:tcPr>
          <w:p>
            <w:pPr>
              <w:keepNext w:val="0"/>
              <w:keepLines w:val="0"/>
              <w:pageBreakBefore w:val="0"/>
              <w:widowControl w:val="0"/>
              <w:numPr>
                <w:ilvl w:val="0"/>
                <w:numId w:val="24"/>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本项目高填深挖路段较少，山体开挖较少，未造成大的景观影响；</w:t>
            </w:r>
          </w:p>
          <w:p>
            <w:pPr>
              <w:keepNext w:val="0"/>
              <w:keepLines w:val="0"/>
              <w:pageBreakBefore w:val="0"/>
              <w:widowControl w:val="0"/>
              <w:numPr>
                <w:ilvl w:val="0"/>
                <w:numId w:val="24"/>
              </w:numPr>
              <w:kinsoku/>
              <w:wordWrap/>
              <w:overflowPunct/>
              <w:topLinePunct w:val="0"/>
              <w:autoSpaceDE/>
              <w:autoSpaceDN/>
              <w:bidi w:val="0"/>
              <w:adjustRightInd/>
              <w:snapToGrid/>
              <w:spacing w:line="240" w:lineRule="auto"/>
              <w:jc w:val="both"/>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本项目施工营地设置于麻堡组附近，占地为耕地，未占用林地，对周围草地、灌木丛、树木等破坏较小；</w:t>
            </w:r>
          </w:p>
          <w:p>
            <w:pPr>
              <w:keepNext w:val="0"/>
              <w:keepLines w:val="0"/>
              <w:pageBreakBefore w:val="0"/>
              <w:widowControl w:val="0"/>
              <w:numPr>
                <w:ilvl w:val="0"/>
                <w:numId w:val="24"/>
              </w:numPr>
              <w:kinsoku/>
              <w:wordWrap/>
              <w:overflowPunct/>
              <w:topLinePunct w:val="0"/>
              <w:autoSpaceDE/>
              <w:autoSpaceDN/>
              <w:bidi w:val="0"/>
              <w:adjustRightInd/>
              <w:snapToGrid/>
              <w:spacing w:line="240" w:lineRule="auto"/>
              <w:jc w:val="both"/>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施工期间未出现捕杀野生动物现象；</w:t>
            </w:r>
          </w:p>
          <w:p>
            <w:pPr>
              <w:keepNext w:val="0"/>
              <w:keepLines w:val="0"/>
              <w:pageBreakBefore w:val="0"/>
              <w:widowControl w:val="0"/>
              <w:numPr>
                <w:ilvl w:val="0"/>
                <w:numId w:val="24"/>
              </w:numPr>
              <w:kinsoku/>
              <w:wordWrap/>
              <w:overflowPunct/>
              <w:topLinePunct w:val="0"/>
              <w:autoSpaceDE/>
              <w:autoSpaceDN/>
              <w:bidi w:val="0"/>
              <w:adjustRightInd/>
              <w:snapToGrid/>
              <w:spacing w:line="240" w:lineRule="auto"/>
              <w:jc w:val="both"/>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本项目设置3处永久弃土场和3处临时弃土场，永久性弃土场均设于低洼地带，现已平整，周边绿化。无重大环境问题产生；</w:t>
            </w:r>
          </w:p>
          <w:p>
            <w:pPr>
              <w:keepNext w:val="0"/>
              <w:keepLines w:val="0"/>
              <w:pageBreakBefore w:val="0"/>
              <w:widowControl w:val="0"/>
              <w:numPr>
                <w:ilvl w:val="0"/>
                <w:numId w:val="24"/>
              </w:numPr>
              <w:kinsoku/>
              <w:wordWrap/>
              <w:overflowPunct/>
              <w:topLinePunct w:val="0"/>
              <w:autoSpaceDE/>
              <w:autoSpaceDN/>
              <w:bidi w:val="0"/>
              <w:adjustRightInd/>
              <w:snapToGrid/>
              <w:spacing w:line="240" w:lineRule="auto"/>
              <w:jc w:val="both"/>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沿线植被已基本恢复，绿化设施已得到完善；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1</w:t>
            </w:r>
          </w:p>
        </w:tc>
        <w:tc>
          <w:tcPr>
            <w:tcW w:w="115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生态环境</w:t>
            </w:r>
          </w:p>
        </w:tc>
        <w:tc>
          <w:tcPr>
            <w:tcW w:w="8040"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专款用于开恳新的耕地。经国务院批准占用基本农田的，当地人民政府应当按照国务院的批准文件修改土地利用总体规划，并补充划入数量和质量相当的基本农田。占用基本农田的单位应当按照县级地方人民政府的要求，将所占用的基本农田耕作层的壤用于新开垦的耕地、劣质地或其它耕地的土壤改良。在下阶段的设计中，应在满足技术标准的前提下，尽量减少基本农田的占用，在穿越基本农田较多的路段，应采取桥梁或收缩路基边坡方案，并保证保护及时恢复农田灌溉系统。</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运营期：</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应按道路设计要求，完成拟建道路边坡、道路征地范围内可绿化地面的植树种草工作，以达到恢复植被、减少水土流失、减少雨季路面径流污染路侧水休目的；做好临时施工营地、堆渣场、施工便道等临时古地的植被恢复和绿化的实植被恢复计划。首先，道路绿化工程是一项系统的工程，应在主体工积初步竣工，边坡等工程基本完成后进行植被恢复或复坚。其次，绿化的具体建议如下：边坡绿化应以适应当地生长的草坪植物、藤本或低濯木为主；行道树应以杨树、槐树为主。</w:t>
            </w:r>
          </w:p>
        </w:tc>
        <w:tc>
          <w:tcPr>
            <w:tcW w:w="2130"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恢复施工迹地，对渣场进行生态恢复。</w:t>
            </w:r>
          </w:p>
        </w:tc>
        <w:tc>
          <w:tcPr>
            <w:tcW w:w="2324" w:type="dxa"/>
            <w:vAlign w:val="top"/>
          </w:tcPr>
          <w:p>
            <w:pPr>
              <w:keepNext w:val="0"/>
              <w:keepLines w:val="0"/>
              <w:pageBreakBefore w:val="0"/>
              <w:widowControl w:val="0"/>
              <w:numPr>
                <w:ilvl w:val="0"/>
                <w:numId w:val="24"/>
              </w:numPr>
              <w:kinsoku/>
              <w:wordWrap/>
              <w:overflowPunct/>
              <w:topLinePunct w:val="0"/>
              <w:autoSpaceDE/>
              <w:autoSpaceDN/>
              <w:bidi w:val="0"/>
              <w:adjustRightInd/>
              <w:snapToGrid/>
              <w:spacing w:line="240" w:lineRule="auto"/>
              <w:jc w:val="both"/>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临时堆场已按要求清理复绿，无环境问题遗留；</w:t>
            </w:r>
          </w:p>
          <w:p>
            <w:pPr>
              <w:keepNext w:val="0"/>
              <w:keepLines w:val="0"/>
              <w:pageBreakBefore w:val="0"/>
              <w:widowControl w:val="0"/>
              <w:numPr>
                <w:ilvl w:val="0"/>
                <w:numId w:val="24"/>
              </w:numPr>
              <w:kinsoku/>
              <w:wordWrap/>
              <w:overflowPunct/>
              <w:topLinePunct w:val="0"/>
              <w:autoSpaceDE/>
              <w:autoSpaceDN/>
              <w:bidi w:val="0"/>
              <w:adjustRightInd/>
              <w:snapToGrid/>
              <w:spacing w:line="240" w:lineRule="auto"/>
              <w:jc w:val="both"/>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施工期有计划有规划选址耕地等的占用，有效减少耕地损失；</w:t>
            </w:r>
          </w:p>
          <w:p>
            <w:pPr>
              <w:keepNext w:val="0"/>
              <w:keepLines w:val="0"/>
              <w:pageBreakBefore w:val="0"/>
              <w:widowControl w:val="0"/>
              <w:numPr>
                <w:ilvl w:val="0"/>
                <w:numId w:val="24"/>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施工结束后，已按要求及时清理施工痕迹，边坡绿化等；</w:t>
            </w:r>
          </w:p>
          <w:p>
            <w:pPr>
              <w:keepNext w:val="0"/>
              <w:keepLines w:val="0"/>
              <w:pageBreakBefore w:val="0"/>
              <w:widowControl w:val="0"/>
              <w:numPr>
                <w:ilvl w:val="0"/>
                <w:numId w:val="24"/>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道路沿线行道树已种植完善，长势良好，道路中心隔离带绿化设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115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水环境</w:t>
            </w:r>
          </w:p>
        </w:tc>
        <w:tc>
          <w:tcPr>
            <w:tcW w:w="8040"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施工期：</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施工区设置旱厕，并设置化粪池将粪便污水集中收集并初步处理，化粪池上清液鼓励当地农民作为农家肥使用或联系当地环卫部门定期清运处理，施工结束后将旱厕和化粪池覆土掩埋。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施工区生产废水主要来源于机械车辆维修冲洗废水和混凝土拌和车、罐车冲洗废水等，产生的生产废水经沉淀隔油处理后回用。</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在临近董家堰水井路段施工时，严禁将生产废水、废料等排入水井，生产废水经沉淀后回收利用，生产废料就近排入弃土场。</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营运期：</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sz w:val="21"/>
                <w:szCs w:val="21"/>
                <w:lang w:val="en-US" w:eastAsia="zh-CN"/>
              </w:rPr>
              <w:t>严格执行危险品运输规定，危险品运输车辆，必须有明显标志，运输过程中，以便引起其</w:t>
            </w:r>
          </w:p>
        </w:tc>
        <w:tc>
          <w:tcPr>
            <w:tcW w:w="2130"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施工营地应选址在保护目标下风向300米以外并远离主要水体。施工生活污水经处理后回于施工活动，设置旱厕，粪便用作农肥综合利用或按相关</w:t>
            </w:r>
          </w:p>
        </w:tc>
        <w:tc>
          <w:tcPr>
            <w:tcW w:w="2324"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经现场调查，董家堰水井已被掩埋，此处居民已大部分完成搬迁。</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宋体" w:hAnsi="宋体" w:eastAsia="宋体" w:cs="宋体"/>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从贵州明德工程咨询有限公司的监测结果可以看出麦架河水质达到</w:t>
            </w:r>
            <w:r>
              <w:rPr>
                <w:rFonts w:hint="eastAsia" w:ascii="宋体" w:hAnsi="宋体" w:eastAsia="宋体" w:cs="宋体"/>
                <w:color w:val="auto"/>
                <w:sz w:val="21"/>
                <w:szCs w:val="21"/>
                <w:vertAlign w:val="baseline"/>
                <w:lang w:val="en-US" w:eastAsia="zh-CN"/>
              </w:rPr>
              <w:t>Ⅲ类水标准。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2</w:t>
            </w:r>
          </w:p>
        </w:tc>
        <w:tc>
          <w:tcPr>
            <w:tcW w:w="115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水环境</w:t>
            </w:r>
          </w:p>
        </w:tc>
        <w:tc>
          <w:tcPr>
            <w:tcW w:w="8040"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他车辆的重视。一旦事故发生，应及时迅速报警，及时通知有关路政、消防、环保部门，采取应急措施；加强对驾驶员的安全意识教育和职业道德教育，以减少人为交通事故的发生。在泄漏事故发生后应及时采取有效的污染控制措施，严禁化学品进入麦架河，以确保水体不受污染；为防止车辆失控掉入沿线河流和董家堰水井造成水质污染，应对麦架河桥两侧和董家堰水井临路一侧设置防撞护栏；该道路营运期间由于无服务区和养护区等设施，因此对水环境影响较小；本项目营运期，路面雨水经道路两侧的截水沟收集后就近排入水体；要求跨越水体的麦架河桥两侧设置截水沟将初期雨水引出桥面，同时还需设置3处雨水收集池（在事故时作为应急池）用于接纳引出的污水。</w:t>
            </w:r>
          </w:p>
        </w:tc>
        <w:tc>
          <w:tcPr>
            <w:tcW w:w="2130"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主管部门要求处置。施工废水经处理后，尽量全部回用于施工活动，剩余部分用于开挖路面洒水降尘。妥善处理桥梁孔桩施工产生的废渣、废泥浆、污水，防止桥梁施工产生环境污染。生活垃圾送城市生活垃圾处理场。采取洒水、密闭运输、清洗 运输工具等措施，防止施工扬尘、渣土对环境的影响。</w:t>
            </w:r>
          </w:p>
        </w:tc>
        <w:tc>
          <w:tcPr>
            <w:tcW w:w="2324"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c>
          <w:tcPr>
            <w:tcW w:w="115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声环境</w:t>
            </w:r>
          </w:p>
        </w:tc>
        <w:tc>
          <w:tcPr>
            <w:tcW w:w="8040"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施工期：</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outlineLvl w:val="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施工时尽量选用低噪声设备，所选设备必须符合国家有关标准的要求，震动较大的固定机械设备应加装减振机座，固定强噪声源应考虑加装隔音罩，同时加强设备的维护和保养，保持其良好运转，以便从源头上降低施工机械的噪声级；</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outlineLvl w:val="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（2）强噪声机械施工作业时间应和校方商定，尽量不在学校考试时间和上课时间施工；</w:t>
            </w:r>
          </w:p>
        </w:tc>
        <w:tc>
          <w:tcPr>
            <w:tcW w:w="2130"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合理安排施工时间，禁止夜间施工，减缓施工噪声的污染影响，防止施工活动干</w:t>
            </w:r>
          </w:p>
        </w:tc>
        <w:tc>
          <w:tcPr>
            <w:tcW w:w="2324"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经现场调查，施工期间已按要求实施了相关设施，无相关投诉现象产生，无环境问题产生。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3</w:t>
            </w:r>
          </w:p>
        </w:tc>
        <w:tc>
          <w:tcPr>
            <w:tcW w:w="115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声环境</w:t>
            </w:r>
          </w:p>
        </w:tc>
        <w:tc>
          <w:tcPr>
            <w:tcW w:w="8040"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200"/>
              <w:jc w:val="both"/>
              <w:textAlignment w:val="auto"/>
              <w:outlineLvl w:val="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（3）避免高噪声设备同时运营；</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outlineLvl w:val="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（4）对教学楼和办公楼采取抽样监测，视监测结果采取移动式或临时声屏 障等防噪措施；</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outlineLvl w:val="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（5）建设单位应责成施工单位在施工现场标明张布通告和投诉电话，建设单位在接到报案后应及时与当地环保部门取得联系，以便及时处理各种环境纠 纷；</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噪声大的施工器械在夜间（22：00～06：00）、昼间（12：00～14：00）及学生考试时间停止施工。若必须连续施工作业，施工单位应视具体情况及时与当地环保部门取得联系，按规定申领夜间施工证，同时发布公告最大限度的争取学校的支持。</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运营期：</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对预测结果中营运近期出现超标的各敏感点采取相应的防治对策：</w:t>
            </w:r>
            <w:r>
              <w:rPr>
                <w:rFonts w:hint="eastAsia" w:ascii="Times New Roman" w:hAnsi="Times New Roman" w:eastAsia="宋体" w:cs="Times New Roman"/>
                <w:sz w:val="21"/>
                <w:szCs w:val="21"/>
                <w:lang w:val="en-US" w:eastAsia="zh-CN"/>
              </w:rPr>
              <w:t>贵州铝厂生活区、贵铝医院、白云一中、马场营、麻堡组</w:t>
            </w:r>
            <w:r>
              <w:rPr>
                <w:rFonts w:hint="default" w:ascii="Times New Roman" w:hAnsi="Times New Roman" w:eastAsia="宋体" w:cs="Times New Roman"/>
                <w:sz w:val="21"/>
                <w:szCs w:val="21"/>
                <w:lang w:val="en-US" w:eastAsia="zh-CN"/>
              </w:rPr>
              <w:t>等敏感点设置通风隔声窗，共需费用</w:t>
            </w:r>
            <w:r>
              <w:rPr>
                <w:rFonts w:hint="eastAsia" w:ascii="Times New Roman" w:hAnsi="Times New Roman" w:eastAsia="宋体" w:cs="Times New Roman"/>
                <w:sz w:val="21"/>
                <w:szCs w:val="21"/>
                <w:lang w:val="en-US" w:eastAsia="zh-CN"/>
              </w:rPr>
              <w:t>144.8</w:t>
            </w:r>
            <w:r>
              <w:rPr>
                <w:rFonts w:hint="default" w:ascii="Times New Roman" w:hAnsi="Times New Roman" w:eastAsia="宋体" w:cs="Times New Roman"/>
                <w:sz w:val="21"/>
                <w:szCs w:val="21"/>
                <w:lang w:val="en-US" w:eastAsia="zh-CN"/>
              </w:rPr>
              <w:t>万元。在</w:t>
            </w:r>
            <w:r>
              <w:rPr>
                <w:rFonts w:hint="eastAsia" w:ascii="Times New Roman" w:hAnsi="Times New Roman" w:eastAsia="宋体" w:cs="Times New Roman"/>
                <w:sz w:val="21"/>
                <w:szCs w:val="21"/>
                <w:lang w:val="en-US" w:eastAsia="zh-CN"/>
              </w:rPr>
              <w:t>学校、医院、</w:t>
            </w:r>
            <w:r>
              <w:rPr>
                <w:rFonts w:hint="default" w:ascii="Times New Roman" w:hAnsi="Times New Roman" w:eastAsia="宋体" w:cs="Times New Roman"/>
                <w:sz w:val="21"/>
                <w:szCs w:val="21"/>
                <w:lang w:val="en-US" w:eastAsia="zh-CN"/>
              </w:rPr>
              <w:t>村寨集镇处设置限速、禁鸣等措施，以最大限度降低车辆运行噪声对居民产生影响。采取措施后各敏感点均能达到《声环境质量标准》（GB3096-2008）中相关标准的要求。</w:t>
            </w:r>
          </w:p>
        </w:tc>
        <w:tc>
          <w:tcPr>
            <w:tcW w:w="2130"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扰学校等敏感目标的正常运转。采取有效措施确保施工期噪声满足《建筑施工场界噪声限值》（GB12523-90）标准要求。</w:t>
            </w:r>
          </w:p>
        </w:tc>
        <w:tc>
          <w:tcPr>
            <w:tcW w:w="2324"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color w:val="auto"/>
                <w:sz w:val="21"/>
                <w:szCs w:val="21"/>
                <w:vertAlign w:val="baseline"/>
                <w:lang w:val="en-US" w:eastAsia="zh-CN"/>
              </w:rPr>
              <w:t>从贵州明德工程咨询有限公司的监测结果可以看出运营期噪声敏感点</w:t>
            </w:r>
            <w:r>
              <w:rPr>
                <w:rFonts w:hint="default" w:ascii="Times New Roman" w:hAnsi="Times New Roman" w:eastAsia="宋体" w:cs="Times New Roman"/>
                <w:sz w:val="21"/>
                <w:szCs w:val="21"/>
                <w:lang w:val="en-US" w:eastAsia="zh-CN"/>
              </w:rPr>
              <w:t>均能达到《声环境质量标准》（GB3096-2</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宋体" w:hAnsi="宋体" w:eastAsia="宋体" w:cs="宋体"/>
                <w:color w:val="auto"/>
                <w:sz w:val="21"/>
                <w:szCs w:val="21"/>
                <w:vertAlign w:val="baseline"/>
                <w:lang w:val="en-US" w:eastAsia="zh-CN"/>
              </w:rPr>
            </w:pPr>
            <w:r>
              <w:rPr>
                <w:rFonts w:hint="default" w:ascii="Times New Roman" w:hAnsi="Times New Roman" w:eastAsia="宋体" w:cs="Times New Roman"/>
                <w:sz w:val="21"/>
                <w:szCs w:val="21"/>
                <w:lang w:val="en-US" w:eastAsia="zh-CN"/>
              </w:rPr>
              <w:t>008）</w:t>
            </w:r>
            <w:r>
              <w:rPr>
                <w:rFonts w:hint="eastAsia" w:ascii="Times New Roman" w:hAnsi="Times New Roman" w:eastAsia="宋体" w:cs="Times New Roman"/>
                <w:sz w:val="21"/>
                <w:szCs w:val="21"/>
                <w:lang w:val="en-US" w:eastAsia="zh-CN"/>
              </w:rPr>
              <w:t>中的相关标准要求</w:t>
            </w:r>
            <w:r>
              <w:rPr>
                <w:rFonts w:hint="eastAsia" w:ascii="宋体" w:hAnsi="宋体" w:eastAsia="宋体" w:cs="宋体"/>
                <w:color w:val="auto"/>
                <w:sz w:val="21"/>
                <w:szCs w:val="21"/>
                <w:vertAlign w:val="baseline"/>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宋体" w:hAnsi="宋体" w:eastAsia="宋体" w:cs="宋体"/>
                <w:color w:val="auto"/>
                <w:sz w:val="21"/>
                <w:szCs w:val="21"/>
                <w:vertAlign w:val="baseline"/>
                <w:lang w:val="en-US" w:eastAsia="zh-CN"/>
              </w:rPr>
            </w:pPr>
            <w:r>
              <w:rPr>
                <w:rFonts w:hint="eastAsia" w:ascii="Times New Roman" w:hAnsi="Times New Roman" w:eastAsia="宋体" w:cs="Times New Roman"/>
                <w:sz w:val="21"/>
                <w:szCs w:val="21"/>
                <w:lang w:val="en-US" w:eastAsia="zh-CN"/>
              </w:rPr>
              <w:t>贵州铝厂生活区、贵铝医院、白云一中</w:t>
            </w:r>
            <w:r>
              <w:rPr>
                <w:rFonts w:hint="default" w:ascii="Times New Roman" w:hAnsi="Times New Roman" w:eastAsia="宋体" w:cs="Times New Roman"/>
                <w:sz w:val="21"/>
                <w:szCs w:val="21"/>
                <w:lang w:val="en-US" w:eastAsia="zh-CN"/>
              </w:rPr>
              <w:t>等敏感点</w:t>
            </w:r>
            <w:r>
              <w:rPr>
                <w:rFonts w:hint="eastAsia" w:ascii="Times New Roman" w:hAnsi="Times New Roman" w:eastAsia="宋体" w:cs="Times New Roman"/>
                <w:sz w:val="21"/>
                <w:szCs w:val="21"/>
                <w:lang w:val="en-US" w:eastAsia="zh-CN"/>
              </w:rPr>
              <w:t>未按要求</w:t>
            </w:r>
            <w:r>
              <w:rPr>
                <w:rFonts w:hint="default" w:ascii="Times New Roman" w:hAnsi="Times New Roman" w:eastAsia="宋体" w:cs="Times New Roman"/>
                <w:sz w:val="21"/>
                <w:szCs w:val="21"/>
                <w:lang w:val="en-US" w:eastAsia="zh-CN"/>
              </w:rPr>
              <w:t>设置通风隔声窗</w:t>
            </w:r>
            <w:r>
              <w:rPr>
                <w:rFonts w:hint="eastAsia" w:ascii="Times New Roman" w:hAnsi="Times New Roman" w:eastAsia="宋体" w:cs="Times New Roman"/>
                <w:sz w:val="21"/>
                <w:szCs w:val="21"/>
                <w:lang w:val="en-US" w:eastAsia="zh-CN"/>
              </w:rPr>
              <w:t>；马场营、麻堡组</w:t>
            </w:r>
            <w:r>
              <w:rPr>
                <w:rFonts w:hint="default" w:ascii="Times New Roman" w:hAnsi="Times New Roman" w:eastAsia="宋体" w:cs="Times New Roman"/>
                <w:sz w:val="21"/>
                <w:szCs w:val="21"/>
                <w:lang w:val="en-US" w:eastAsia="zh-CN"/>
              </w:rPr>
              <w:t>等</w:t>
            </w:r>
            <w:r>
              <w:rPr>
                <w:rFonts w:hint="eastAsia" w:ascii="Times New Roman" w:hAnsi="Times New Roman" w:eastAsia="宋体" w:cs="Times New Roman"/>
                <w:sz w:val="21"/>
                <w:szCs w:val="21"/>
                <w:lang w:val="en-US" w:eastAsia="zh-CN"/>
              </w:rPr>
              <w:t>已搬迁。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115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环境空气</w:t>
            </w:r>
          </w:p>
        </w:tc>
        <w:tc>
          <w:tcPr>
            <w:tcW w:w="8040"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施工期：</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在施工场地应采取洒水抑尘措施，每天洒水4~5次，可以减少扬尘70%左右；建筑材料包括灰沙、土方的运输必需使用经改装后加有盖板的车辆，避免沿途撒落</w:t>
            </w:r>
            <w:r>
              <w:rPr>
                <w:rFonts w:hint="eastAsia" w:ascii="Times New Roman" w:hAnsi="Times New Roman" w:eastAsia="宋体" w:cs="Times New Roman"/>
                <w:sz w:val="21"/>
                <w:szCs w:val="21"/>
                <w:lang w:val="en-US" w:eastAsia="zh-CN"/>
              </w:rPr>
              <w:t>；</w:t>
            </w:r>
            <w:r>
              <w:rPr>
                <w:rFonts w:hint="default" w:ascii="Times New Roman" w:hAnsi="Times New Roman" w:eastAsia="宋体" w:cs="Times New Roman"/>
                <w:sz w:val="21"/>
                <w:szCs w:val="21"/>
                <w:lang w:val="en-US" w:eastAsia="zh-CN"/>
              </w:rPr>
              <w:t>路面沥青材料外购环保部门验收认可的产品；工程开挖方应集中堆放，以缩小粉尘影响范围，及时回填，减小粉尘影响时间。</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运营期：</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加强交通管理和提供良好的行驶条件，周期、随机调查机动车噪声和尾气，若调查的机动车不能满足噪声及尾气排放标准，应采取措施禁止这些机动车的通行。</w:t>
            </w:r>
          </w:p>
        </w:tc>
        <w:tc>
          <w:tcPr>
            <w:tcW w:w="2130"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采取洒水、密闭运输、清洗 运输工具等措施，防止施工扬尘、渣土对环境的影响。</w:t>
            </w:r>
          </w:p>
        </w:tc>
        <w:tc>
          <w:tcPr>
            <w:tcW w:w="2324"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经现场调查，施工期基本按照环评要求进行施工，无环境问题遗留；从验收期间的监测结果看出，运营期环境空气监测结果达到《环境空气质量标准》（3095-2012）二级标准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w:t>
            </w:r>
          </w:p>
        </w:tc>
        <w:tc>
          <w:tcPr>
            <w:tcW w:w="115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固体废物</w:t>
            </w:r>
          </w:p>
        </w:tc>
        <w:tc>
          <w:tcPr>
            <w:tcW w:w="8040"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施工期固废主要有弃方和生活垃圾，弃方运往弃土场，生活垃圾及时清运；运营期加强道路环卫管理，及时清扫。</w:t>
            </w:r>
          </w:p>
        </w:tc>
        <w:tc>
          <w:tcPr>
            <w:tcW w:w="2130"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p>
        </w:tc>
        <w:tc>
          <w:tcPr>
            <w:tcW w:w="2324"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已按要求实施</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color w:val="auto"/>
          <w:sz w:val="24"/>
          <w:szCs w:val="24"/>
          <w:lang w:val="en-US" w:eastAsia="zh-CN"/>
        </w:rPr>
        <w:sectPr>
          <w:pgSz w:w="16838" w:h="11906" w:orient="landscape"/>
          <w:pgMar w:top="1800" w:right="1440" w:bottom="1800" w:left="1440" w:header="850" w:footer="992" w:gutter="0"/>
          <w:pgNumType w:fmt="decimal"/>
          <w:cols w:space="425" w:num="1"/>
          <w:docGrid w:type="lines" w:linePitch="312" w:charSpace="0"/>
        </w:sect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0"/>
        <w:rPr>
          <w:rFonts w:hint="default" w:ascii="Times New Roman" w:hAnsi="Times New Roman" w:eastAsia="宋体" w:cs="Times New Roman"/>
          <w:b/>
          <w:bCs/>
          <w:sz w:val="24"/>
          <w:szCs w:val="24"/>
          <w:lang w:val="en-US" w:eastAsia="zh-CN"/>
        </w:rPr>
      </w:pPr>
      <w:bookmarkStart w:id="42" w:name="_Toc20773"/>
      <w:r>
        <w:rPr>
          <w:rFonts w:hint="eastAsia" w:ascii="Times New Roman" w:hAnsi="Times New Roman" w:eastAsia="宋体" w:cs="Times New Roman"/>
          <w:b/>
          <w:bCs/>
          <w:sz w:val="24"/>
          <w:szCs w:val="24"/>
          <w:lang w:val="en-US" w:eastAsia="zh-CN"/>
        </w:rPr>
        <w:t>5 施工期环境影响调查</w:t>
      </w:r>
      <w:bookmarkEnd w:id="42"/>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1"/>
        <w:rPr>
          <w:rFonts w:hint="default" w:ascii="Times New Roman" w:hAnsi="Times New Roman" w:eastAsia="宋体" w:cs="Times New Roman"/>
          <w:b w:val="0"/>
          <w:bCs w:val="0"/>
          <w:sz w:val="24"/>
          <w:szCs w:val="24"/>
          <w:lang w:val="en-US" w:eastAsia="zh-CN"/>
        </w:rPr>
      </w:pPr>
      <w:bookmarkStart w:id="43" w:name="_Toc25798"/>
      <w:r>
        <w:rPr>
          <w:rFonts w:hint="eastAsia" w:ascii="Times New Roman" w:hAnsi="Times New Roman" w:eastAsia="宋体" w:cs="Times New Roman"/>
          <w:b w:val="0"/>
          <w:bCs w:val="0"/>
          <w:sz w:val="24"/>
          <w:szCs w:val="24"/>
          <w:lang w:val="en-US" w:eastAsia="zh-CN"/>
        </w:rPr>
        <w:t>5.1生态环境</w:t>
      </w:r>
      <w:bookmarkEnd w:id="43"/>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本工程道路沿线无珍惜动植物、古树等，主要生态环境为道路沿线基本农田、林地、植被等。</w:t>
      </w:r>
    </w:p>
    <w:p>
      <w:pPr>
        <w:keepNext w:val="0"/>
        <w:keepLines w:val="0"/>
        <w:pageBreakBefore w:val="0"/>
        <w:widowControl w:val="0"/>
        <w:numPr>
          <w:ilvl w:val="0"/>
          <w:numId w:val="25"/>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工程期间选择合理的施工便道线路，避免了破坏大量森林植被，减小了对周边植被的破坏。</w:t>
      </w:r>
    </w:p>
    <w:p>
      <w:pPr>
        <w:keepNext w:val="0"/>
        <w:keepLines w:val="0"/>
        <w:pageBreakBefore w:val="0"/>
        <w:widowControl w:val="0"/>
        <w:numPr>
          <w:ilvl w:val="0"/>
          <w:numId w:val="25"/>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严格控制了路基开挖、隧道洞口开挖施工作业面，避免了超挖破坏周围植被。</w:t>
      </w:r>
    </w:p>
    <w:p>
      <w:pPr>
        <w:keepNext w:val="0"/>
        <w:keepLines w:val="0"/>
        <w:pageBreakBefore w:val="0"/>
        <w:widowControl w:val="0"/>
        <w:numPr>
          <w:ilvl w:val="0"/>
          <w:numId w:val="25"/>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工程施工过程中，工程废渣未随处乱排，未排入河中。弃土（渣）场不占用基本农田。</w:t>
      </w:r>
    </w:p>
    <w:p>
      <w:pPr>
        <w:keepNext w:val="0"/>
        <w:keepLines w:val="0"/>
        <w:pageBreakBefore w:val="0"/>
        <w:widowControl w:val="0"/>
        <w:numPr>
          <w:ilvl w:val="0"/>
          <w:numId w:val="25"/>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施工工区等临时建筑尽可能采用了成品或简易拼装方式，减轻对土壤及植被的破坏。</w:t>
      </w:r>
    </w:p>
    <w:p>
      <w:pPr>
        <w:keepNext w:val="0"/>
        <w:keepLines w:val="0"/>
        <w:pageBreakBefore w:val="0"/>
        <w:widowControl w:val="0"/>
        <w:numPr>
          <w:ilvl w:val="0"/>
          <w:numId w:val="25"/>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路基施工和弃土（渣）场施工前，将农用地的表土层剥离，并在适当位置进行集中堆放，并采取临时拦挡和覆盖措施，后期用于绿化和土地复垦。</w:t>
      </w:r>
    </w:p>
    <w:p>
      <w:pPr>
        <w:keepNext w:val="0"/>
        <w:keepLines w:val="0"/>
        <w:pageBreakBefore w:val="0"/>
        <w:widowControl w:val="0"/>
        <w:numPr>
          <w:ilvl w:val="0"/>
          <w:numId w:val="25"/>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路线尽量减少占用耕地，对于坡面工程及时采取工程或植物防护措施。</w:t>
      </w:r>
    </w:p>
    <w:p>
      <w:pPr>
        <w:keepNext w:val="0"/>
        <w:keepLines w:val="0"/>
        <w:pageBreakBefore w:val="0"/>
        <w:widowControl w:val="0"/>
        <w:numPr>
          <w:ilvl w:val="0"/>
          <w:numId w:val="25"/>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因公路施工破坏植被而裸露的土地在施工结束后已整治利用，恢复植被。</w:t>
      </w:r>
    </w:p>
    <w:p>
      <w:pPr>
        <w:keepNext w:val="0"/>
        <w:keepLines w:val="0"/>
        <w:pageBreakBefore w:val="0"/>
        <w:widowControl w:val="0"/>
        <w:numPr>
          <w:ilvl w:val="0"/>
          <w:numId w:val="25"/>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施工场地未设在耕地（尤其是水田）集中区内，施工便道亦未设在耕地（尤其是水田）集中区，未在基本农田保护区范围内设置各类临时工程。</w:t>
      </w:r>
    </w:p>
    <w:p>
      <w:pPr>
        <w:keepNext w:val="0"/>
        <w:keepLines w:val="0"/>
        <w:pageBreakBefore w:val="0"/>
        <w:widowControl w:val="0"/>
        <w:numPr>
          <w:ilvl w:val="0"/>
          <w:numId w:val="25"/>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桥梁构件预制场、灰土拌和场、沥青搅拌站和建材堆放场等临时用地基本布设在公路用地范围内。</w:t>
      </w:r>
    </w:p>
    <w:p>
      <w:pPr>
        <w:keepNext w:val="0"/>
        <w:keepLines w:val="0"/>
        <w:pageBreakBefore w:val="0"/>
        <w:widowControl w:val="0"/>
        <w:numPr>
          <w:ilvl w:val="0"/>
          <w:numId w:val="25"/>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施工营地部分租用当地民房或公共房屋，其余布设在公路用地范围内。</w:t>
      </w:r>
    </w:p>
    <w:p>
      <w:pPr>
        <w:keepNext w:val="0"/>
        <w:keepLines w:val="0"/>
        <w:pageBreakBefore w:val="0"/>
        <w:widowControl w:val="0"/>
        <w:numPr>
          <w:ilvl w:val="0"/>
          <w:numId w:val="25"/>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施工营地、料场、施工便道等临时工程用后已恢复。</w:t>
      </w:r>
    </w:p>
    <w:p>
      <w:pPr>
        <w:keepNext w:val="0"/>
        <w:keepLines w:val="0"/>
        <w:pageBreakBefore w:val="0"/>
        <w:widowControl w:val="0"/>
        <w:numPr>
          <w:ilvl w:val="0"/>
          <w:numId w:val="25"/>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t>弃土（渣）场选择在洼地，并对弃土方进行压实，在其表面进</w:t>
      </w:r>
      <w:r>
        <w:rPr>
          <w:rFonts w:hint="default" w:ascii="Times New Roman" w:hAnsi="Times New Roman" w:cs="Times New Roman"/>
        </w:rPr>
        <w:t>行植被覆盖。</w:t>
      </w:r>
    </w:p>
    <w:p>
      <w:pPr>
        <w:keepNext w:val="0"/>
        <w:keepLines w:val="0"/>
        <w:pageBreakBefore w:val="0"/>
        <w:widowControl w:val="0"/>
        <w:numPr>
          <w:ilvl w:val="0"/>
          <w:numId w:val="25"/>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cs="Times New Roman"/>
          <w:sz w:val="24"/>
          <w:szCs w:val="24"/>
        </w:rPr>
      </w:pPr>
      <w:r>
        <w:rPr>
          <w:rFonts w:hint="default" w:ascii="Times New Roman" w:hAnsi="Times New Roman" w:cs="Times New Roman"/>
          <w:sz w:val="24"/>
          <w:szCs w:val="24"/>
        </w:rPr>
        <w:t>施工期严格按照相关法规及施工设计文件施工，未随意扩大取、弃土（渣） 场占地面积，未将取、弃土（渣）场设在基本农田内。</w:t>
      </w:r>
    </w:p>
    <w:p>
      <w:pPr>
        <w:keepNext w:val="0"/>
        <w:keepLines w:val="0"/>
        <w:pageBreakBefore w:val="0"/>
        <w:widowControl w:val="0"/>
        <w:numPr>
          <w:ilvl w:val="0"/>
          <w:numId w:val="25"/>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cs="Times New Roman"/>
          <w:sz w:val="24"/>
          <w:szCs w:val="24"/>
        </w:rPr>
      </w:pPr>
      <w:r>
        <w:rPr>
          <w:rFonts w:hint="default" w:ascii="Times New Roman" w:hAnsi="Times New Roman" w:cs="Times New Roman"/>
          <w:sz w:val="24"/>
          <w:szCs w:val="24"/>
        </w:rPr>
        <w:t>堆土场、施工场地等临时占地充分利用了互通立交的空地，缩减了部分临时占地面积。</w:t>
      </w:r>
    </w:p>
    <w:p>
      <w:pPr>
        <w:keepNext w:val="0"/>
        <w:keepLines w:val="0"/>
        <w:pageBreakBefore w:val="0"/>
        <w:widowControl w:val="0"/>
        <w:numPr>
          <w:ilvl w:val="0"/>
          <w:numId w:val="25"/>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cs="Times New Roman"/>
          <w:sz w:val="24"/>
          <w:szCs w:val="24"/>
        </w:rPr>
        <w:t>施工结束后根据不同的地区特点对临时占地采取了植被恢复措施。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1"/>
        <w:rPr>
          <w:rFonts w:hint="default" w:ascii="Times New Roman" w:hAnsi="Times New Roman" w:eastAsia="宋体" w:cs="Times New Roman"/>
          <w:b w:val="0"/>
          <w:bCs w:val="0"/>
          <w:sz w:val="24"/>
          <w:szCs w:val="24"/>
          <w:lang w:val="en-US" w:eastAsia="zh-CN"/>
        </w:rPr>
      </w:pPr>
      <w:bookmarkStart w:id="44" w:name="_Toc8261"/>
      <w:r>
        <w:rPr>
          <w:rFonts w:hint="eastAsia" w:ascii="Times New Roman" w:hAnsi="Times New Roman" w:eastAsia="宋体" w:cs="Times New Roman"/>
          <w:b w:val="0"/>
          <w:bCs w:val="0"/>
          <w:sz w:val="24"/>
          <w:szCs w:val="24"/>
          <w:lang w:val="en-US" w:eastAsia="zh-CN"/>
        </w:rPr>
        <w:t>5.2水环境</w:t>
      </w:r>
      <w:bookmarkEnd w:id="44"/>
    </w:p>
    <w:p>
      <w:pPr>
        <w:keepNext w:val="0"/>
        <w:keepLines w:val="0"/>
        <w:pageBreakBefore w:val="0"/>
        <w:widowControl w:val="0"/>
        <w:numPr>
          <w:ilvl w:val="0"/>
          <w:numId w:val="26"/>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建筑材料的临时堆放加盖篷布及围挡，有效防止因雨水冲刷而造成水体污染；</w:t>
      </w:r>
    </w:p>
    <w:p>
      <w:pPr>
        <w:keepNext w:val="0"/>
        <w:keepLines w:val="0"/>
        <w:pageBreakBefore w:val="0"/>
        <w:widowControl w:val="0"/>
        <w:numPr>
          <w:ilvl w:val="0"/>
          <w:numId w:val="26"/>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施工区域设置排污沟、截水沟、沉淀池等对施工废水进行处理并回收利用，无外排；</w:t>
      </w:r>
    </w:p>
    <w:p>
      <w:pPr>
        <w:keepNext w:val="0"/>
        <w:keepLines w:val="0"/>
        <w:pageBreakBefore w:val="0"/>
        <w:widowControl w:val="0"/>
        <w:numPr>
          <w:ilvl w:val="0"/>
          <w:numId w:val="26"/>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桥梁施工区域完善环境保护设施，对施工废渣、岩浆、淤泥等就近运往弃土场，禁止排入河流；生产废水经沉淀处理回用，禁止排入河流；</w:t>
      </w:r>
    </w:p>
    <w:p>
      <w:pPr>
        <w:keepNext w:val="0"/>
        <w:keepLines w:val="0"/>
        <w:pageBreakBefore w:val="0"/>
        <w:widowControl w:val="0"/>
        <w:numPr>
          <w:ilvl w:val="0"/>
          <w:numId w:val="26"/>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生活污水经处理后用于农灌，未直接排入水体。</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1"/>
        <w:rPr>
          <w:rFonts w:hint="default" w:ascii="Times New Roman" w:hAnsi="Times New Roman" w:eastAsia="宋体" w:cs="Times New Roman"/>
          <w:sz w:val="24"/>
          <w:szCs w:val="24"/>
          <w:lang w:val="en-US" w:eastAsia="zh-CN"/>
        </w:rPr>
      </w:pPr>
      <w:bookmarkStart w:id="45" w:name="_Toc21518"/>
      <w:r>
        <w:rPr>
          <w:rFonts w:hint="eastAsia" w:ascii="Times New Roman" w:hAnsi="Times New Roman" w:eastAsia="宋体" w:cs="Times New Roman"/>
          <w:sz w:val="24"/>
          <w:szCs w:val="24"/>
          <w:lang w:val="en-US" w:eastAsia="zh-CN"/>
        </w:rPr>
        <w:t>5.3环境空气</w:t>
      </w:r>
      <w:bookmarkEnd w:id="45"/>
    </w:p>
    <w:p>
      <w:pPr>
        <w:keepNext w:val="0"/>
        <w:keepLines w:val="0"/>
        <w:pageBreakBefore w:val="0"/>
        <w:widowControl w:val="0"/>
        <w:numPr>
          <w:ilvl w:val="0"/>
          <w:numId w:val="27"/>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本工程不设沥青拌合场等，所使用沥青、砂石、水泥等建筑材料均采取外购；</w:t>
      </w:r>
    </w:p>
    <w:p>
      <w:pPr>
        <w:keepNext w:val="0"/>
        <w:keepLines w:val="0"/>
        <w:pageBreakBefore w:val="0"/>
        <w:widowControl w:val="0"/>
        <w:numPr>
          <w:ilvl w:val="0"/>
          <w:numId w:val="27"/>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砂石等临时堆放采用篷布遮盖，建材运输路线采取洒水措施，防止扬尘；</w:t>
      </w:r>
    </w:p>
    <w:p>
      <w:pPr>
        <w:keepNext w:val="0"/>
        <w:keepLines w:val="0"/>
        <w:pageBreakBefore w:val="0"/>
        <w:widowControl w:val="0"/>
        <w:numPr>
          <w:ilvl w:val="0"/>
          <w:numId w:val="27"/>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采取湿式作业，降低了施工扬尘；</w:t>
      </w:r>
    </w:p>
    <w:p>
      <w:pPr>
        <w:keepNext w:val="0"/>
        <w:keepLines w:val="0"/>
        <w:pageBreakBefore w:val="0"/>
        <w:widowControl w:val="0"/>
        <w:numPr>
          <w:ilvl w:val="0"/>
          <w:numId w:val="27"/>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施工营地炊事、取暖等使用液化气、电灯清洁能源，减少了废气污染。</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1"/>
        <w:rPr>
          <w:rFonts w:hint="default" w:ascii="Times New Roman" w:hAnsi="Times New Roman" w:eastAsia="宋体" w:cs="Times New Roman"/>
          <w:sz w:val="24"/>
          <w:szCs w:val="24"/>
          <w:lang w:val="en-US" w:eastAsia="zh-CN"/>
        </w:rPr>
      </w:pPr>
      <w:bookmarkStart w:id="46" w:name="_Toc27027"/>
      <w:r>
        <w:rPr>
          <w:rFonts w:hint="eastAsia" w:ascii="Times New Roman" w:hAnsi="Times New Roman" w:eastAsia="宋体" w:cs="Times New Roman"/>
          <w:sz w:val="24"/>
          <w:szCs w:val="24"/>
          <w:lang w:val="en-US" w:eastAsia="zh-CN"/>
        </w:rPr>
        <w:t>5.4声环境</w:t>
      </w:r>
      <w:bookmarkEnd w:id="46"/>
    </w:p>
    <w:p>
      <w:pPr>
        <w:keepNext w:val="0"/>
        <w:keepLines w:val="0"/>
        <w:pageBreakBefore w:val="0"/>
        <w:widowControl w:val="0"/>
        <w:numPr>
          <w:ilvl w:val="0"/>
          <w:numId w:val="28"/>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合理安排了作业时间以及选用低噪设备，降低了噪声对施工沿线居民、学校等的影响；</w:t>
      </w:r>
    </w:p>
    <w:p>
      <w:pPr>
        <w:keepNext w:val="0"/>
        <w:keepLines w:val="0"/>
        <w:pageBreakBefore w:val="0"/>
        <w:widowControl w:val="0"/>
        <w:numPr>
          <w:ilvl w:val="0"/>
          <w:numId w:val="28"/>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加强了设备维护，保持低噪作业，运输车辆禁止鸣笛；</w:t>
      </w:r>
    </w:p>
    <w:p>
      <w:pPr>
        <w:keepNext w:val="0"/>
        <w:keepLines w:val="0"/>
        <w:pageBreakBefore w:val="0"/>
        <w:widowControl w:val="0"/>
        <w:numPr>
          <w:ilvl w:val="0"/>
          <w:numId w:val="28"/>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为减少施工期间的材料运输、敲击、人的喊叫等施工活动声源，承包商通过文明施工、加强有效管理加以缓解。</w:t>
      </w:r>
    </w:p>
    <w:p>
      <w:pPr>
        <w:keepNext w:val="0"/>
        <w:keepLines w:val="0"/>
        <w:pageBreakBefore w:val="0"/>
        <w:widowControl w:val="0"/>
        <w:numPr>
          <w:ilvl w:val="0"/>
          <w:numId w:val="28"/>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对距居民区 100m 以内的施工现场，噪声大的施工机具在夜间（22:00～06:00）停止施工。</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1"/>
        <w:rPr>
          <w:rFonts w:hint="default" w:ascii="Times New Roman" w:hAnsi="Times New Roman" w:eastAsia="宋体" w:cs="Times New Roman"/>
          <w:sz w:val="24"/>
          <w:szCs w:val="24"/>
          <w:lang w:val="en-US" w:eastAsia="zh-CN"/>
        </w:rPr>
      </w:pPr>
      <w:bookmarkStart w:id="47" w:name="_Toc11092"/>
      <w:r>
        <w:rPr>
          <w:rFonts w:hint="eastAsia" w:ascii="Times New Roman" w:hAnsi="Times New Roman" w:eastAsia="宋体" w:cs="Times New Roman"/>
          <w:sz w:val="24"/>
          <w:szCs w:val="24"/>
          <w:lang w:val="en-US" w:eastAsia="zh-CN"/>
        </w:rPr>
        <w:t>5.5固体废物</w:t>
      </w:r>
      <w:bookmarkEnd w:id="47"/>
    </w:p>
    <w:p>
      <w:pPr>
        <w:keepNext w:val="0"/>
        <w:keepLines w:val="0"/>
        <w:pageBreakBefore w:val="0"/>
        <w:widowControl w:val="0"/>
        <w:numPr>
          <w:ilvl w:val="0"/>
          <w:numId w:val="29"/>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施工期施工人员居住场地附近设置临时垃圾集中堆放场地，定期清运至附近垃圾处理场处置。施工结束后，施工场地及时平整，建筑垃圾部分用于场地回填，不可利用部分与施工人员生活垃圾一起统一收集送附近垃圾处理场处置。</w:t>
      </w:r>
    </w:p>
    <w:p>
      <w:pPr>
        <w:keepNext w:val="0"/>
        <w:keepLines w:val="0"/>
        <w:pageBreakBefore w:val="0"/>
        <w:widowControl w:val="0"/>
        <w:numPr>
          <w:ilvl w:val="0"/>
          <w:numId w:val="29"/>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加强了施工期现场管理，及时清理拆迁了建筑垃圾和建筑废料</w:t>
      </w:r>
      <w:r>
        <w:rPr>
          <w:rFonts w:hint="eastAsia" w:ascii="Times New Roman" w:hAnsi="Times New Roman" w:eastAsia="宋体" w:cs="Times New Roman"/>
          <w:sz w:val="24"/>
          <w:szCs w:val="24"/>
          <w:lang w:val="en-US" w:eastAsia="zh-CN"/>
        </w:rPr>
        <w:t>，妥善处理。</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1"/>
        <w:rPr>
          <w:rFonts w:hint="default" w:ascii="Times New Roman" w:hAnsi="Times New Roman" w:eastAsia="宋体" w:cs="Times New Roman"/>
          <w:sz w:val="24"/>
          <w:szCs w:val="24"/>
          <w:lang w:val="en-US" w:eastAsia="zh-CN"/>
        </w:rPr>
      </w:pPr>
      <w:bookmarkStart w:id="48" w:name="_Toc24660"/>
      <w:r>
        <w:rPr>
          <w:rFonts w:hint="eastAsia" w:ascii="Times New Roman" w:hAnsi="Times New Roman" w:eastAsia="宋体" w:cs="Times New Roman"/>
          <w:sz w:val="24"/>
          <w:szCs w:val="24"/>
          <w:lang w:val="en-US" w:eastAsia="zh-CN"/>
        </w:rPr>
        <w:t>5.6小结</w:t>
      </w:r>
      <w:bookmarkEnd w:id="48"/>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建设单位和施工单位在施工期针对产生的水、气、声、生态等方面的影响采取了环保措施，有效降低了工程施工作业对沿线生态环境、地表水、环境空气和声环境的影响。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0"/>
        <w:rPr>
          <w:rFonts w:hint="default" w:ascii="Times New Roman" w:hAnsi="Times New Roman" w:eastAsia="宋体" w:cs="Times New Roman"/>
          <w:sz w:val="24"/>
          <w:szCs w:val="24"/>
          <w:lang w:val="en-US" w:eastAsia="zh-CN"/>
        </w:rPr>
      </w:pPr>
      <w:bookmarkStart w:id="49" w:name="_Toc3833"/>
      <w:r>
        <w:rPr>
          <w:rFonts w:hint="eastAsia" w:ascii="Times New Roman" w:hAnsi="Times New Roman" w:eastAsia="宋体" w:cs="Times New Roman"/>
          <w:b/>
          <w:bCs/>
          <w:sz w:val="24"/>
          <w:szCs w:val="24"/>
          <w:lang w:val="en-US" w:eastAsia="zh-CN"/>
        </w:rPr>
        <w:t>6 运营期环境影响调查</w:t>
      </w:r>
      <w:bookmarkEnd w:id="49"/>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1"/>
        <w:rPr>
          <w:rFonts w:hint="default" w:ascii="Times New Roman" w:hAnsi="Times New Roman" w:eastAsia="宋体" w:cs="Times New Roman"/>
          <w:sz w:val="24"/>
          <w:szCs w:val="24"/>
          <w:lang w:val="en-US" w:eastAsia="zh-CN"/>
        </w:rPr>
      </w:pPr>
      <w:bookmarkStart w:id="50" w:name="_Toc9425"/>
      <w:r>
        <w:rPr>
          <w:rFonts w:hint="eastAsia" w:ascii="Times New Roman" w:hAnsi="Times New Roman" w:eastAsia="宋体" w:cs="Times New Roman"/>
          <w:sz w:val="24"/>
          <w:szCs w:val="24"/>
          <w:lang w:val="en-US" w:eastAsia="zh-CN"/>
        </w:rPr>
        <w:t>6.1生态环境</w:t>
      </w:r>
      <w:bookmarkEnd w:id="50"/>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2"/>
        <w:rPr>
          <w:rFonts w:hint="default" w:ascii="Times New Roman" w:hAnsi="Times New Roman" w:eastAsia="宋体" w:cs="Times New Roman"/>
          <w:sz w:val="24"/>
          <w:szCs w:val="24"/>
          <w:lang w:val="en-US" w:eastAsia="zh-CN"/>
        </w:rPr>
      </w:pPr>
      <w:bookmarkStart w:id="51" w:name="_Toc7650"/>
      <w:r>
        <w:rPr>
          <w:rFonts w:hint="eastAsia" w:ascii="Times New Roman" w:hAnsi="Times New Roman" w:eastAsia="宋体" w:cs="Times New Roman"/>
          <w:sz w:val="24"/>
          <w:szCs w:val="24"/>
          <w:lang w:val="en-US" w:eastAsia="zh-CN"/>
        </w:rPr>
        <w:t>6.1.1工程占地</w:t>
      </w:r>
      <w:bookmarkEnd w:id="51"/>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lang w:val="en-US" w:eastAsia="zh-CN"/>
        </w:rPr>
        <w:t>本项目永久性占地71.59hm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lang w:val="en-US" w:eastAsia="zh-CN"/>
        </w:rPr>
        <w:t>，施工期临时占地6.21hm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lang w:val="en-US" w:eastAsia="zh-CN"/>
        </w:rPr>
        <w:t>，拆迁建筑物93886m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lang w:val="en-US" w:eastAsia="zh-CN"/>
        </w:rPr>
        <w:t>，弃土场占地3.60hm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vertAlign w:val="baseline"/>
          <w:lang w:val="en-US" w:eastAsia="zh-CN"/>
        </w:rPr>
        <w:t>，与环评基本保持一致，无重大变化；占用基本农田16.41</w:t>
      </w:r>
      <w:r>
        <w:rPr>
          <w:rFonts w:hint="eastAsia" w:ascii="Times New Roman" w:hAnsi="Times New Roman" w:eastAsia="宋体" w:cs="Times New Roman"/>
          <w:sz w:val="24"/>
          <w:szCs w:val="24"/>
          <w:lang w:val="en-US" w:eastAsia="zh-CN"/>
        </w:rPr>
        <w:t>hm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vertAlign w:val="baseline"/>
          <w:lang w:val="en-US" w:eastAsia="zh-CN"/>
        </w:rPr>
        <w:t>，比环评增加1.71</w:t>
      </w:r>
      <w:r>
        <w:rPr>
          <w:rFonts w:hint="eastAsia" w:ascii="Times New Roman" w:hAnsi="Times New Roman" w:eastAsia="宋体" w:cs="Times New Roman"/>
          <w:sz w:val="24"/>
          <w:szCs w:val="24"/>
          <w:lang w:val="en-US" w:eastAsia="zh-CN"/>
        </w:rPr>
        <w:t>hm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vertAlign w:val="baseline"/>
          <w:lang w:val="en-US" w:eastAsia="zh-CN"/>
        </w:rPr>
        <w:t>，变化不大。</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2"/>
        <w:rPr>
          <w:rFonts w:hint="default" w:ascii="Times New Roman" w:hAnsi="Times New Roman" w:eastAsia="宋体" w:cs="Times New Roman"/>
          <w:sz w:val="24"/>
          <w:szCs w:val="24"/>
          <w:vertAlign w:val="baseline"/>
          <w:lang w:val="en-US" w:eastAsia="zh-CN"/>
        </w:rPr>
      </w:pPr>
      <w:bookmarkStart w:id="52" w:name="_Toc25360"/>
      <w:r>
        <w:rPr>
          <w:rFonts w:hint="eastAsia" w:ascii="Times New Roman" w:hAnsi="Times New Roman" w:eastAsia="宋体" w:cs="Times New Roman"/>
          <w:sz w:val="24"/>
          <w:szCs w:val="24"/>
          <w:vertAlign w:val="baseline"/>
          <w:lang w:val="en-US" w:eastAsia="zh-CN"/>
        </w:rPr>
        <w:t>6.1.2土石方</w:t>
      </w:r>
      <w:bookmarkEnd w:id="52"/>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lang w:val="en-US" w:eastAsia="zh-CN"/>
        </w:rPr>
        <w:t>本项目土石方总量为199.85m</w:t>
      </w:r>
      <w:r>
        <w:rPr>
          <w:rFonts w:hint="eastAsia" w:ascii="Times New Roman" w:hAnsi="Times New Roman" w:eastAsia="宋体" w:cs="Times New Roman"/>
          <w:sz w:val="24"/>
          <w:szCs w:val="24"/>
          <w:vertAlign w:val="superscript"/>
          <w:lang w:val="en-US" w:eastAsia="zh-CN"/>
        </w:rPr>
        <w:t>3</w:t>
      </w:r>
      <w:r>
        <w:rPr>
          <w:rFonts w:hint="eastAsia" w:ascii="Times New Roman" w:hAnsi="Times New Roman" w:eastAsia="宋体" w:cs="Times New Roman"/>
          <w:sz w:val="24"/>
          <w:szCs w:val="24"/>
          <w:lang w:val="en-US" w:eastAsia="zh-CN"/>
        </w:rPr>
        <w:t>，填方185.89万m</w:t>
      </w:r>
      <w:r>
        <w:rPr>
          <w:rFonts w:hint="eastAsia" w:ascii="Times New Roman" w:hAnsi="Times New Roman" w:eastAsia="宋体" w:cs="Times New Roman"/>
          <w:sz w:val="24"/>
          <w:szCs w:val="24"/>
          <w:vertAlign w:val="superscript"/>
          <w:lang w:val="en-US" w:eastAsia="zh-CN"/>
        </w:rPr>
        <w:t>3</w:t>
      </w:r>
      <w:r>
        <w:rPr>
          <w:rFonts w:hint="eastAsia" w:ascii="Times New Roman" w:hAnsi="Times New Roman" w:eastAsia="宋体" w:cs="Times New Roman"/>
          <w:sz w:val="24"/>
          <w:szCs w:val="24"/>
          <w:lang w:val="en-US" w:eastAsia="zh-CN"/>
        </w:rPr>
        <w:t>，弃方13.96万m</w:t>
      </w:r>
      <w:r>
        <w:rPr>
          <w:rFonts w:hint="eastAsia" w:ascii="Times New Roman" w:hAnsi="Times New Roman" w:eastAsia="宋体" w:cs="Times New Roman"/>
          <w:sz w:val="24"/>
          <w:szCs w:val="24"/>
          <w:vertAlign w:val="superscript"/>
          <w:lang w:val="en-US" w:eastAsia="zh-CN"/>
        </w:rPr>
        <w:t>3</w:t>
      </w:r>
      <w:r>
        <w:rPr>
          <w:rFonts w:hint="eastAsia" w:ascii="Times New Roman" w:hAnsi="Times New Roman" w:eastAsia="宋体" w:cs="Times New Roman"/>
          <w:sz w:val="24"/>
          <w:szCs w:val="24"/>
          <w:vertAlign w:val="baseline"/>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2"/>
        <w:rPr>
          <w:rFonts w:hint="default" w:ascii="Times New Roman" w:hAnsi="Times New Roman" w:eastAsia="宋体" w:cs="Times New Roman"/>
          <w:sz w:val="24"/>
          <w:szCs w:val="24"/>
          <w:lang w:val="en-US" w:eastAsia="zh-CN"/>
        </w:rPr>
      </w:pPr>
      <w:bookmarkStart w:id="53" w:name="_Toc8659"/>
      <w:r>
        <w:rPr>
          <w:rFonts w:hint="eastAsia" w:ascii="Times New Roman" w:hAnsi="Times New Roman" w:eastAsia="宋体" w:cs="Times New Roman"/>
          <w:sz w:val="24"/>
          <w:szCs w:val="24"/>
          <w:lang w:val="en-US" w:eastAsia="zh-CN"/>
        </w:rPr>
        <w:t>6.1.3取、弃土场</w:t>
      </w:r>
      <w:bookmarkEnd w:id="53"/>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本项目未设置专门的取土场，所需料石全部采用购买，本项目设置3处永久性弃土场。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K0+420处弃土场库容3.0万m</w:t>
      </w:r>
      <w:r>
        <w:rPr>
          <w:rFonts w:hint="eastAsia" w:ascii="Times New Roman" w:hAnsi="Times New Roman" w:eastAsia="宋体" w:cs="Times New Roman"/>
          <w:sz w:val="24"/>
          <w:szCs w:val="24"/>
          <w:vertAlign w:val="superscript"/>
          <w:lang w:val="en-US" w:eastAsia="zh-CN"/>
        </w:rPr>
        <w:t>3</w:t>
      </w:r>
      <w:r>
        <w:rPr>
          <w:rFonts w:hint="eastAsia" w:ascii="Times New Roman" w:hAnsi="Times New Roman" w:eastAsia="宋体" w:cs="Times New Roman"/>
          <w:sz w:val="24"/>
          <w:szCs w:val="24"/>
          <w:lang w:val="en-US" w:eastAsia="zh-CN"/>
        </w:rPr>
        <w:t>，占地0.6hm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lang w:val="en-US" w:eastAsia="zh-CN"/>
        </w:rPr>
        <w:t>，占地类型为坡耕地、灌草丛，地形为冲沟。现已完成绿化覆盖和生态恢复。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K9+120处弃土场库容2.19万m</w:t>
      </w:r>
      <w:r>
        <w:rPr>
          <w:rFonts w:hint="eastAsia" w:ascii="Times New Roman" w:hAnsi="Times New Roman" w:eastAsia="宋体" w:cs="Times New Roman"/>
          <w:sz w:val="24"/>
          <w:szCs w:val="24"/>
          <w:vertAlign w:val="superscript"/>
          <w:lang w:val="en-US" w:eastAsia="zh-CN"/>
        </w:rPr>
        <w:t>3</w:t>
      </w:r>
      <w:r>
        <w:rPr>
          <w:rFonts w:hint="eastAsia" w:ascii="Times New Roman" w:hAnsi="Times New Roman" w:eastAsia="宋体" w:cs="Times New Roman"/>
          <w:sz w:val="24"/>
          <w:szCs w:val="24"/>
          <w:lang w:val="en-US" w:eastAsia="zh-CN"/>
        </w:rPr>
        <w:t>，占地0.73hm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lang w:val="en-US" w:eastAsia="zh-CN"/>
        </w:rPr>
        <w:t>，占地类型为坡耕地、灌草丛，地形为麻冲沟，位于沙子哨监狱斜对面。已规划为园区建设项目用地</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K9+860处弃土场库容3.30万m</w:t>
      </w:r>
      <w:r>
        <w:rPr>
          <w:rFonts w:hint="eastAsia" w:ascii="Times New Roman" w:hAnsi="Times New Roman" w:eastAsia="宋体" w:cs="Times New Roman"/>
          <w:sz w:val="24"/>
          <w:szCs w:val="24"/>
          <w:vertAlign w:val="superscript"/>
          <w:lang w:val="en-US" w:eastAsia="zh-CN"/>
        </w:rPr>
        <w:t>3</w:t>
      </w:r>
      <w:r>
        <w:rPr>
          <w:rFonts w:hint="eastAsia" w:ascii="Times New Roman" w:hAnsi="Times New Roman" w:eastAsia="宋体" w:cs="Times New Roman"/>
          <w:sz w:val="24"/>
          <w:szCs w:val="24"/>
          <w:lang w:val="en-US" w:eastAsia="zh-CN"/>
        </w:rPr>
        <w:t>，占地0.48hm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lang w:val="en-US" w:eastAsia="zh-CN"/>
        </w:rPr>
        <w:t>，占地类型为坡耕地，地形为冲沟。现已规划为园区建设项目用地。</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2"/>
        <w:rPr>
          <w:rFonts w:hint="default" w:ascii="Times New Roman" w:hAnsi="Times New Roman" w:eastAsia="宋体" w:cs="Times New Roman"/>
          <w:sz w:val="24"/>
          <w:szCs w:val="24"/>
          <w:lang w:val="en-US" w:eastAsia="zh-CN"/>
        </w:rPr>
      </w:pPr>
      <w:bookmarkStart w:id="54" w:name="_Toc7252"/>
      <w:r>
        <w:rPr>
          <w:rFonts w:hint="eastAsia" w:ascii="Times New Roman" w:hAnsi="Times New Roman" w:eastAsia="宋体" w:cs="Times New Roman"/>
          <w:sz w:val="24"/>
          <w:szCs w:val="24"/>
          <w:lang w:val="en-US" w:eastAsia="zh-CN"/>
        </w:rPr>
        <w:t>6.1.4水土保持</w:t>
      </w:r>
      <w:bookmarkEnd w:id="54"/>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lang w:val="en-US" w:eastAsia="zh-CN"/>
        </w:rPr>
        <w:t>经实地勘察，本项目严格执行水土保持方案的要求</w:t>
      </w:r>
      <w:r>
        <w:rPr>
          <w:rFonts w:hint="eastAsia" w:ascii="Times New Roman" w:hAnsi="Times New Roman" w:eastAsia="宋体" w:cs="Times New Roman"/>
          <w:sz w:val="24"/>
          <w:szCs w:val="24"/>
          <w:vertAlign w:val="baseline"/>
          <w:lang w:val="en-US" w:eastAsia="zh-CN"/>
        </w:rPr>
        <w:t>，边坡建设完善，临时堆场恢复，沿线施工扰动区已进行生态恢复，基本完成水土保持要求。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2"/>
        <w:rPr>
          <w:rFonts w:hint="default" w:ascii="Times New Roman" w:hAnsi="Times New Roman" w:eastAsia="宋体" w:cs="Times New Roman"/>
          <w:sz w:val="24"/>
          <w:szCs w:val="24"/>
          <w:lang w:val="en-US" w:eastAsia="zh-CN"/>
        </w:rPr>
      </w:pPr>
      <w:bookmarkStart w:id="55" w:name="_Toc9058"/>
      <w:r>
        <w:rPr>
          <w:rFonts w:hint="eastAsia" w:ascii="Times New Roman" w:hAnsi="Times New Roman" w:eastAsia="宋体" w:cs="Times New Roman"/>
          <w:sz w:val="24"/>
          <w:szCs w:val="24"/>
          <w:lang w:val="en-US" w:eastAsia="zh-CN"/>
        </w:rPr>
        <w:t>6.1.5绿化与景观</w:t>
      </w:r>
      <w:bookmarkEnd w:id="55"/>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道路沿线已种植行道树，路中心隔离带绿化等已基本完成。</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1"/>
        <w:rPr>
          <w:rFonts w:hint="default" w:ascii="Times New Roman" w:hAnsi="Times New Roman" w:eastAsia="宋体" w:cs="Times New Roman"/>
          <w:sz w:val="24"/>
          <w:szCs w:val="24"/>
          <w:lang w:val="en-US" w:eastAsia="zh-CN"/>
        </w:rPr>
      </w:pPr>
      <w:bookmarkStart w:id="56" w:name="_Toc6579"/>
      <w:r>
        <w:rPr>
          <w:rFonts w:hint="eastAsia" w:ascii="Times New Roman" w:hAnsi="Times New Roman" w:eastAsia="宋体" w:cs="Times New Roman"/>
          <w:sz w:val="24"/>
          <w:szCs w:val="24"/>
          <w:lang w:val="en-US" w:eastAsia="zh-CN"/>
        </w:rPr>
        <w:t>6.2环境空气及噪声环境</w:t>
      </w:r>
      <w:bookmarkEnd w:id="56"/>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2"/>
        <w:rPr>
          <w:rFonts w:hint="default" w:ascii="Times New Roman" w:hAnsi="Times New Roman" w:eastAsia="宋体" w:cs="Times New Roman"/>
          <w:sz w:val="24"/>
          <w:szCs w:val="24"/>
          <w:lang w:val="en-US" w:eastAsia="zh-CN"/>
        </w:rPr>
      </w:pPr>
      <w:bookmarkStart w:id="57" w:name="_Toc1730"/>
      <w:r>
        <w:rPr>
          <w:rFonts w:hint="eastAsia" w:ascii="Times New Roman" w:hAnsi="Times New Roman" w:eastAsia="宋体" w:cs="Times New Roman"/>
          <w:sz w:val="24"/>
          <w:szCs w:val="24"/>
          <w:lang w:val="en-US" w:eastAsia="zh-CN"/>
        </w:rPr>
        <w:t>6.2.1敏感点调查</w:t>
      </w:r>
      <w:bookmarkEnd w:id="57"/>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经现场调查，本项目中心线200m范围内敏感点25处，其中学校3处，公园2处，医院2处，居民点16处；原环评敏感点13处，其中学校2处，医院2处，居民点9处。调查情况见表6.2.1-1。</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表6.2.1-1敏感点变更一览表</w:t>
      </w:r>
    </w:p>
    <w:tbl>
      <w:tblPr>
        <w:tblStyle w:val="9"/>
        <w:tblW w:w="868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16"/>
        <w:gridCol w:w="1524"/>
        <w:gridCol w:w="1485"/>
        <w:gridCol w:w="1170"/>
        <w:gridCol w:w="1425"/>
        <w:gridCol w:w="1185"/>
        <w:gridCol w:w="137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79" w:hRule="atLeast"/>
          <w:tblHeader/>
          <w:jc w:val="center"/>
        </w:trPr>
        <w:tc>
          <w:tcPr>
            <w:tcW w:w="516" w:type="dxa"/>
            <w:tcBorders>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color w:val="auto"/>
                <w:sz w:val="21"/>
              </w:rPr>
            </w:pPr>
            <w:r>
              <w:rPr>
                <w:rFonts w:hint="eastAsia" w:ascii="宋体" w:eastAsia="宋体"/>
                <w:b/>
                <w:color w:val="auto"/>
                <w:sz w:val="21"/>
              </w:rPr>
              <w:t>序号</w:t>
            </w:r>
          </w:p>
        </w:tc>
        <w:tc>
          <w:tcPr>
            <w:tcW w:w="1524"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color w:val="auto"/>
                <w:sz w:val="21"/>
              </w:rPr>
            </w:pPr>
            <w:r>
              <w:rPr>
                <w:rFonts w:hint="eastAsia" w:ascii="宋体" w:eastAsia="宋体"/>
                <w:b/>
                <w:color w:val="auto"/>
                <w:sz w:val="21"/>
              </w:rPr>
              <w:t>敏感点名称</w:t>
            </w:r>
          </w:p>
        </w:tc>
        <w:tc>
          <w:tcPr>
            <w:tcW w:w="1485"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color w:val="auto"/>
                <w:sz w:val="21"/>
              </w:rPr>
            </w:pPr>
            <w:r>
              <w:rPr>
                <w:rFonts w:hint="eastAsia" w:ascii="宋体" w:eastAsia="宋体"/>
                <w:b/>
                <w:color w:val="auto"/>
                <w:sz w:val="21"/>
              </w:rPr>
              <w:t>桩号</w:t>
            </w:r>
          </w:p>
        </w:tc>
        <w:tc>
          <w:tcPr>
            <w:tcW w:w="1170"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color w:val="auto"/>
                <w:sz w:val="21"/>
              </w:rPr>
            </w:pPr>
            <w:r>
              <w:rPr>
                <w:rFonts w:hint="eastAsia" w:ascii="宋体" w:eastAsia="宋体"/>
                <w:b/>
                <w:color w:val="auto"/>
                <w:sz w:val="21"/>
              </w:rPr>
              <w:t>距主线</w:t>
            </w:r>
          </w:p>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color w:val="auto"/>
                <w:sz w:val="21"/>
              </w:rPr>
            </w:pPr>
            <w:r>
              <w:rPr>
                <w:rFonts w:hint="eastAsia" w:ascii="宋体" w:eastAsia="宋体"/>
                <w:b/>
                <w:color w:val="auto"/>
                <w:sz w:val="21"/>
              </w:rPr>
              <w:t>方位</w:t>
            </w:r>
          </w:p>
        </w:tc>
        <w:tc>
          <w:tcPr>
            <w:tcW w:w="1425"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b/>
                <w:color w:val="auto"/>
                <w:sz w:val="21"/>
              </w:rPr>
            </w:pPr>
            <w:r>
              <w:rPr>
                <w:rFonts w:hint="eastAsia" w:ascii="宋体" w:eastAsia="宋体"/>
                <w:b/>
                <w:color w:val="auto"/>
                <w:spacing w:val="-8"/>
                <w:sz w:val="21"/>
              </w:rPr>
              <w:t>距路中心</w:t>
            </w:r>
            <w:r>
              <w:rPr>
                <w:rFonts w:hint="eastAsia" w:ascii="宋体" w:eastAsia="宋体"/>
                <w:b/>
                <w:color w:val="auto"/>
                <w:spacing w:val="-8"/>
                <w:w w:val="95"/>
                <w:sz w:val="21"/>
              </w:rPr>
              <w:t>线</w:t>
            </w:r>
            <w:r>
              <w:rPr>
                <w:rFonts w:hint="eastAsia" w:ascii="宋体" w:eastAsia="宋体"/>
                <w:b/>
                <w:color w:val="auto"/>
                <w:spacing w:val="-8"/>
                <w:w w:val="95"/>
                <w:sz w:val="21"/>
                <w:lang w:eastAsia="zh-CN"/>
              </w:rPr>
              <w:t>最近</w:t>
            </w:r>
            <w:r>
              <w:rPr>
                <w:rFonts w:hint="eastAsia" w:ascii="宋体" w:eastAsia="宋体"/>
                <w:b/>
                <w:color w:val="auto"/>
                <w:spacing w:val="-8"/>
                <w:w w:val="95"/>
                <w:sz w:val="21"/>
              </w:rPr>
              <w:t>距</w:t>
            </w:r>
            <w:r>
              <w:rPr>
                <w:rFonts w:hint="eastAsia" w:ascii="宋体" w:eastAsia="宋体"/>
                <w:b/>
                <w:color w:val="auto"/>
                <w:w w:val="95"/>
                <w:sz w:val="21"/>
              </w:rPr>
              <w:t>离</w:t>
            </w:r>
            <w:r>
              <w:rPr>
                <w:b/>
                <w:color w:val="auto"/>
                <w:w w:val="95"/>
                <w:sz w:val="21"/>
              </w:rPr>
              <w:t>(m)</w:t>
            </w:r>
          </w:p>
        </w:tc>
        <w:tc>
          <w:tcPr>
            <w:tcW w:w="1185"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b/>
                <w:color w:val="auto"/>
                <w:sz w:val="21"/>
              </w:rPr>
            </w:pPr>
            <w:r>
              <w:rPr>
                <w:rFonts w:hint="eastAsia" w:ascii="宋体" w:eastAsia="宋体"/>
                <w:b/>
                <w:color w:val="auto"/>
                <w:sz w:val="21"/>
              </w:rPr>
              <w:t>与路面相对高差</w:t>
            </w:r>
            <w:r>
              <w:rPr>
                <w:b/>
                <w:color w:val="auto"/>
                <w:sz w:val="21"/>
              </w:rPr>
              <w:t>(m)</w:t>
            </w:r>
          </w:p>
        </w:tc>
        <w:tc>
          <w:tcPr>
            <w:tcW w:w="1379" w:type="dxa"/>
            <w:tcBorders>
              <w:lef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color w:val="auto"/>
                <w:sz w:val="21"/>
                <w:lang w:eastAsia="zh-CN"/>
              </w:rPr>
            </w:pPr>
            <w:r>
              <w:rPr>
                <w:rFonts w:hint="eastAsia" w:ascii="宋体" w:eastAsia="宋体"/>
                <w:b/>
                <w:color w:val="auto"/>
                <w:sz w:val="21"/>
                <w:lang w:eastAsia="zh-CN"/>
              </w:rPr>
              <w:t>变更情况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16" w:type="dxa"/>
            <w:tcBorders>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color w:val="auto"/>
                <w:sz w:val="21"/>
                <w:lang w:val="en-US" w:eastAsia="zh-CN"/>
              </w:rPr>
            </w:pPr>
            <w:r>
              <w:rPr>
                <w:rFonts w:hint="default" w:ascii="Times New Roman" w:hAnsi="Times New Roman" w:eastAsia="宋体" w:cs="Times New Roman"/>
                <w:b w:val="0"/>
                <w:bCs/>
                <w:color w:val="auto"/>
                <w:sz w:val="21"/>
                <w:lang w:val="en-US" w:eastAsia="zh-CN"/>
              </w:rPr>
              <w:t>1</w:t>
            </w:r>
          </w:p>
        </w:tc>
        <w:tc>
          <w:tcPr>
            <w:tcW w:w="1524" w:type="dxa"/>
            <w:tcBorders>
              <w:left w:val="single" w:color="000000" w:sz="6" w:space="0"/>
              <w:right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道元精化厂</w:t>
            </w:r>
          </w:p>
        </w:tc>
        <w:tc>
          <w:tcPr>
            <w:tcW w:w="1485" w:type="dxa"/>
            <w:tcBorders>
              <w:left w:val="single" w:color="000000" w:sz="6" w:space="0"/>
              <w:right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K0+860</w:t>
            </w:r>
          </w:p>
        </w:tc>
        <w:tc>
          <w:tcPr>
            <w:tcW w:w="1170" w:type="dxa"/>
            <w:tcBorders>
              <w:left w:val="single" w:color="000000" w:sz="6" w:space="0"/>
              <w:right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右侧</w:t>
            </w:r>
          </w:p>
        </w:tc>
        <w:tc>
          <w:tcPr>
            <w:tcW w:w="1425" w:type="dxa"/>
            <w:tcBorders>
              <w:left w:val="single" w:color="000000" w:sz="6" w:space="0"/>
              <w:right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40</w:t>
            </w:r>
          </w:p>
        </w:tc>
        <w:tc>
          <w:tcPr>
            <w:tcW w:w="1185" w:type="dxa"/>
            <w:tcBorders>
              <w:left w:val="single" w:color="000000" w:sz="6" w:space="0"/>
              <w:right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0</w:t>
            </w:r>
          </w:p>
        </w:tc>
        <w:tc>
          <w:tcPr>
            <w:tcW w:w="1379" w:type="dxa"/>
            <w:tcBorders>
              <w:lef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b w:val="0"/>
                <w:bCs/>
                <w:color w:val="auto"/>
                <w:sz w:val="21"/>
                <w:lang w:eastAsia="zh-CN"/>
              </w:rPr>
            </w:pPr>
            <w:r>
              <w:rPr>
                <w:rFonts w:hint="eastAsia" w:eastAsia="宋体" w:cs="Times New Roman"/>
                <w:b w:val="0"/>
                <w:bCs/>
                <w:color w:val="auto"/>
                <w:sz w:val="21"/>
                <w:lang w:eastAsia="zh-CN"/>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16" w:type="dxa"/>
            <w:tcBorders>
              <w:bottom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color w:val="auto"/>
                <w:sz w:val="21"/>
                <w:lang w:val="en-US" w:eastAsia="zh-CN"/>
              </w:rPr>
            </w:pPr>
            <w:r>
              <w:rPr>
                <w:rFonts w:hint="eastAsia" w:eastAsia="宋体" w:cs="Times New Roman"/>
                <w:b w:val="0"/>
                <w:bCs/>
                <w:color w:val="auto"/>
                <w:sz w:val="21"/>
                <w:lang w:val="en-US" w:eastAsia="zh-CN"/>
              </w:rPr>
              <w:t>2</w:t>
            </w:r>
          </w:p>
        </w:tc>
        <w:tc>
          <w:tcPr>
            <w:tcW w:w="1524" w:type="dxa"/>
            <w:tcBorders>
              <w:left w:val="single" w:color="000000" w:sz="6" w:space="0"/>
              <w:bottom w:val="single" w:color="000000" w:sz="6" w:space="0"/>
              <w:right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艳山红小学（乡村学校少年宫）</w:t>
            </w:r>
          </w:p>
        </w:tc>
        <w:tc>
          <w:tcPr>
            <w:tcW w:w="1485" w:type="dxa"/>
            <w:tcBorders>
              <w:left w:val="single" w:color="000000" w:sz="6" w:space="0"/>
              <w:bottom w:val="single" w:color="000000" w:sz="6" w:space="0"/>
              <w:right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K1+500</w:t>
            </w:r>
          </w:p>
        </w:tc>
        <w:tc>
          <w:tcPr>
            <w:tcW w:w="1170" w:type="dxa"/>
            <w:tcBorders>
              <w:left w:val="single" w:color="000000" w:sz="6" w:space="0"/>
              <w:bottom w:val="single" w:color="000000" w:sz="6" w:space="0"/>
              <w:right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左侧</w:t>
            </w:r>
          </w:p>
        </w:tc>
        <w:tc>
          <w:tcPr>
            <w:tcW w:w="1425" w:type="dxa"/>
            <w:tcBorders>
              <w:left w:val="single" w:color="000000" w:sz="6" w:space="0"/>
              <w:bottom w:val="single" w:color="000000" w:sz="6" w:space="0"/>
              <w:right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45</w:t>
            </w:r>
          </w:p>
        </w:tc>
        <w:tc>
          <w:tcPr>
            <w:tcW w:w="1185" w:type="dxa"/>
            <w:tcBorders>
              <w:left w:val="single" w:color="000000" w:sz="6" w:space="0"/>
              <w:bottom w:val="single" w:color="000000" w:sz="6" w:space="0"/>
              <w:right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+0.5</w:t>
            </w:r>
          </w:p>
        </w:tc>
        <w:tc>
          <w:tcPr>
            <w:tcW w:w="1379" w:type="dxa"/>
            <w:tcBorders>
              <w:left w:val="single" w:color="000000" w:sz="6" w:space="0"/>
              <w:bottom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1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color w:val="auto"/>
                <w:sz w:val="21"/>
                <w:lang w:val="en-US" w:eastAsia="zh-CN"/>
              </w:rPr>
            </w:pPr>
            <w:r>
              <w:rPr>
                <w:rFonts w:hint="eastAsia" w:eastAsia="宋体" w:cs="Times New Roman"/>
                <w:b w:val="0"/>
                <w:bCs/>
                <w:color w:val="auto"/>
                <w:sz w:val="21"/>
                <w:lang w:val="en-US" w:eastAsia="zh-CN"/>
              </w:rPr>
              <w:t>3</w:t>
            </w:r>
          </w:p>
        </w:tc>
        <w:tc>
          <w:tcPr>
            <w:tcW w:w="152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金融城国际社区</w:t>
            </w:r>
          </w:p>
        </w:tc>
        <w:tc>
          <w:tcPr>
            <w:tcW w:w="14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K1+675</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右侧</w:t>
            </w:r>
          </w:p>
        </w:tc>
        <w:tc>
          <w:tcPr>
            <w:tcW w:w="14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50</w:t>
            </w:r>
          </w:p>
        </w:tc>
        <w:tc>
          <w:tcPr>
            <w:tcW w:w="11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+0.5</w:t>
            </w:r>
          </w:p>
        </w:tc>
        <w:tc>
          <w:tcPr>
            <w:tcW w:w="137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1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color w:val="auto"/>
                <w:sz w:val="21"/>
                <w:lang w:val="en-US" w:eastAsia="zh-CN"/>
              </w:rPr>
            </w:pPr>
            <w:r>
              <w:rPr>
                <w:rFonts w:hint="eastAsia" w:eastAsia="宋体" w:cs="Times New Roman"/>
                <w:b w:val="0"/>
                <w:bCs/>
                <w:color w:val="auto"/>
                <w:sz w:val="21"/>
                <w:lang w:val="en-US" w:eastAsia="zh-CN"/>
              </w:rPr>
              <w:t>4</w:t>
            </w:r>
          </w:p>
        </w:tc>
        <w:tc>
          <w:tcPr>
            <w:tcW w:w="152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云城中心</w:t>
            </w:r>
          </w:p>
        </w:tc>
        <w:tc>
          <w:tcPr>
            <w:tcW w:w="14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K1+925</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右侧</w:t>
            </w:r>
          </w:p>
        </w:tc>
        <w:tc>
          <w:tcPr>
            <w:tcW w:w="14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50</w:t>
            </w:r>
          </w:p>
        </w:tc>
        <w:tc>
          <w:tcPr>
            <w:tcW w:w="11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0</w:t>
            </w:r>
          </w:p>
        </w:tc>
        <w:tc>
          <w:tcPr>
            <w:tcW w:w="137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1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color w:val="auto"/>
                <w:sz w:val="21"/>
                <w:lang w:val="en-US" w:eastAsia="zh-CN"/>
              </w:rPr>
            </w:pPr>
            <w:r>
              <w:rPr>
                <w:rFonts w:hint="eastAsia" w:eastAsia="宋体" w:cs="Times New Roman"/>
                <w:b w:val="0"/>
                <w:bCs/>
                <w:color w:val="auto"/>
                <w:sz w:val="21"/>
                <w:lang w:val="en-US" w:eastAsia="zh-CN"/>
              </w:rPr>
              <w:t>5</w:t>
            </w:r>
          </w:p>
        </w:tc>
        <w:tc>
          <w:tcPr>
            <w:tcW w:w="152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高科·花漾生活</w:t>
            </w:r>
          </w:p>
        </w:tc>
        <w:tc>
          <w:tcPr>
            <w:tcW w:w="14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K2+835</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右侧</w:t>
            </w:r>
          </w:p>
        </w:tc>
        <w:tc>
          <w:tcPr>
            <w:tcW w:w="14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45</w:t>
            </w:r>
          </w:p>
        </w:tc>
        <w:tc>
          <w:tcPr>
            <w:tcW w:w="11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+0.5</w:t>
            </w:r>
          </w:p>
        </w:tc>
        <w:tc>
          <w:tcPr>
            <w:tcW w:w="137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1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color w:val="auto"/>
                <w:sz w:val="21"/>
                <w:lang w:val="en-US" w:eastAsia="zh-CN"/>
              </w:rPr>
            </w:pPr>
            <w:r>
              <w:rPr>
                <w:rFonts w:hint="eastAsia" w:eastAsia="宋体" w:cs="Times New Roman"/>
                <w:b w:val="0"/>
                <w:bCs/>
                <w:color w:val="auto"/>
                <w:sz w:val="21"/>
                <w:lang w:val="en-US" w:eastAsia="zh-CN"/>
              </w:rPr>
              <w:t>6</w:t>
            </w:r>
          </w:p>
        </w:tc>
        <w:tc>
          <w:tcPr>
            <w:tcW w:w="152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铝兴社区</w:t>
            </w:r>
          </w:p>
        </w:tc>
        <w:tc>
          <w:tcPr>
            <w:tcW w:w="14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K2+700</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右侧</w:t>
            </w:r>
          </w:p>
        </w:tc>
        <w:tc>
          <w:tcPr>
            <w:tcW w:w="14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35</w:t>
            </w:r>
          </w:p>
        </w:tc>
        <w:tc>
          <w:tcPr>
            <w:tcW w:w="11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0</w:t>
            </w:r>
          </w:p>
        </w:tc>
        <w:tc>
          <w:tcPr>
            <w:tcW w:w="137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1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color w:val="auto"/>
                <w:sz w:val="21"/>
                <w:lang w:val="en-US" w:eastAsia="zh-CN"/>
              </w:rPr>
            </w:pPr>
            <w:r>
              <w:rPr>
                <w:rFonts w:hint="eastAsia" w:eastAsia="宋体" w:cs="Times New Roman"/>
                <w:b w:val="0"/>
                <w:bCs/>
                <w:color w:val="auto"/>
                <w:sz w:val="21"/>
                <w:lang w:val="en-US" w:eastAsia="zh-CN"/>
              </w:rPr>
              <w:t>7</w:t>
            </w:r>
          </w:p>
        </w:tc>
        <w:tc>
          <w:tcPr>
            <w:tcW w:w="152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贵耐医院</w:t>
            </w:r>
          </w:p>
        </w:tc>
        <w:tc>
          <w:tcPr>
            <w:tcW w:w="14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K2+800</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左侧</w:t>
            </w:r>
          </w:p>
        </w:tc>
        <w:tc>
          <w:tcPr>
            <w:tcW w:w="14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80</w:t>
            </w:r>
          </w:p>
        </w:tc>
        <w:tc>
          <w:tcPr>
            <w:tcW w:w="11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+0.5</w:t>
            </w:r>
          </w:p>
        </w:tc>
        <w:tc>
          <w:tcPr>
            <w:tcW w:w="137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1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color w:val="auto"/>
                <w:sz w:val="21"/>
                <w:lang w:val="en-US" w:eastAsia="zh-CN"/>
              </w:rPr>
            </w:pPr>
            <w:r>
              <w:rPr>
                <w:rFonts w:hint="eastAsia" w:eastAsia="宋体" w:cs="Times New Roman"/>
                <w:b w:val="0"/>
                <w:bCs/>
                <w:color w:val="auto"/>
                <w:sz w:val="21"/>
                <w:lang w:val="en-US" w:eastAsia="zh-CN"/>
              </w:rPr>
              <w:t>8</w:t>
            </w:r>
          </w:p>
        </w:tc>
        <w:tc>
          <w:tcPr>
            <w:tcW w:w="152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贵州铝厂生活区</w:t>
            </w:r>
          </w:p>
        </w:tc>
        <w:tc>
          <w:tcPr>
            <w:tcW w:w="14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K3+130</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左侧</w:t>
            </w:r>
          </w:p>
        </w:tc>
        <w:tc>
          <w:tcPr>
            <w:tcW w:w="14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35</w:t>
            </w:r>
          </w:p>
        </w:tc>
        <w:tc>
          <w:tcPr>
            <w:tcW w:w="11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0</w:t>
            </w:r>
          </w:p>
        </w:tc>
        <w:tc>
          <w:tcPr>
            <w:tcW w:w="137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1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宋体" w:cs="Times New Roman"/>
                <w:b w:val="0"/>
                <w:bCs/>
                <w:color w:val="auto"/>
                <w:kern w:val="2"/>
                <w:sz w:val="21"/>
                <w:szCs w:val="24"/>
                <w:lang w:val="en-US" w:eastAsia="zh-CN" w:bidi="zh-CN"/>
              </w:rPr>
            </w:pPr>
            <w:r>
              <w:rPr>
                <w:rFonts w:hint="eastAsia" w:eastAsia="宋体" w:cs="Times New Roman"/>
                <w:b w:val="0"/>
                <w:bCs/>
                <w:color w:val="auto"/>
                <w:sz w:val="21"/>
                <w:lang w:val="en-US" w:eastAsia="zh-CN"/>
              </w:rPr>
              <w:t>9</w:t>
            </w:r>
          </w:p>
        </w:tc>
        <w:tc>
          <w:tcPr>
            <w:tcW w:w="152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贵铝医院</w:t>
            </w:r>
          </w:p>
        </w:tc>
        <w:tc>
          <w:tcPr>
            <w:tcW w:w="14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K3+580</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右侧</w:t>
            </w:r>
          </w:p>
        </w:tc>
        <w:tc>
          <w:tcPr>
            <w:tcW w:w="14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40</w:t>
            </w:r>
          </w:p>
        </w:tc>
        <w:tc>
          <w:tcPr>
            <w:tcW w:w="11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+3</w:t>
            </w:r>
          </w:p>
        </w:tc>
        <w:tc>
          <w:tcPr>
            <w:tcW w:w="137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1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val="0"/>
                <w:bCs/>
                <w:color w:val="auto"/>
                <w:kern w:val="2"/>
                <w:sz w:val="21"/>
                <w:szCs w:val="24"/>
                <w:lang w:val="en-US" w:eastAsia="zh-CN" w:bidi="zh-CN"/>
              </w:rPr>
            </w:pPr>
            <w:r>
              <w:rPr>
                <w:rFonts w:hint="eastAsia" w:eastAsia="宋体" w:cs="Times New Roman"/>
                <w:b w:val="0"/>
                <w:bCs/>
                <w:color w:val="auto"/>
                <w:sz w:val="21"/>
                <w:lang w:val="en-US" w:eastAsia="zh-CN"/>
              </w:rPr>
              <w:t>10</w:t>
            </w:r>
          </w:p>
        </w:tc>
        <w:tc>
          <w:tcPr>
            <w:tcW w:w="152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白云第一中学</w:t>
            </w:r>
          </w:p>
        </w:tc>
        <w:tc>
          <w:tcPr>
            <w:tcW w:w="14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K3+920</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右侧</w:t>
            </w:r>
          </w:p>
        </w:tc>
        <w:tc>
          <w:tcPr>
            <w:tcW w:w="14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35</w:t>
            </w:r>
          </w:p>
        </w:tc>
        <w:tc>
          <w:tcPr>
            <w:tcW w:w="11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+1</w:t>
            </w:r>
          </w:p>
        </w:tc>
        <w:tc>
          <w:tcPr>
            <w:tcW w:w="137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1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宋体" w:cs="Times New Roman"/>
                <w:b w:val="0"/>
                <w:bCs/>
                <w:color w:val="auto"/>
                <w:kern w:val="2"/>
                <w:sz w:val="21"/>
                <w:szCs w:val="24"/>
                <w:lang w:val="en-US" w:eastAsia="zh-CN" w:bidi="zh-CN"/>
              </w:rPr>
            </w:pPr>
            <w:r>
              <w:rPr>
                <w:rFonts w:hint="eastAsia" w:eastAsia="宋体" w:cs="Times New Roman"/>
                <w:b w:val="0"/>
                <w:bCs/>
                <w:color w:val="auto"/>
                <w:sz w:val="21"/>
                <w:lang w:val="en-US" w:eastAsia="zh-CN"/>
              </w:rPr>
              <w:t>11</w:t>
            </w:r>
          </w:p>
        </w:tc>
        <w:tc>
          <w:tcPr>
            <w:tcW w:w="152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贵州赛诺管业有限公司</w:t>
            </w:r>
          </w:p>
        </w:tc>
        <w:tc>
          <w:tcPr>
            <w:tcW w:w="14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K4+755</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右侧</w:t>
            </w:r>
          </w:p>
        </w:tc>
        <w:tc>
          <w:tcPr>
            <w:tcW w:w="14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50</w:t>
            </w:r>
          </w:p>
        </w:tc>
        <w:tc>
          <w:tcPr>
            <w:tcW w:w="11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0</w:t>
            </w:r>
          </w:p>
        </w:tc>
        <w:tc>
          <w:tcPr>
            <w:tcW w:w="137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1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val="0"/>
                <w:bCs/>
                <w:color w:val="auto"/>
                <w:kern w:val="2"/>
                <w:sz w:val="21"/>
                <w:szCs w:val="24"/>
                <w:lang w:val="en-US" w:eastAsia="zh-CN" w:bidi="zh-CN"/>
              </w:rPr>
            </w:pPr>
            <w:r>
              <w:rPr>
                <w:rFonts w:hint="eastAsia" w:eastAsia="宋体" w:cs="Times New Roman"/>
                <w:b w:val="0"/>
                <w:bCs/>
                <w:color w:val="auto"/>
                <w:sz w:val="21"/>
                <w:lang w:val="en-US" w:eastAsia="zh-CN"/>
              </w:rPr>
              <w:t>12</w:t>
            </w:r>
          </w:p>
        </w:tc>
        <w:tc>
          <w:tcPr>
            <w:tcW w:w="152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天一·观山阅</w:t>
            </w:r>
          </w:p>
        </w:tc>
        <w:tc>
          <w:tcPr>
            <w:tcW w:w="14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K4+351</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左侧</w:t>
            </w:r>
          </w:p>
        </w:tc>
        <w:tc>
          <w:tcPr>
            <w:tcW w:w="14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70</w:t>
            </w:r>
          </w:p>
        </w:tc>
        <w:tc>
          <w:tcPr>
            <w:tcW w:w="11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+0.5</w:t>
            </w:r>
          </w:p>
        </w:tc>
        <w:tc>
          <w:tcPr>
            <w:tcW w:w="137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1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val="0"/>
                <w:bCs/>
                <w:color w:val="auto"/>
                <w:kern w:val="2"/>
                <w:sz w:val="21"/>
                <w:szCs w:val="24"/>
                <w:lang w:val="en-US" w:eastAsia="zh-CN" w:bidi="zh-CN"/>
              </w:rPr>
            </w:pPr>
            <w:r>
              <w:rPr>
                <w:rFonts w:hint="eastAsia" w:eastAsia="宋体" w:cs="Times New Roman"/>
                <w:b w:val="0"/>
                <w:bCs/>
                <w:color w:val="auto"/>
                <w:sz w:val="21"/>
                <w:lang w:val="en-US" w:eastAsia="zh-CN"/>
              </w:rPr>
              <w:t>13</w:t>
            </w:r>
          </w:p>
        </w:tc>
        <w:tc>
          <w:tcPr>
            <w:tcW w:w="152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绿地·新都会</w:t>
            </w:r>
          </w:p>
        </w:tc>
        <w:tc>
          <w:tcPr>
            <w:tcW w:w="14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K4+385</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右侧</w:t>
            </w:r>
          </w:p>
        </w:tc>
        <w:tc>
          <w:tcPr>
            <w:tcW w:w="14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60</w:t>
            </w:r>
          </w:p>
        </w:tc>
        <w:tc>
          <w:tcPr>
            <w:tcW w:w="11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0</w:t>
            </w:r>
          </w:p>
        </w:tc>
        <w:tc>
          <w:tcPr>
            <w:tcW w:w="137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1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color w:val="auto"/>
                <w:sz w:val="21"/>
                <w:lang w:val="en-US" w:eastAsia="zh-CN"/>
              </w:rPr>
            </w:pPr>
            <w:r>
              <w:rPr>
                <w:rFonts w:hint="eastAsia" w:eastAsia="宋体" w:cs="Times New Roman"/>
                <w:b w:val="0"/>
                <w:bCs/>
                <w:color w:val="auto"/>
                <w:sz w:val="21"/>
                <w:lang w:val="en-US" w:eastAsia="zh-CN"/>
              </w:rPr>
              <w:t>14</w:t>
            </w:r>
          </w:p>
        </w:tc>
        <w:tc>
          <w:tcPr>
            <w:tcW w:w="152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贵州测试院</w:t>
            </w:r>
          </w:p>
        </w:tc>
        <w:tc>
          <w:tcPr>
            <w:tcW w:w="14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K6+265</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右侧</w:t>
            </w:r>
          </w:p>
        </w:tc>
        <w:tc>
          <w:tcPr>
            <w:tcW w:w="14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60</w:t>
            </w:r>
          </w:p>
        </w:tc>
        <w:tc>
          <w:tcPr>
            <w:tcW w:w="11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+0.5</w:t>
            </w:r>
          </w:p>
        </w:tc>
        <w:tc>
          <w:tcPr>
            <w:tcW w:w="137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1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cs="Times New Roman"/>
                <w:b w:val="0"/>
                <w:bCs/>
                <w:color w:val="auto"/>
                <w:sz w:val="21"/>
                <w:lang w:val="en-US" w:eastAsia="zh-CN"/>
              </w:rPr>
            </w:pPr>
            <w:r>
              <w:rPr>
                <w:rFonts w:hint="eastAsia" w:eastAsia="宋体" w:cs="Times New Roman"/>
                <w:b w:val="0"/>
                <w:bCs/>
                <w:color w:val="auto"/>
                <w:sz w:val="21"/>
                <w:lang w:val="en-US" w:eastAsia="zh-CN"/>
              </w:rPr>
              <w:t>15</w:t>
            </w:r>
          </w:p>
        </w:tc>
        <w:tc>
          <w:tcPr>
            <w:tcW w:w="152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干田砖厂居民</w:t>
            </w:r>
          </w:p>
        </w:tc>
        <w:tc>
          <w:tcPr>
            <w:tcW w:w="14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K7+000</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右侧</w:t>
            </w:r>
          </w:p>
        </w:tc>
        <w:tc>
          <w:tcPr>
            <w:tcW w:w="14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60</w:t>
            </w:r>
          </w:p>
        </w:tc>
        <w:tc>
          <w:tcPr>
            <w:tcW w:w="11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kern w:val="2"/>
                <w:sz w:val="21"/>
                <w:szCs w:val="21"/>
                <w:vertAlign w:val="baseline"/>
                <w:lang w:val="en-US" w:eastAsia="zh-CN" w:bidi="ar-SA"/>
              </w:rPr>
              <w:t>0</w:t>
            </w:r>
          </w:p>
        </w:tc>
        <w:tc>
          <w:tcPr>
            <w:tcW w:w="137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已搬迁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1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cs="Times New Roman"/>
                <w:b w:val="0"/>
                <w:bCs/>
                <w:color w:val="auto"/>
                <w:sz w:val="21"/>
                <w:lang w:val="en-US" w:eastAsia="zh-CN"/>
              </w:rPr>
            </w:pPr>
            <w:r>
              <w:rPr>
                <w:rFonts w:hint="eastAsia" w:eastAsia="宋体" w:cs="Times New Roman"/>
                <w:b w:val="0"/>
                <w:bCs/>
                <w:color w:val="auto"/>
                <w:sz w:val="21"/>
                <w:lang w:val="en-US" w:eastAsia="zh-CN"/>
              </w:rPr>
              <w:t>16</w:t>
            </w:r>
          </w:p>
        </w:tc>
        <w:tc>
          <w:tcPr>
            <w:tcW w:w="152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马场营</w:t>
            </w:r>
          </w:p>
        </w:tc>
        <w:tc>
          <w:tcPr>
            <w:tcW w:w="14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K7+080</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右侧</w:t>
            </w:r>
          </w:p>
        </w:tc>
        <w:tc>
          <w:tcPr>
            <w:tcW w:w="14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100</w:t>
            </w:r>
          </w:p>
        </w:tc>
        <w:tc>
          <w:tcPr>
            <w:tcW w:w="11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kern w:val="2"/>
                <w:sz w:val="21"/>
                <w:szCs w:val="21"/>
                <w:vertAlign w:val="baseline"/>
                <w:lang w:val="en-US" w:eastAsia="zh-CN" w:bidi="ar-SA"/>
              </w:rPr>
              <w:t>+1.3</w:t>
            </w:r>
          </w:p>
        </w:tc>
        <w:tc>
          <w:tcPr>
            <w:tcW w:w="137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已搬迁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1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cs="Times New Roman"/>
                <w:b w:val="0"/>
                <w:bCs/>
                <w:color w:val="auto"/>
                <w:sz w:val="21"/>
                <w:lang w:val="en-US" w:eastAsia="zh-CN"/>
              </w:rPr>
            </w:pPr>
            <w:r>
              <w:rPr>
                <w:rFonts w:hint="eastAsia" w:eastAsia="宋体" w:cs="Times New Roman"/>
                <w:b w:val="0"/>
                <w:bCs/>
                <w:color w:val="auto"/>
                <w:sz w:val="21"/>
                <w:lang w:val="en-US" w:eastAsia="zh-CN"/>
              </w:rPr>
              <w:t>17</w:t>
            </w:r>
          </w:p>
        </w:tc>
        <w:tc>
          <w:tcPr>
            <w:tcW w:w="152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虎峰大厦</w:t>
            </w:r>
          </w:p>
        </w:tc>
        <w:tc>
          <w:tcPr>
            <w:tcW w:w="14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K7+120</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右侧</w:t>
            </w:r>
          </w:p>
        </w:tc>
        <w:tc>
          <w:tcPr>
            <w:tcW w:w="14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55</w:t>
            </w:r>
          </w:p>
        </w:tc>
        <w:tc>
          <w:tcPr>
            <w:tcW w:w="11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+0.5</w:t>
            </w:r>
          </w:p>
        </w:tc>
        <w:tc>
          <w:tcPr>
            <w:tcW w:w="137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1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cs="Times New Roman"/>
                <w:b w:val="0"/>
                <w:bCs/>
                <w:color w:val="auto"/>
                <w:sz w:val="21"/>
                <w:lang w:val="en-US" w:eastAsia="zh-CN"/>
              </w:rPr>
            </w:pPr>
            <w:r>
              <w:rPr>
                <w:rFonts w:hint="eastAsia" w:eastAsia="宋体" w:cs="Times New Roman"/>
                <w:b w:val="0"/>
                <w:bCs/>
                <w:color w:val="auto"/>
                <w:sz w:val="21"/>
                <w:lang w:val="en-US" w:eastAsia="zh-CN"/>
              </w:rPr>
              <w:t>18</w:t>
            </w:r>
          </w:p>
        </w:tc>
        <w:tc>
          <w:tcPr>
            <w:tcW w:w="152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白金大道消防中队</w:t>
            </w:r>
          </w:p>
        </w:tc>
        <w:tc>
          <w:tcPr>
            <w:tcW w:w="14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K7+200</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右侧</w:t>
            </w:r>
          </w:p>
        </w:tc>
        <w:tc>
          <w:tcPr>
            <w:tcW w:w="14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60</w:t>
            </w:r>
          </w:p>
        </w:tc>
        <w:tc>
          <w:tcPr>
            <w:tcW w:w="11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+0.5</w:t>
            </w:r>
          </w:p>
        </w:tc>
        <w:tc>
          <w:tcPr>
            <w:tcW w:w="137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1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cs="Times New Roman"/>
                <w:b w:val="0"/>
                <w:bCs/>
                <w:color w:val="auto"/>
                <w:sz w:val="21"/>
                <w:lang w:val="en-US" w:eastAsia="zh-CN"/>
              </w:rPr>
            </w:pPr>
            <w:r>
              <w:rPr>
                <w:rFonts w:hint="eastAsia" w:eastAsia="宋体" w:cs="Times New Roman"/>
                <w:b w:val="0"/>
                <w:bCs/>
                <w:color w:val="auto"/>
                <w:sz w:val="21"/>
                <w:lang w:val="en-US" w:eastAsia="zh-CN"/>
              </w:rPr>
              <w:t>19</w:t>
            </w:r>
          </w:p>
        </w:tc>
        <w:tc>
          <w:tcPr>
            <w:tcW w:w="152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太阳湖滨河公园</w:t>
            </w:r>
          </w:p>
        </w:tc>
        <w:tc>
          <w:tcPr>
            <w:tcW w:w="14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K7+865</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右侧</w:t>
            </w:r>
          </w:p>
        </w:tc>
        <w:tc>
          <w:tcPr>
            <w:tcW w:w="14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70</w:t>
            </w:r>
          </w:p>
        </w:tc>
        <w:tc>
          <w:tcPr>
            <w:tcW w:w="11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+0.5</w:t>
            </w:r>
          </w:p>
        </w:tc>
        <w:tc>
          <w:tcPr>
            <w:tcW w:w="137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1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cs="Times New Roman"/>
                <w:b w:val="0"/>
                <w:bCs/>
                <w:color w:val="auto"/>
                <w:sz w:val="21"/>
                <w:lang w:val="en-US" w:eastAsia="zh-CN"/>
              </w:rPr>
            </w:pPr>
            <w:r>
              <w:rPr>
                <w:rFonts w:hint="eastAsia" w:eastAsia="宋体" w:cs="Times New Roman"/>
                <w:b w:val="0"/>
                <w:bCs/>
                <w:color w:val="auto"/>
                <w:sz w:val="21"/>
                <w:lang w:val="en-US" w:eastAsia="zh-CN"/>
              </w:rPr>
              <w:t>20</w:t>
            </w:r>
          </w:p>
        </w:tc>
        <w:tc>
          <w:tcPr>
            <w:tcW w:w="152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麻堡组</w:t>
            </w:r>
          </w:p>
        </w:tc>
        <w:tc>
          <w:tcPr>
            <w:tcW w:w="14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K8+140</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左侧</w:t>
            </w:r>
          </w:p>
        </w:tc>
        <w:tc>
          <w:tcPr>
            <w:tcW w:w="14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85</w:t>
            </w:r>
          </w:p>
        </w:tc>
        <w:tc>
          <w:tcPr>
            <w:tcW w:w="11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-1</w:t>
            </w:r>
          </w:p>
        </w:tc>
        <w:tc>
          <w:tcPr>
            <w:tcW w:w="137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1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cs="Times New Roman"/>
                <w:b w:val="0"/>
                <w:bCs/>
                <w:color w:val="auto"/>
                <w:sz w:val="21"/>
                <w:lang w:val="en-US" w:eastAsia="zh-CN"/>
              </w:rPr>
            </w:pPr>
            <w:r>
              <w:rPr>
                <w:rFonts w:hint="eastAsia" w:eastAsia="宋体" w:cs="Times New Roman"/>
                <w:b w:val="0"/>
                <w:bCs/>
                <w:color w:val="auto"/>
                <w:sz w:val="21"/>
                <w:lang w:val="en-US" w:eastAsia="zh-CN"/>
              </w:rPr>
              <w:t>21</w:t>
            </w:r>
          </w:p>
        </w:tc>
        <w:tc>
          <w:tcPr>
            <w:tcW w:w="152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麻堡小学</w:t>
            </w:r>
          </w:p>
        </w:tc>
        <w:tc>
          <w:tcPr>
            <w:tcW w:w="14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K7+900</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路基</w:t>
            </w:r>
          </w:p>
        </w:tc>
        <w:tc>
          <w:tcPr>
            <w:tcW w:w="14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0</w:t>
            </w:r>
          </w:p>
        </w:tc>
        <w:tc>
          <w:tcPr>
            <w:tcW w:w="11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0</w:t>
            </w:r>
          </w:p>
        </w:tc>
        <w:tc>
          <w:tcPr>
            <w:tcW w:w="137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已拆除</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1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cs="Times New Roman"/>
                <w:b w:val="0"/>
                <w:bCs/>
                <w:color w:val="auto"/>
                <w:sz w:val="21"/>
                <w:lang w:val="en-US" w:eastAsia="zh-CN"/>
              </w:rPr>
            </w:pPr>
            <w:r>
              <w:rPr>
                <w:rFonts w:hint="eastAsia" w:eastAsia="宋体" w:cs="Times New Roman"/>
                <w:b w:val="0"/>
                <w:bCs/>
                <w:color w:val="auto"/>
                <w:sz w:val="21"/>
                <w:lang w:val="en-US" w:eastAsia="zh-CN"/>
              </w:rPr>
              <w:t>22</w:t>
            </w:r>
          </w:p>
        </w:tc>
        <w:tc>
          <w:tcPr>
            <w:tcW w:w="152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王家院</w:t>
            </w:r>
          </w:p>
        </w:tc>
        <w:tc>
          <w:tcPr>
            <w:tcW w:w="14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K8+060</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右侧</w:t>
            </w:r>
          </w:p>
        </w:tc>
        <w:tc>
          <w:tcPr>
            <w:tcW w:w="14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150</w:t>
            </w:r>
          </w:p>
        </w:tc>
        <w:tc>
          <w:tcPr>
            <w:tcW w:w="11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-1.5</w:t>
            </w:r>
          </w:p>
        </w:tc>
        <w:tc>
          <w:tcPr>
            <w:tcW w:w="137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已搬迁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1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cs="Times New Roman"/>
                <w:b w:val="0"/>
                <w:bCs/>
                <w:color w:val="auto"/>
                <w:sz w:val="21"/>
                <w:lang w:val="en-US" w:eastAsia="zh-CN"/>
              </w:rPr>
            </w:pPr>
            <w:r>
              <w:rPr>
                <w:rFonts w:hint="eastAsia" w:eastAsia="宋体" w:cs="Times New Roman"/>
                <w:b w:val="0"/>
                <w:bCs/>
                <w:color w:val="auto"/>
                <w:sz w:val="21"/>
                <w:lang w:val="en-US" w:eastAsia="zh-CN"/>
              </w:rPr>
              <w:t>23</w:t>
            </w:r>
          </w:p>
        </w:tc>
        <w:tc>
          <w:tcPr>
            <w:tcW w:w="152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沙子哨监狱</w:t>
            </w:r>
          </w:p>
        </w:tc>
        <w:tc>
          <w:tcPr>
            <w:tcW w:w="14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K9+160</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右侧</w:t>
            </w:r>
          </w:p>
        </w:tc>
        <w:tc>
          <w:tcPr>
            <w:tcW w:w="14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80</w:t>
            </w:r>
          </w:p>
        </w:tc>
        <w:tc>
          <w:tcPr>
            <w:tcW w:w="11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0</w:t>
            </w:r>
          </w:p>
        </w:tc>
        <w:tc>
          <w:tcPr>
            <w:tcW w:w="137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1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cs="Times New Roman"/>
                <w:b w:val="0"/>
                <w:bCs/>
                <w:color w:val="auto"/>
                <w:sz w:val="21"/>
                <w:lang w:val="en-US" w:eastAsia="zh-CN"/>
              </w:rPr>
            </w:pPr>
            <w:r>
              <w:rPr>
                <w:rFonts w:hint="eastAsia" w:eastAsia="宋体" w:cs="Times New Roman"/>
                <w:b w:val="0"/>
                <w:bCs/>
                <w:color w:val="auto"/>
                <w:sz w:val="21"/>
                <w:lang w:val="en-US" w:eastAsia="zh-CN"/>
              </w:rPr>
              <w:t>24</w:t>
            </w:r>
          </w:p>
        </w:tc>
        <w:tc>
          <w:tcPr>
            <w:tcW w:w="152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神奇制药</w:t>
            </w:r>
          </w:p>
        </w:tc>
        <w:tc>
          <w:tcPr>
            <w:tcW w:w="14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K10+800</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右侧</w:t>
            </w:r>
          </w:p>
        </w:tc>
        <w:tc>
          <w:tcPr>
            <w:tcW w:w="14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45</w:t>
            </w:r>
          </w:p>
        </w:tc>
        <w:tc>
          <w:tcPr>
            <w:tcW w:w="11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0</w:t>
            </w:r>
          </w:p>
        </w:tc>
        <w:tc>
          <w:tcPr>
            <w:tcW w:w="137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1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cs="Times New Roman"/>
                <w:b w:val="0"/>
                <w:bCs/>
                <w:color w:val="auto"/>
                <w:sz w:val="21"/>
                <w:lang w:val="en-US" w:eastAsia="zh-CN"/>
              </w:rPr>
            </w:pPr>
            <w:r>
              <w:rPr>
                <w:rFonts w:hint="eastAsia" w:eastAsia="宋体" w:cs="Times New Roman"/>
                <w:b w:val="0"/>
                <w:bCs/>
                <w:color w:val="auto"/>
                <w:sz w:val="21"/>
                <w:lang w:val="en-US" w:eastAsia="zh-CN"/>
              </w:rPr>
              <w:t>25</w:t>
            </w:r>
          </w:p>
        </w:tc>
        <w:tc>
          <w:tcPr>
            <w:tcW w:w="152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kern w:val="2"/>
                <w:sz w:val="21"/>
                <w:szCs w:val="21"/>
                <w:vertAlign w:val="baseline"/>
                <w:lang w:val="en-US" w:eastAsia="zh-CN" w:bidi="ar-SA"/>
              </w:rPr>
              <w:t>新寨</w:t>
            </w:r>
          </w:p>
        </w:tc>
        <w:tc>
          <w:tcPr>
            <w:tcW w:w="14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kern w:val="2"/>
                <w:sz w:val="21"/>
                <w:szCs w:val="21"/>
                <w:vertAlign w:val="baseline"/>
                <w:lang w:val="en-US" w:eastAsia="zh-CN" w:bidi="ar-SA"/>
              </w:rPr>
              <w:t>K11+060</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kern w:val="2"/>
                <w:sz w:val="21"/>
                <w:szCs w:val="21"/>
                <w:vertAlign w:val="baseline"/>
                <w:lang w:val="en-US" w:eastAsia="zh-CN" w:bidi="ar-SA"/>
              </w:rPr>
              <w:t>两侧</w:t>
            </w:r>
          </w:p>
        </w:tc>
        <w:tc>
          <w:tcPr>
            <w:tcW w:w="14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kern w:val="2"/>
                <w:sz w:val="21"/>
                <w:szCs w:val="21"/>
                <w:vertAlign w:val="baseline"/>
                <w:lang w:val="en-US" w:eastAsia="zh-CN" w:bidi="ar-SA"/>
              </w:rPr>
              <w:t>40</w:t>
            </w:r>
          </w:p>
        </w:tc>
        <w:tc>
          <w:tcPr>
            <w:tcW w:w="11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auto"/>
                <w:kern w:val="2"/>
                <w:sz w:val="21"/>
                <w:szCs w:val="21"/>
                <w:vertAlign w:val="baseline"/>
                <w:lang w:val="en-US" w:eastAsia="zh-CN" w:bidi="ar-SA"/>
              </w:rPr>
            </w:pPr>
            <w:r>
              <w:rPr>
                <w:rFonts w:hint="eastAsia" w:ascii="Times New Roman" w:hAnsi="Times New Roman" w:cs="Times New Roman"/>
                <w:b w:val="0"/>
                <w:bCs w:val="0"/>
                <w:color w:val="auto"/>
                <w:kern w:val="2"/>
                <w:sz w:val="21"/>
                <w:szCs w:val="21"/>
                <w:vertAlign w:val="baseline"/>
                <w:lang w:val="en-US" w:eastAsia="zh-CN" w:bidi="ar-SA"/>
              </w:rPr>
              <w:t>0</w:t>
            </w:r>
          </w:p>
        </w:tc>
        <w:tc>
          <w:tcPr>
            <w:tcW w:w="137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已搬迁</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2"/>
        <w:rPr>
          <w:rFonts w:hint="default" w:ascii="Times New Roman" w:hAnsi="Times New Roman" w:eastAsia="宋体" w:cs="Times New Roman"/>
          <w:sz w:val="24"/>
          <w:szCs w:val="24"/>
          <w:lang w:val="en-US" w:eastAsia="zh-CN"/>
        </w:rPr>
      </w:pPr>
      <w:bookmarkStart w:id="58" w:name="_Toc14400"/>
      <w:r>
        <w:rPr>
          <w:rFonts w:hint="eastAsia" w:ascii="Times New Roman" w:hAnsi="Times New Roman" w:eastAsia="宋体" w:cs="Times New Roman"/>
          <w:sz w:val="24"/>
          <w:szCs w:val="24"/>
          <w:lang w:val="en-US" w:eastAsia="zh-CN"/>
        </w:rPr>
        <w:t>6.2.2现状监测内容</w:t>
      </w:r>
      <w:bookmarkEnd w:id="58"/>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根据调查实际情况，结合环境影响评价报告要求，本项目共设置噪声监测敏感点12处，环境空气监测敏感点3处。具体详见表6.2.2-1、6.2.2-2.</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6.2.2-1噪声监测敏感点一览表</w:t>
      </w:r>
    </w:p>
    <w:tbl>
      <w:tblPr>
        <w:tblStyle w:val="10"/>
        <w:tblW w:w="96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5"/>
        <w:gridCol w:w="1065"/>
        <w:gridCol w:w="1830"/>
        <w:gridCol w:w="1170"/>
        <w:gridCol w:w="1200"/>
        <w:gridCol w:w="720"/>
        <w:gridCol w:w="720"/>
        <w:gridCol w:w="23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6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序号</w:t>
            </w:r>
          </w:p>
        </w:tc>
        <w:tc>
          <w:tcPr>
            <w:tcW w:w="10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道路名称</w:t>
            </w: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监测点位</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桩号</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距道路中心线距离（m）</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高差（m）</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备注</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照片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7" w:hRule="atLeast"/>
          <w:jc w:val="center"/>
        </w:trPr>
        <w:tc>
          <w:tcPr>
            <w:tcW w:w="6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1</w:t>
            </w:r>
          </w:p>
        </w:tc>
        <w:tc>
          <w:tcPr>
            <w:tcW w:w="1065"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金苏大道</w:t>
            </w: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金苏大道起点</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K0+000</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左侧35</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31595" cy="998220"/>
                  <wp:effectExtent l="0" t="0" r="1905" b="11430"/>
                  <wp:docPr id="56" name="图片 56" descr="照片IMG_20200518_14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照片IMG_20200518_141118"/>
                          <pic:cNvPicPr>
                            <a:picLocks noChangeAspect="1"/>
                          </pic:cNvPicPr>
                        </pic:nvPicPr>
                        <pic:blipFill>
                          <a:blip r:embed="rId21"/>
                          <a:stretch>
                            <a:fillRect/>
                          </a:stretch>
                        </pic:blipFill>
                        <pic:spPr>
                          <a:xfrm>
                            <a:off x="0" y="0"/>
                            <a:ext cx="1331595" cy="9982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2</w:t>
            </w: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道元精化厂</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K0+860</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右侧40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原有</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108" name="图片 108" descr="IMG_1034(20200518-20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IMG_1034(20200518-200017)"/>
                          <pic:cNvPicPr>
                            <a:picLocks noChangeAspect="1"/>
                          </pic:cNvPicPr>
                        </pic:nvPicPr>
                        <pic:blipFill>
                          <a:blip r:embed="rId22"/>
                          <a:stretch>
                            <a:fillRect/>
                          </a:stretch>
                        </pic:blipFill>
                        <pic:spPr>
                          <a:xfrm>
                            <a:off x="0" y="0"/>
                            <a:ext cx="1344295" cy="10083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3</w:t>
            </w: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艳山红小学（乡村学校少年宫）</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K1+500</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左侧45</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+0.5</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原有</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109" name="图片 109" descr="IMG_1032(20200518-20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IMG_1032(20200518-201135)"/>
                          <pic:cNvPicPr>
                            <a:picLocks noChangeAspect="1"/>
                          </pic:cNvPicPr>
                        </pic:nvPicPr>
                        <pic:blipFill>
                          <a:blip r:embed="rId8"/>
                          <a:stretch>
                            <a:fillRect/>
                          </a:stretch>
                        </pic:blipFill>
                        <pic:spPr>
                          <a:xfrm>
                            <a:off x="0" y="0"/>
                            <a:ext cx="1344295" cy="10083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4</w:t>
            </w: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金融城国际社区</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K1+675</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右侧50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+0.5</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新增</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110" name="图片 110" descr="IMG_0988(20200518-204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IMG_0988(20200518-204736)"/>
                          <pic:cNvPicPr>
                            <a:picLocks noChangeAspect="1"/>
                          </pic:cNvPicPr>
                        </pic:nvPicPr>
                        <pic:blipFill>
                          <a:blip r:embed="rId23"/>
                          <a:stretch>
                            <a:fillRect/>
                          </a:stretch>
                        </pic:blipFill>
                        <pic:spPr>
                          <a:xfrm>
                            <a:off x="0" y="0"/>
                            <a:ext cx="1344295" cy="10083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5</w:t>
            </w: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云城中心</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K1+925</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右侧50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新增</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111" name="图片 111" descr="IMG_0989(20200518-204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IMG_0989(20200518-204656)"/>
                          <pic:cNvPicPr>
                            <a:picLocks noChangeAspect="1"/>
                          </pic:cNvPicPr>
                        </pic:nvPicPr>
                        <pic:blipFill>
                          <a:blip r:embed="rId24"/>
                          <a:stretch>
                            <a:fillRect/>
                          </a:stretch>
                        </pic:blipFill>
                        <pic:spPr>
                          <a:xfrm>
                            <a:off x="0" y="0"/>
                            <a:ext cx="1344295" cy="10083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kern w:val="2"/>
                <w:sz w:val="21"/>
                <w:szCs w:val="21"/>
                <w:vertAlign w:val="baseline"/>
                <w:lang w:val="en-US" w:eastAsia="zh-CN" w:bidi="ar-SA"/>
                <w14:textFill>
                  <w14:solidFill>
                    <w14:schemeClr w14:val="tx1"/>
                  </w14:solidFill>
                </w14:textFill>
              </w:rPr>
              <w:t>6</w:t>
            </w: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高科·花漾生活</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K2+835</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右侧45</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+0.5</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新增</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287780" cy="1311275"/>
                  <wp:effectExtent l="0" t="0" r="7620" b="3175"/>
                  <wp:docPr id="112" name="图片 112" descr="IMG_0991(20200518-204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IMG_0991(20200518-204643)"/>
                          <pic:cNvPicPr>
                            <a:picLocks noChangeAspect="1"/>
                          </pic:cNvPicPr>
                        </pic:nvPicPr>
                        <pic:blipFill>
                          <a:blip r:embed="rId25"/>
                          <a:stretch>
                            <a:fillRect/>
                          </a:stretch>
                        </pic:blipFill>
                        <pic:spPr>
                          <a:xfrm>
                            <a:off x="0" y="0"/>
                            <a:ext cx="1287780" cy="13112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7</w:t>
            </w:r>
          </w:p>
        </w:tc>
        <w:tc>
          <w:tcPr>
            <w:tcW w:w="1065"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金苏大道</w:t>
            </w: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贵耐医院</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K2+800</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左侧80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+0.5</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原有</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drawing>
                <wp:inline distT="0" distB="0" distL="114300" distR="114300">
                  <wp:extent cx="1355090" cy="903605"/>
                  <wp:effectExtent l="0" t="0" r="16510" b="10795"/>
                  <wp:docPr id="1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
                          <pic:cNvPicPr>
                            <a:picLocks noChangeAspect="1"/>
                          </pic:cNvPicPr>
                        </pic:nvPicPr>
                        <pic:blipFill>
                          <a:blip r:embed="rId26"/>
                          <a:stretch>
                            <a:fillRect/>
                          </a:stretch>
                        </pic:blipFill>
                        <pic:spPr>
                          <a:xfrm>
                            <a:off x="0" y="0"/>
                            <a:ext cx="1355090" cy="90360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8</w:t>
            </w: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铝兴社区（1楼、3楼）</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K2+700</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右侧35</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原有（原贵铝社区）</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114" name="图片 114" descr="IMG_0995(20200518-20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IMG_0995(20200518-204603)"/>
                          <pic:cNvPicPr>
                            <a:picLocks noChangeAspect="1"/>
                          </pic:cNvPicPr>
                        </pic:nvPicPr>
                        <pic:blipFill>
                          <a:blip r:embed="rId27"/>
                          <a:stretch>
                            <a:fillRect/>
                          </a:stretch>
                        </pic:blipFill>
                        <pic:spPr>
                          <a:xfrm>
                            <a:off x="0" y="0"/>
                            <a:ext cx="1344295" cy="10083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9</w:t>
            </w: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贵州铝厂生活区（龚北社区）（1楼、4楼）</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K3+130</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左侧35</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原有</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115" name="图片 115" descr="IMG_0993(20200518-204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IMG_0993(20200518-204630)"/>
                          <pic:cNvPicPr>
                            <a:picLocks noChangeAspect="1"/>
                          </pic:cNvPicPr>
                        </pic:nvPicPr>
                        <pic:blipFill>
                          <a:blip r:embed="rId9"/>
                          <a:stretch>
                            <a:fillRect/>
                          </a:stretch>
                        </pic:blipFill>
                        <pic:spPr>
                          <a:xfrm>
                            <a:off x="0" y="0"/>
                            <a:ext cx="1344295" cy="10083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10</w:t>
            </w: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白云六小、贵铝职校</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K3+300</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左侧200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+1</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原有</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drawing>
                <wp:inline distT="0" distB="0" distL="114300" distR="114300">
                  <wp:extent cx="1354455" cy="988060"/>
                  <wp:effectExtent l="0" t="0" r="17145" b="2540"/>
                  <wp:docPr id="1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4"/>
                          <pic:cNvPicPr>
                            <a:picLocks noChangeAspect="1"/>
                          </pic:cNvPicPr>
                        </pic:nvPicPr>
                        <pic:blipFill>
                          <a:blip r:embed="rId28"/>
                          <a:stretch>
                            <a:fillRect/>
                          </a:stretch>
                        </pic:blipFill>
                        <pic:spPr>
                          <a:xfrm>
                            <a:off x="0" y="0"/>
                            <a:ext cx="1354455" cy="98806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11</w:t>
            </w: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白云欣歆幼儿园</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K3+400</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左侧80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原有</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drawing>
                <wp:inline distT="0" distB="0" distL="114300" distR="114300">
                  <wp:extent cx="1357630" cy="953135"/>
                  <wp:effectExtent l="0" t="0" r="13970" b="18415"/>
                  <wp:docPr id="1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2"/>
                          <pic:cNvPicPr>
                            <a:picLocks noChangeAspect="1"/>
                          </pic:cNvPicPr>
                        </pic:nvPicPr>
                        <pic:blipFill>
                          <a:blip r:embed="rId29"/>
                          <a:stretch>
                            <a:fillRect/>
                          </a:stretch>
                        </pic:blipFill>
                        <pic:spPr>
                          <a:xfrm>
                            <a:off x="0" y="0"/>
                            <a:ext cx="1357630" cy="95313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12</w:t>
            </w: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金东社区（1楼、4楼）</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K3+450</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35</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pPr>
            <w:r>
              <w:drawing>
                <wp:inline distT="0" distB="0" distL="114300" distR="114300">
                  <wp:extent cx="1363345" cy="1075690"/>
                  <wp:effectExtent l="0" t="0" r="8255" b="10160"/>
                  <wp:docPr id="1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3"/>
                          <pic:cNvPicPr>
                            <a:picLocks noChangeAspect="1"/>
                          </pic:cNvPicPr>
                        </pic:nvPicPr>
                        <pic:blipFill>
                          <a:blip r:embed="rId30"/>
                          <a:stretch>
                            <a:fillRect/>
                          </a:stretch>
                        </pic:blipFill>
                        <pic:spPr>
                          <a:xfrm>
                            <a:off x="0" y="0"/>
                            <a:ext cx="1363345" cy="10756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kern w:val="2"/>
                <w:sz w:val="21"/>
                <w:szCs w:val="21"/>
                <w:vertAlign w:val="baseline"/>
                <w:lang w:val="en-US" w:eastAsia="zh-CN" w:bidi="ar-SA"/>
                <w14:textFill>
                  <w14:solidFill>
                    <w14:schemeClr w14:val="tx1"/>
                  </w14:solidFill>
                </w14:textFill>
              </w:rPr>
              <w:t>13</w:t>
            </w: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贵铝医院（贵州医科大学附属白云医院）</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K3+580</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右侧40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+3</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原有</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119" name="图片 119" descr="IMG_0998(20200518-20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IMG_0998(20200518-204603)"/>
                          <pic:cNvPicPr>
                            <a:picLocks noChangeAspect="1"/>
                          </pic:cNvPicPr>
                        </pic:nvPicPr>
                        <pic:blipFill>
                          <a:blip r:embed="rId11"/>
                          <a:stretch>
                            <a:fillRect/>
                          </a:stretch>
                        </pic:blipFill>
                        <pic:spPr>
                          <a:xfrm>
                            <a:off x="0" y="0"/>
                            <a:ext cx="1344295" cy="10083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14</w:t>
            </w:r>
          </w:p>
        </w:tc>
        <w:tc>
          <w:tcPr>
            <w:tcW w:w="1065"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金苏大道</w:t>
            </w: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塔山公园</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K3+620</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左侧30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原有</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120" name="图片 120" descr="IMG_1031(20200518-20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IMG_1031(20200518-201138)"/>
                          <pic:cNvPicPr>
                            <a:picLocks noChangeAspect="1"/>
                          </pic:cNvPicPr>
                        </pic:nvPicPr>
                        <pic:blipFill>
                          <a:blip r:embed="rId31"/>
                          <a:stretch>
                            <a:fillRect/>
                          </a:stretch>
                        </pic:blipFill>
                        <pic:spPr>
                          <a:xfrm>
                            <a:off x="0" y="0"/>
                            <a:ext cx="1344295" cy="10083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kern w:val="2"/>
                <w:sz w:val="21"/>
                <w:szCs w:val="21"/>
                <w:vertAlign w:val="baseline"/>
                <w:lang w:val="en-US" w:eastAsia="zh-CN" w:bidi="ar-SA"/>
                <w14:textFill>
                  <w14:solidFill>
                    <w14:schemeClr w14:val="tx1"/>
                  </w14:solidFill>
                </w14:textFill>
              </w:rPr>
              <w:t>15</w:t>
            </w: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白云第一中学（白云区实验中学）</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K3+920</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右侧35</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+1</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原有</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121" name="图片 121" descr="IMG_0999(20200518-20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IMG_0999(20200518-204603)"/>
                          <pic:cNvPicPr>
                            <a:picLocks noChangeAspect="1"/>
                          </pic:cNvPicPr>
                        </pic:nvPicPr>
                        <pic:blipFill>
                          <a:blip r:embed="rId10"/>
                          <a:stretch>
                            <a:fillRect/>
                          </a:stretch>
                        </pic:blipFill>
                        <pic:spPr>
                          <a:xfrm>
                            <a:off x="0" y="0"/>
                            <a:ext cx="1344295" cy="10083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16</w:t>
            </w: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白沙关社区（贵铝智慧幸福苑）</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K3+981</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左侧45</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+1</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原有</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122" name="图片 122" descr="IMG_1020(20200518-20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IMG_1020(20200518-204603)"/>
                          <pic:cNvPicPr>
                            <a:picLocks noChangeAspect="1"/>
                          </pic:cNvPicPr>
                        </pic:nvPicPr>
                        <pic:blipFill>
                          <a:blip r:embed="rId32"/>
                          <a:stretch>
                            <a:fillRect/>
                          </a:stretch>
                        </pic:blipFill>
                        <pic:spPr>
                          <a:xfrm>
                            <a:off x="0" y="0"/>
                            <a:ext cx="1344295" cy="10083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17</w:t>
            </w: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贵州赛诺管业有限公司</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K4+755</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右侧50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新增</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123" name="图片 123" descr="IMG_1001(20200518-20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IMG_1001(20200518-204603)"/>
                          <pic:cNvPicPr>
                            <a:picLocks noChangeAspect="1"/>
                          </pic:cNvPicPr>
                        </pic:nvPicPr>
                        <pic:blipFill>
                          <a:blip r:embed="rId33"/>
                          <a:stretch>
                            <a:fillRect/>
                          </a:stretch>
                        </pic:blipFill>
                        <pic:spPr>
                          <a:xfrm>
                            <a:off x="0" y="0"/>
                            <a:ext cx="1344295" cy="10083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18</w:t>
            </w: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天一·观山阅</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K4+351</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左侧70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+0.5</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新增</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124" name="图片 124" descr="IMG_1018(20200518-20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IMG_1018(20200518-204603)"/>
                          <pic:cNvPicPr>
                            <a:picLocks noChangeAspect="1"/>
                          </pic:cNvPicPr>
                        </pic:nvPicPr>
                        <pic:blipFill>
                          <a:blip r:embed="rId34"/>
                          <a:stretch>
                            <a:fillRect/>
                          </a:stretch>
                        </pic:blipFill>
                        <pic:spPr>
                          <a:xfrm>
                            <a:off x="0" y="0"/>
                            <a:ext cx="1344295" cy="10083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19</w:t>
            </w: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绿地·新都会</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K4+385</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右侧60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新增</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125" name="图片 125" descr="IMG_1004(20200518-20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IMG_1004(20200518-204603)"/>
                          <pic:cNvPicPr>
                            <a:picLocks noChangeAspect="1"/>
                          </pic:cNvPicPr>
                        </pic:nvPicPr>
                        <pic:blipFill>
                          <a:blip r:embed="rId35"/>
                          <a:stretch>
                            <a:fillRect/>
                          </a:stretch>
                        </pic:blipFill>
                        <pic:spPr>
                          <a:xfrm>
                            <a:off x="0" y="0"/>
                            <a:ext cx="1344295" cy="10083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20</w:t>
            </w:r>
          </w:p>
        </w:tc>
        <w:tc>
          <w:tcPr>
            <w:tcW w:w="1065"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金苏大道</w:t>
            </w: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贵州测试院</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K6+265</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右侧60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+0.5</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新增</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126" name="图片 126" descr="IMG_1005(20200518-20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IMG_1005(20200518-204603)"/>
                          <pic:cNvPicPr>
                            <a:picLocks noChangeAspect="1"/>
                          </pic:cNvPicPr>
                        </pic:nvPicPr>
                        <pic:blipFill>
                          <a:blip r:embed="rId36"/>
                          <a:stretch>
                            <a:fillRect/>
                          </a:stretch>
                        </pic:blipFill>
                        <pic:spPr>
                          <a:xfrm>
                            <a:off x="0" y="0"/>
                            <a:ext cx="1344295" cy="10083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21</w:t>
            </w: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虎峰大厦</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K7+120</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右侧55</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+0.5</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新增</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127" name="图片 127" descr="IMG_1006(20200518-145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IMG_1006(20200518-145149)"/>
                          <pic:cNvPicPr>
                            <a:picLocks noChangeAspect="1"/>
                          </pic:cNvPicPr>
                        </pic:nvPicPr>
                        <pic:blipFill>
                          <a:blip r:embed="rId37"/>
                          <a:stretch>
                            <a:fillRect/>
                          </a:stretch>
                        </pic:blipFill>
                        <pic:spPr>
                          <a:xfrm>
                            <a:off x="0" y="0"/>
                            <a:ext cx="1344295" cy="10083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22</w:t>
            </w: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白金大道消防中队</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K7+200</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右侧60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+0.5</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新增</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128" name="图片 128" descr="IMG_1007(20200518-20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IMG_1007(20200518-204603)"/>
                          <pic:cNvPicPr>
                            <a:picLocks noChangeAspect="1"/>
                          </pic:cNvPicPr>
                        </pic:nvPicPr>
                        <pic:blipFill>
                          <a:blip r:embed="rId38"/>
                          <a:stretch>
                            <a:fillRect/>
                          </a:stretch>
                        </pic:blipFill>
                        <pic:spPr>
                          <a:xfrm>
                            <a:off x="0" y="0"/>
                            <a:ext cx="1344295" cy="10083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23</w:t>
            </w: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太阳湖滨河公园</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K7+865</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右侧70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+0.5</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新增</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129" name="图片 129" descr="IMG_1009(20200518-20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IMG_1009(20200518-204603)"/>
                          <pic:cNvPicPr>
                            <a:picLocks noChangeAspect="1"/>
                          </pic:cNvPicPr>
                        </pic:nvPicPr>
                        <pic:blipFill>
                          <a:blip r:embed="rId12"/>
                          <a:stretch>
                            <a:fillRect/>
                          </a:stretch>
                        </pic:blipFill>
                        <pic:spPr>
                          <a:xfrm>
                            <a:off x="0" y="0"/>
                            <a:ext cx="1344295" cy="10083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24</w:t>
            </w: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麻堡组</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K8+140</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左侧85</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-1</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原有</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130" name="图片 130" descr="IMG_1016(20200518-20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IMG_1016(20200518-204603)"/>
                          <pic:cNvPicPr>
                            <a:picLocks noChangeAspect="1"/>
                          </pic:cNvPicPr>
                        </pic:nvPicPr>
                        <pic:blipFill>
                          <a:blip r:embed="rId39"/>
                          <a:stretch>
                            <a:fillRect/>
                          </a:stretch>
                        </pic:blipFill>
                        <pic:spPr>
                          <a:xfrm>
                            <a:off x="0" y="0"/>
                            <a:ext cx="1344295" cy="10083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25</w:t>
            </w: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沙子哨监狱</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K9+160</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右侧80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新增</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131" name="图片 131" descr="IMG_1010(20200518-145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IMG_1010(20200518-145844)"/>
                          <pic:cNvPicPr>
                            <a:picLocks noChangeAspect="1"/>
                          </pic:cNvPicPr>
                        </pic:nvPicPr>
                        <pic:blipFill>
                          <a:blip r:embed="rId13"/>
                          <a:stretch>
                            <a:fillRect/>
                          </a:stretch>
                        </pic:blipFill>
                        <pic:spPr>
                          <a:xfrm>
                            <a:off x="0" y="0"/>
                            <a:ext cx="1344295" cy="10083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26</w:t>
            </w:r>
          </w:p>
        </w:tc>
        <w:tc>
          <w:tcPr>
            <w:tcW w:w="1065"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金苏大道</w:t>
            </w: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神奇制药</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K10+800</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右侧45</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新增</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132" name="图片 132" descr="IMG_1011(20200518-20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IMG_1011(20200518-204603)"/>
                          <pic:cNvPicPr>
                            <a:picLocks noChangeAspect="1"/>
                          </pic:cNvPicPr>
                        </pic:nvPicPr>
                        <pic:blipFill>
                          <a:blip r:embed="rId40"/>
                          <a:stretch>
                            <a:fillRect/>
                          </a:stretch>
                        </pic:blipFill>
                        <pic:spPr>
                          <a:xfrm>
                            <a:off x="0" y="0"/>
                            <a:ext cx="1344295" cy="10083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27</w:t>
            </w:r>
          </w:p>
        </w:tc>
        <w:tc>
          <w:tcPr>
            <w:tcW w:w="106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p>
        </w:tc>
        <w:tc>
          <w:tcPr>
            <w:tcW w:w="18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金苏大道终点</w:t>
            </w:r>
          </w:p>
        </w:tc>
        <w:tc>
          <w:tcPr>
            <w:tcW w:w="11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K11+600</w:t>
            </w:r>
          </w:p>
        </w:tc>
        <w:tc>
          <w:tcPr>
            <w:tcW w:w="12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35</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w:t>
            </w:r>
          </w:p>
        </w:tc>
        <w:tc>
          <w:tcPr>
            <w:tcW w:w="7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w:t>
            </w:r>
          </w:p>
        </w:tc>
        <w:tc>
          <w:tcPr>
            <w:tcW w:w="23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133" name="图片 133" descr="IMG_1012(20200518-202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IMG_1012(20200518-202718)"/>
                          <pic:cNvPicPr>
                            <a:picLocks noChangeAspect="1"/>
                          </pic:cNvPicPr>
                        </pic:nvPicPr>
                        <pic:blipFill>
                          <a:blip r:embed="rId41"/>
                          <a:stretch>
                            <a:fillRect/>
                          </a:stretch>
                        </pic:blipFill>
                        <pic:spPr>
                          <a:xfrm>
                            <a:off x="0" y="0"/>
                            <a:ext cx="1344295" cy="1008380"/>
                          </a:xfrm>
                          <a:prstGeom prst="rect">
                            <a:avLst/>
                          </a:prstGeom>
                        </pic:spPr>
                      </pic:pic>
                    </a:graphicData>
                  </a:graphic>
                </wp:inline>
              </w:drawing>
            </w:r>
          </w:p>
        </w:tc>
      </w:tr>
    </w:tbl>
    <w:p>
      <w:pPr>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br w:type="page"/>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表6.2.2-2环境空气监测点位一览表</w:t>
      </w:r>
    </w:p>
    <w:tbl>
      <w:tblPr>
        <w:tblStyle w:val="9"/>
        <w:tblW w:w="933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20"/>
        <w:gridCol w:w="1588"/>
        <w:gridCol w:w="1523"/>
        <w:gridCol w:w="927"/>
        <w:gridCol w:w="1162"/>
        <w:gridCol w:w="1133"/>
        <w:gridCol w:w="247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79" w:hRule="atLeast"/>
          <w:tblHeader/>
          <w:jc w:val="center"/>
        </w:trPr>
        <w:tc>
          <w:tcPr>
            <w:tcW w:w="520" w:type="dxa"/>
            <w:tcBorders>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sz w:val="21"/>
              </w:rPr>
            </w:pPr>
            <w:r>
              <w:rPr>
                <w:rFonts w:hint="eastAsia" w:ascii="宋体" w:eastAsia="宋体"/>
                <w:b/>
                <w:sz w:val="21"/>
              </w:rPr>
              <w:t>序号</w:t>
            </w:r>
          </w:p>
        </w:tc>
        <w:tc>
          <w:tcPr>
            <w:tcW w:w="1588"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sz w:val="21"/>
              </w:rPr>
            </w:pPr>
            <w:r>
              <w:rPr>
                <w:rFonts w:hint="eastAsia" w:ascii="宋体" w:eastAsia="宋体"/>
                <w:b/>
                <w:sz w:val="21"/>
              </w:rPr>
              <w:t>敏感点名称</w:t>
            </w:r>
          </w:p>
        </w:tc>
        <w:tc>
          <w:tcPr>
            <w:tcW w:w="1523"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sz w:val="21"/>
              </w:rPr>
            </w:pPr>
            <w:r>
              <w:rPr>
                <w:rFonts w:hint="eastAsia" w:ascii="宋体" w:eastAsia="宋体"/>
                <w:b/>
                <w:sz w:val="21"/>
              </w:rPr>
              <w:t>桩号</w:t>
            </w:r>
          </w:p>
        </w:tc>
        <w:tc>
          <w:tcPr>
            <w:tcW w:w="927"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sz w:val="21"/>
              </w:rPr>
            </w:pPr>
            <w:r>
              <w:rPr>
                <w:rFonts w:hint="eastAsia" w:ascii="宋体" w:eastAsia="宋体"/>
                <w:b/>
                <w:sz w:val="21"/>
              </w:rPr>
              <w:t>距主线</w:t>
            </w:r>
          </w:p>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sz w:val="21"/>
              </w:rPr>
            </w:pPr>
            <w:r>
              <w:rPr>
                <w:rFonts w:hint="eastAsia" w:ascii="宋体" w:eastAsia="宋体"/>
                <w:b/>
                <w:sz w:val="21"/>
              </w:rPr>
              <w:t>方位</w:t>
            </w:r>
          </w:p>
        </w:tc>
        <w:tc>
          <w:tcPr>
            <w:tcW w:w="1162"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b/>
                <w:sz w:val="21"/>
              </w:rPr>
            </w:pPr>
            <w:r>
              <w:rPr>
                <w:rFonts w:hint="eastAsia" w:ascii="宋体" w:eastAsia="宋体"/>
                <w:b/>
                <w:spacing w:val="-8"/>
                <w:sz w:val="21"/>
              </w:rPr>
              <w:t>距路中心</w:t>
            </w:r>
            <w:r>
              <w:rPr>
                <w:rFonts w:hint="eastAsia" w:ascii="宋体" w:eastAsia="宋体"/>
                <w:b/>
                <w:spacing w:val="-8"/>
                <w:w w:val="95"/>
                <w:sz w:val="21"/>
              </w:rPr>
              <w:t>线</w:t>
            </w:r>
            <w:r>
              <w:rPr>
                <w:rFonts w:hint="eastAsia" w:ascii="宋体" w:eastAsia="宋体"/>
                <w:b/>
                <w:spacing w:val="-8"/>
                <w:w w:val="95"/>
                <w:sz w:val="21"/>
                <w:lang w:eastAsia="zh-CN"/>
              </w:rPr>
              <w:t>最近</w:t>
            </w:r>
            <w:r>
              <w:rPr>
                <w:rFonts w:hint="eastAsia" w:ascii="宋体" w:eastAsia="宋体"/>
                <w:b/>
                <w:spacing w:val="-8"/>
                <w:w w:val="95"/>
                <w:sz w:val="21"/>
              </w:rPr>
              <w:t>距</w:t>
            </w:r>
            <w:r>
              <w:rPr>
                <w:rFonts w:hint="eastAsia" w:ascii="宋体" w:eastAsia="宋体"/>
                <w:b/>
                <w:w w:val="95"/>
                <w:sz w:val="21"/>
              </w:rPr>
              <w:t>离</w:t>
            </w:r>
            <w:r>
              <w:rPr>
                <w:b/>
                <w:w w:val="95"/>
                <w:sz w:val="21"/>
              </w:rPr>
              <w:t>(m)</w:t>
            </w:r>
          </w:p>
        </w:tc>
        <w:tc>
          <w:tcPr>
            <w:tcW w:w="1133"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b/>
                <w:sz w:val="21"/>
                <w:lang w:eastAsia="zh-CN"/>
              </w:rPr>
            </w:pPr>
            <w:r>
              <w:rPr>
                <w:rFonts w:hint="eastAsia" w:eastAsia="宋体"/>
                <w:b/>
                <w:sz w:val="21"/>
                <w:lang w:eastAsia="zh-CN"/>
              </w:rPr>
              <w:t>监测因子</w:t>
            </w:r>
          </w:p>
        </w:tc>
        <w:tc>
          <w:tcPr>
            <w:tcW w:w="2477" w:type="dxa"/>
            <w:tcBorders>
              <w:lef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sz w:val="21"/>
                <w:lang w:eastAsia="zh-CN"/>
              </w:rPr>
            </w:pPr>
            <w:r>
              <w:rPr>
                <w:rFonts w:hint="eastAsia" w:ascii="宋体" w:eastAsia="宋体"/>
                <w:b/>
                <w:sz w:val="21"/>
                <w:lang w:eastAsia="zh-CN"/>
              </w:rPr>
              <w:t>照片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20" w:type="dxa"/>
            <w:tcBorders>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default" w:ascii="Times New Roman" w:hAnsi="Times New Roman" w:eastAsia="宋体" w:cs="Times New Roman"/>
                <w:b w:val="0"/>
                <w:bCs/>
                <w:sz w:val="21"/>
                <w:lang w:val="en-US" w:eastAsia="zh-CN"/>
              </w:rPr>
              <w:t>1</w:t>
            </w:r>
          </w:p>
        </w:tc>
        <w:tc>
          <w:tcPr>
            <w:tcW w:w="1588" w:type="dxa"/>
            <w:tcBorders>
              <w:left w:val="single" w:color="000000" w:sz="6" w:space="0"/>
              <w:right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艳山红小学（乡村学校少年宫）</w:t>
            </w:r>
          </w:p>
        </w:tc>
        <w:tc>
          <w:tcPr>
            <w:tcW w:w="1523" w:type="dxa"/>
            <w:tcBorders>
              <w:left w:val="single" w:color="000000" w:sz="6" w:space="0"/>
              <w:right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K1+500</w:t>
            </w:r>
          </w:p>
        </w:tc>
        <w:tc>
          <w:tcPr>
            <w:tcW w:w="927" w:type="dxa"/>
            <w:tcBorders>
              <w:left w:val="single" w:color="000000" w:sz="6" w:space="0"/>
              <w:right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左侧45</w:t>
            </w:r>
          </w:p>
        </w:tc>
        <w:tc>
          <w:tcPr>
            <w:tcW w:w="1162" w:type="dxa"/>
            <w:tcBorders>
              <w:left w:val="single" w:color="000000" w:sz="6" w:space="0"/>
              <w:right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+0.5</w:t>
            </w:r>
          </w:p>
        </w:tc>
        <w:tc>
          <w:tcPr>
            <w:tcW w:w="1133" w:type="dxa"/>
            <w:vMerge w:val="restart"/>
            <w:tcBorders>
              <w:left w:val="single" w:color="000000" w:sz="6" w:space="0"/>
              <w:right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kern w:val="2"/>
                <w:sz w:val="21"/>
                <w:szCs w:val="21"/>
                <w:vertAlign w:val="baseline"/>
                <w:lang w:val="en-US" w:eastAsia="zh-CN" w:bidi="ar-SA"/>
                <w14:textFill>
                  <w14:solidFill>
                    <w14:schemeClr w14:val="tx1"/>
                  </w14:solidFill>
                </w14:textFill>
              </w:rPr>
              <w:t>总悬浮颗粒物、二氧化氮</w:t>
            </w:r>
          </w:p>
        </w:tc>
        <w:tc>
          <w:tcPr>
            <w:tcW w:w="2477" w:type="dxa"/>
            <w:tcBorders>
              <w:left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137" name="图片 137" descr="IMG_1032(20200518-20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IMG_1032(20200518-201135)"/>
                          <pic:cNvPicPr>
                            <a:picLocks noChangeAspect="1"/>
                          </pic:cNvPicPr>
                        </pic:nvPicPr>
                        <pic:blipFill>
                          <a:blip r:embed="rId8"/>
                          <a:stretch>
                            <a:fillRect/>
                          </a:stretch>
                        </pic:blipFill>
                        <pic:spPr>
                          <a:xfrm>
                            <a:off x="0" y="0"/>
                            <a:ext cx="1344295" cy="1008380"/>
                          </a:xfrm>
                          <a:prstGeom prst="rect">
                            <a:avLst/>
                          </a:prstGeom>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eastAsia" w:eastAsia="宋体" w:cs="Times New Roman"/>
                <w:b w:val="0"/>
                <w:bCs/>
                <w:sz w:val="21"/>
                <w:lang w:val="en-US" w:eastAsia="zh-CN"/>
              </w:rPr>
              <w:t>2</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白云六小</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K3+300</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左侧200</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+1</w:t>
            </w:r>
          </w:p>
        </w:tc>
        <w:tc>
          <w:tcPr>
            <w:tcW w:w="1133" w:type="dxa"/>
            <w:vMerge w:val="continue"/>
            <w:tcBorders>
              <w:left w:val="single" w:color="000000" w:sz="6" w:space="0"/>
              <w:right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p>
        </w:tc>
        <w:tc>
          <w:tcPr>
            <w:tcW w:w="247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drawing>
                <wp:inline distT="0" distB="0" distL="114300" distR="114300">
                  <wp:extent cx="1354455" cy="988060"/>
                  <wp:effectExtent l="0" t="0" r="17145" b="2540"/>
                  <wp:docPr id="1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4"/>
                          <pic:cNvPicPr>
                            <a:picLocks noChangeAspect="1"/>
                          </pic:cNvPicPr>
                        </pic:nvPicPr>
                        <pic:blipFill>
                          <a:blip r:embed="rId28"/>
                          <a:stretch>
                            <a:fillRect/>
                          </a:stretch>
                        </pic:blipFill>
                        <pic:spPr>
                          <a:xfrm>
                            <a:off x="0" y="0"/>
                            <a:ext cx="1354455" cy="988060"/>
                          </a:xfrm>
                          <a:prstGeom prst="rect">
                            <a:avLst/>
                          </a:prstGeom>
                          <a:noFill/>
                          <a:ln>
                            <a:noFill/>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eastAsia" w:eastAsia="宋体" w:cs="Times New Roman"/>
                <w:b w:val="0"/>
                <w:bCs/>
                <w:sz w:val="21"/>
                <w:lang w:val="en-US" w:eastAsia="zh-CN"/>
              </w:rPr>
              <w:t>3</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白云第一中学（白云区实验中学）</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K3+920</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右侧35</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+1</w:t>
            </w:r>
          </w:p>
        </w:tc>
        <w:tc>
          <w:tcPr>
            <w:tcW w:w="1133" w:type="dxa"/>
            <w:vMerge w:val="continue"/>
            <w:tcBorders>
              <w:left w:val="single" w:color="000000" w:sz="6" w:space="0"/>
              <w:right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p>
        </w:tc>
        <w:tc>
          <w:tcPr>
            <w:tcW w:w="247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141" name="图片 141" descr="IMG_0999(20200518-20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IMG_0999(20200518-204603)"/>
                          <pic:cNvPicPr>
                            <a:picLocks noChangeAspect="1"/>
                          </pic:cNvPicPr>
                        </pic:nvPicPr>
                        <pic:blipFill>
                          <a:blip r:embed="rId10"/>
                          <a:stretch>
                            <a:fillRect/>
                          </a:stretch>
                        </pic:blipFill>
                        <pic:spPr>
                          <a:xfrm>
                            <a:off x="0" y="0"/>
                            <a:ext cx="1344295" cy="1008380"/>
                          </a:xfrm>
                          <a:prstGeom prst="rect">
                            <a:avLst/>
                          </a:prstGeom>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cs="Times New Roman"/>
                <w:b w:val="0"/>
                <w:bCs/>
                <w:sz w:val="21"/>
                <w:lang w:val="en-US" w:eastAsia="zh-CN"/>
              </w:rPr>
            </w:pPr>
            <w:r>
              <w:rPr>
                <w:rFonts w:hint="eastAsia" w:eastAsia="宋体" w:cs="Times New Roman"/>
                <w:b w:val="0"/>
                <w:bCs/>
                <w:sz w:val="21"/>
                <w:lang w:val="en-US" w:eastAsia="zh-CN"/>
              </w:rPr>
              <w:t>4</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太阳湖滨河公园</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K7+865</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右侧70</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+0.5</w:t>
            </w:r>
          </w:p>
        </w:tc>
        <w:tc>
          <w:tcPr>
            <w:tcW w:w="1133" w:type="dxa"/>
            <w:vMerge w:val="continue"/>
            <w:tcBorders>
              <w:left w:val="single" w:color="000000" w:sz="6" w:space="0"/>
              <w:right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p>
        </w:tc>
        <w:tc>
          <w:tcPr>
            <w:tcW w:w="247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143" name="图片 143" descr="IMG_1009(20200518-20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IMG_1009(20200518-204603)"/>
                          <pic:cNvPicPr>
                            <a:picLocks noChangeAspect="1"/>
                          </pic:cNvPicPr>
                        </pic:nvPicPr>
                        <pic:blipFill>
                          <a:blip r:embed="rId12"/>
                          <a:stretch>
                            <a:fillRect/>
                          </a:stretch>
                        </pic:blipFill>
                        <pic:spPr>
                          <a:xfrm>
                            <a:off x="0" y="0"/>
                            <a:ext cx="1344295" cy="1008380"/>
                          </a:xfrm>
                          <a:prstGeom prst="rect">
                            <a:avLst/>
                          </a:prstGeom>
                        </pic:spPr>
                      </pic:pic>
                    </a:graphicData>
                  </a:graphic>
                </wp:inline>
              </w:drawing>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监测频率：</w:t>
      </w:r>
    </w:p>
    <w:p>
      <w:pPr>
        <w:keepNext w:val="0"/>
        <w:keepLines w:val="0"/>
        <w:pageBreakBefore w:val="0"/>
        <w:widowControl w:val="0"/>
        <w:numPr>
          <w:ilvl w:val="0"/>
          <w:numId w:val="3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噪声：昼间2次，夜间1次，连续监测2天；</w:t>
      </w:r>
    </w:p>
    <w:p>
      <w:pPr>
        <w:keepNext w:val="0"/>
        <w:keepLines w:val="0"/>
        <w:pageBreakBefore w:val="0"/>
        <w:widowControl w:val="0"/>
        <w:numPr>
          <w:ilvl w:val="0"/>
          <w:numId w:val="3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环境空气：监测日均值，监测3天。</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2"/>
        <w:rPr>
          <w:rFonts w:hint="eastAsia" w:ascii="Times New Roman" w:hAnsi="Times New Roman" w:eastAsia="宋体" w:cs="Times New Roman"/>
          <w:sz w:val="24"/>
          <w:szCs w:val="24"/>
          <w:lang w:val="en-US" w:eastAsia="zh-CN"/>
        </w:rPr>
      </w:pPr>
      <w:bookmarkStart w:id="59" w:name="_Toc16315"/>
      <w:r>
        <w:rPr>
          <w:rFonts w:hint="eastAsia" w:ascii="Times New Roman" w:hAnsi="Times New Roman" w:eastAsia="宋体" w:cs="Times New Roman"/>
          <w:sz w:val="24"/>
          <w:szCs w:val="24"/>
          <w:lang w:val="en-US" w:eastAsia="zh-CN"/>
        </w:rPr>
        <w:t>6.2.3监测结果</w:t>
      </w:r>
      <w:bookmarkEnd w:id="59"/>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sectPr>
          <w:pgSz w:w="11906" w:h="16838"/>
          <w:pgMar w:top="1440" w:right="1800" w:bottom="1440" w:left="1800" w:header="850" w:footer="992" w:gutter="0"/>
          <w:pgNumType w:fmt="decimal"/>
          <w:cols w:space="425" w:num="1"/>
          <w:docGrid w:type="lines" w:linePitch="312" w:charSpace="0"/>
        </w:sectPr>
      </w:pPr>
      <w:r>
        <w:rPr>
          <w:rFonts w:hint="eastAsia" w:ascii="Times New Roman" w:hAnsi="Times New Roman" w:eastAsia="宋体" w:cs="Times New Roman"/>
          <w:sz w:val="24"/>
          <w:szCs w:val="24"/>
          <w:lang w:val="en-US" w:eastAsia="zh-CN"/>
        </w:rPr>
        <w:t>监测结果见表6.2.3-1和6.2.3-2。</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表6.2.3-1噪声监测结果</w:t>
      </w:r>
    </w:p>
    <w:tbl>
      <w:tblPr>
        <w:tblStyle w:val="10"/>
        <w:tblW w:w="140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1"/>
        <w:gridCol w:w="1376"/>
        <w:gridCol w:w="660"/>
        <w:gridCol w:w="253"/>
        <w:gridCol w:w="913"/>
        <w:gridCol w:w="913"/>
        <w:gridCol w:w="913"/>
        <w:gridCol w:w="913"/>
        <w:gridCol w:w="913"/>
        <w:gridCol w:w="913"/>
        <w:gridCol w:w="920"/>
        <w:gridCol w:w="1166"/>
        <w:gridCol w:w="1117"/>
        <w:gridCol w:w="917"/>
        <w:gridCol w:w="10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blHeader/>
          <w:jc w:val="center"/>
        </w:trPr>
        <w:tc>
          <w:tcPr>
            <w:tcW w:w="1111"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监测点位</w:t>
            </w:r>
          </w:p>
        </w:tc>
        <w:tc>
          <w:tcPr>
            <w:tcW w:w="1376"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监测日期</w:t>
            </w:r>
          </w:p>
        </w:tc>
        <w:tc>
          <w:tcPr>
            <w:tcW w:w="1826" w:type="dxa"/>
            <w:gridSpan w:val="3"/>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监测时间</w:t>
            </w:r>
          </w:p>
        </w:tc>
        <w:tc>
          <w:tcPr>
            <w:tcW w:w="5485" w:type="dxa"/>
            <w:gridSpan w:val="6"/>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监测结果（dB）</w:t>
            </w:r>
          </w:p>
        </w:tc>
        <w:tc>
          <w:tcPr>
            <w:tcW w:w="1166"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达标等级</w:t>
            </w:r>
          </w:p>
        </w:tc>
        <w:tc>
          <w:tcPr>
            <w:tcW w:w="3113" w:type="dxa"/>
            <w:gridSpan w:val="3"/>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车流量统计（辆/20min）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blHeader/>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sz w:val="21"/>
                <w:szCs w:val="21"/>
              </w:rPr>
            </w:pPr>
          </w:p>
        </w:tc>
        <w:tc>
          <w:tcPr>
            <w:tcW w:w="1376"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sz w:val="21"/>
                <w:szCs w:val="21"/>
              </w:rPr>
            </w:pPr>
          </w:p>
        </w:tc>
        <w:tc>
          <w:tcPr>
            <w:tcW w:w="1826" w:type="dxa"/>
            <w:gridSpan w:val="3"/>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sz w:val="21"/>
                <w:szCs w:val="21"/>
              </w:rPr>
            </w:pP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Leq</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subscript"/>
                <w:lang w:val="en-US" w:eastAsia="zh-CN"/>
              </w:rPr>
            </w:pPr>
            <w:r>
              <w:rPr>
                <w:rFonts w:hint="default" w:ascii="Times New Roman" w:hAnsi="Times New Roman" w:cs="Times New Roman"/>
                <w:bCs/>
                <w:sz w:val="21"/>
                <w:szCs w:val="21"/>
                <w:vertAlign w:val="baseline"/>
                <w:lang w:val="en-US" w:eastAsia="zh-CN"/>
              </w:rPr>
              <w:t>L</w:t>
            </w:r>
            <w:r>
              <w:rPr>
                <w:rFonts w:hint="default" w:ascii="Times New Roman" w:hAnsi="Times New Roman" w:cs="Times New Roman"/>
                <w:bCs/>
                <w:sz w:val="21"/>
                <w:szCs w:val="21"/>
                <w:vertAlign w:val="subscript"/>
                <w:lang w:val="en-US" w:eastAsia="zh-CN"/>
              </w:rPr>
              <w:t>max</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L</w:t>
            </w:r>
            <w:r>
              <w:rPr>
                <w:rFonts w:hint="default" w:ascii="Times New Roman" w:hAnsi="Times New Roman" w:cs="Times New Roman"/>
                <w:bCs/>
                <w:sz w:val="21"/>
                <w:szCs w:val="21"/>
                <w:vertAlign w:val="subscript"/>
                <w:lang w:val="en-US" w:eastAsia="zh-CN"/>
              </w:rPr>
              <w:t>10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L</w:t>
            </w:r>
            <w:r>
              <w:rPr>
                <w:rFonts w:hint="default" w:ascii="Times New Roman" w:hAnsi="Times New Roman" w:cs="Times New Roman"/>
                <w:bCs/>
                <w:sz w:val="21"/>
                <w:szCs w:val="21"/>
                <w:vertAlign w:val="subscript"/>
                <w:lang w:val="en-US" w:eastAsia="zh-CN"/>
              </w:rPr>
              <w:t>50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L</w:t>
            </w:r>
            <w:r>
              <w:rPr>
                <w:rFonts w:hint="default" w:ascii="Times New Roman" w:hAnsi="Times New Roman" w:cs="Times New Roman"/>
                <w:bCs/>
                <w:sz w:val="21"/>
                <w:szCs w:val="21"/>
                <w:vertAlign w:val="subscript"/>
                <w:lang w:val="en-US" w:eastAsia="zh-CN"/>
              </w:rPr>
              <w:t>90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L</w:t>
            </w:r>
            <w:r>
              <w:rPr>
                <w:rFonts w:hint="default" w:ascii="Times New Roman" w:hAnsi="Times New Roman" w:cs="Times New Roman"/>
                <w:bCs/>
                <w:sz w:val="21"/>
                <w:szCs w:val="21"/>
                <w:vertAlign w:val="subscript"/>
                <w:lang w:val="en-US" w:eastAsia="zh-CN"/>
              </w:rPr>
              <w:t>min</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大型车</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中型车</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小型车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exact"/>
          <w:jc w:val="center"/>
        </w:trPr>
        <w:tc>
          <w:tcPr>
            <w:tcW w:w="1111"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金苏大道起点</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913" w:type="dxa"/>
            <w:gridSpan w:val="2"/>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6:05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68.6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75.5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72.2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67.0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60.4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59.7</w:t>
            </w:r>
          </w:p>
        </w:tc>
        <w:tc>
          <w:tcPr>
            <w:tcW w:w="1166"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《声环境质量标准》（3096-2008）4a类</w:t>
            </w: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11</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913" w:type="dxa"/>
            <w:gridSpan w:val="2"/>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14:10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77.4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68.4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63.8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62.2</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14</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913"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22:09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52.8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63.1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56.6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51.2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42.8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41.2</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913" w:type="dxa"/>
            <w:gridSpan w:val="2"/>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6:10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81.6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71.6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61.2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56.0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49.7</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14</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27</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913" w:type="dxa"/>
            <w:gridSpan w:val="2"/>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14:01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67.6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80.2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70.4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61.4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60.5</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12</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21</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2020.07.08</w:t>
            </w:r>
          </w:p>
        </w:tc>
        <w:tc>
          <w:tcPr>
            <w:tcW w:w="913"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22:13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53.7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62.9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56.4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51.6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44.2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43.0</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13</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exact"/>
          <w:jc w:val="center"/>
        </w:trPr>
        <w:tc>
          <w:tcPr>
            <w:tcW w:w="1111"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道元精化厂</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913" w:type="dxa"/>
            <w:gridSpan w:val="2"/>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6:31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69.1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67.6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57.6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55.3</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12</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18</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913" w:type="dxa"/>
            <w:gridSpan w:val="2"/>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14:28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67.1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76.3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70.0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65.8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61.8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59.5</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8</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19</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163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913"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22:39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52.7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63.6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56.0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49.0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43.6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41.8</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16</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913" w:type="dxa"/>
            <w:gridSpan w:val="2"/>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6:36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76.3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67.0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61.4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59.8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56.3</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10</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18</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913" w:type="dxa"/>
            <w:gridSpan w:val="2"/>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14:30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78.1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68.8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63.6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59.0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54.3</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14</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2020.07.08</w:t>
            </w:r>
          </w:p>
        </w:tc>
        <w:tc>
          <w:tcPr>
            <w:tcW w:w="913"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22:42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52.3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61.2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56.4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49.4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44.6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43.9</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11</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exact"/>
          <w:jc w:val="center"/>
        </w:trPr>
        <w:tc>
          <w:tcPr>
            <w:tcW w:w="1111"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艳山红小学（乡村学校少年宫）</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913" w:type="dxa"/>
            <w:gridSpan w:val="2"/>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6:58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63.7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69.9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67.4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62.6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56.4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52.8</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7</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15</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171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913" w:type="dxa"/>
            <w:gridSpan w:val="2"/>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14:58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65.1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75.8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68.0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64.0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58.0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50.6</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5</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14</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148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913"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23:08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51.4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58.4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54.0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50.4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47.8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45.7</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5</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10</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913" w:type="dxa"/>
            <w:gridSpan w:val="2"/>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7:05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78.5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61.2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56.8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55.8</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16</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31</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913" w:type="dxa"/>
            <w:gridSpan w:val="2"/>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15:00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67.9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79.8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72.4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63.2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59.6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57.6</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14</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2020.07.08</w:t>
            </w:r>
          </w:p>
        </w:tc>
        <w:tc>
          <w:tcPr>
            <w:tcW w:w="913"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23:11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51.5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62.6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55.0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49.4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44.8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43.9</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16</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1"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金融城国际社区</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7:25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64.1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73.2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66.6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63.8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56.4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53.6</w:t>
            </w:r>
          </w:p>
        </w:tc>
        <w:tc>
          <w:tcPr>
            <w:tcW w:w="1166"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《声环境质量标准》（3096-2008）4a类</w:t>
            </w: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9</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13</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149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15:24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65.8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74.8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70.6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61.8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59.2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57.0</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4</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17</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132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23:35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53.1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57.9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55.8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52.2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49.2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47.3</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7:33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78.5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61.2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56.8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55.8</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11</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15:27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79.6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63.6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60.4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56.2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55.7</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19</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2020.07.08</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23：39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52.5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62.5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55.8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51.2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43.2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38.3</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15</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1"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云城中心</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7:32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76.4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69.6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62.2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56.6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52.6</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10</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19</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15:52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67.5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77.1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72.0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58.4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53.1</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19</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00:01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51.0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63.7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50.6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43.8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42.4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41.9</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8:01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67.5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78.0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71.8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63.8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57.6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52.7</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12</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25</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15:56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68.0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80.9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72.0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63.4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60.4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57.5</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17</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2020.07.08</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00:07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50.9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60.8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54.0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49.6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40.0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37.2</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1"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高科·花漾生活</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8:21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76.9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70.0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56.8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51.1</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22</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16：21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67.2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78.3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71.4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61.6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57.2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56.2</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13</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00:30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50.4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57.5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53.6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49.2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45.8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40.6</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9</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8:30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79.9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68.8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60.8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57.4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55.8</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21</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16:26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63.2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78.3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60.8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58.0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54.2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53.5</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18</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53.4</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2020.07.08</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00:37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51.4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60.7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55.0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49.8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41.8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36.2</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贵耐医院</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8:48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67.5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79.9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69.8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69.6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60.0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38.0</w:t>
            </w:r>
          </w:p>
        </w:tc>
        <w:tc>
          <w:tcPr>
            <w:tcW w:w="1166"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《声环境质量标准》（3096-2008）4a类</w:t>
            </w: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17</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16:51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75.1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69.2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60.2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57.8</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11</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00:59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50.9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57.4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53.8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50.2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45.6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44.9</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10</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8:57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78.6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67.2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63.4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63.1</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15</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18</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16:54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81.4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67.8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58.4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53.6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53.0</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16</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2020.07.08</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1:05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50.6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58.2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53.8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49.4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44.2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39.7</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铝兴社区（1楼）</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11:03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62.1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77.9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60.4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54.2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47.3</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10</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18:10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77.9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63.8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61.6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59.4</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9</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48.9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58.2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51.0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48.2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45.6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41.5</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10:22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76.7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69.4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63.6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60.2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59.1</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10</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17:53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80.2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69.6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60.2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56.9</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2020.07.08</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1:47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50.5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62.1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53.8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48.6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44.8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40.7</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铝兴社区（3楼）</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2020.07.06</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11:03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63.7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72.2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63.2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59.4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46.5</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10</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2020.07.06</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18:10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73.6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68.0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60.0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47.9</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9</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2020.07.07</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47.9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58.1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50.4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47.0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43.8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41.1</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2020.07.07</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10:22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77.1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67.6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60.8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41.0</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10</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2020.07.07</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17:53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78.0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68.8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61.4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57.5</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2020.07.08</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1:47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49.9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59.0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52.4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49.0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46.0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42.7</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br w:type="page"/>
            </w: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贵州铝厂生活区（龚北社区）（1楼）</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11:40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62.7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78.8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61.2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54.6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51.2</w:t>
            </w:r>
          </w:p>
        </w:tc>
        <w:tc>
          <w:tcPr>
            <w:tcW w:w="1166"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《声环境质量标准》（3096-2008）4a类</w:t>
            </w: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11</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18:42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63.8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76.8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61.8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60.0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59.0</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2:32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49.7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56.8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51.8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48.8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46.4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43.6</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10:55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78.6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67.0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62.0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59.8</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18:30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76.1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67.0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63.8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62.0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60.9</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2020.07.08</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2:20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48.6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59.4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50.8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47.6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45.8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44.1</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restart"/>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贵州铝厂生活区（龚北社区）（4楼）</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11:40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63.5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79.4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60.2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57.6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56.1</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11</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18:42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75.1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67.0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60.4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30.1</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2:32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49.8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58.1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52.4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48.0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43.2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39.7</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10:55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72.4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67.0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60.6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35.3</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18:30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70.8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67.8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61.2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44.9</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2020.07.08</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2:20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48.3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55.5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50.8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47.6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44.2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40.7</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白云六小</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12:12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63.4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77.2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61.8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58.4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57.1</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9</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19:15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63.3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80.8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62.8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59.0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57.0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56.3</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3:07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50.4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57.6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52.8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49.4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46.6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43.6</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11:30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67.1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80.6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70.0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59.6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55.5</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11</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19:03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75.0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68.6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61.4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58.1</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2020.07.08</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2:55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47.5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56.6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49.4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46.0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43.4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42.3</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贵铝职校</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2020.07.06</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12:12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71.1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67.2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60.2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41.3</w:t>
            </w:r>
          </w:p>
        </w:tc>
        <w:tc>
          <w:tcPr>
            <w:tcW w:w="1166"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《声环境质量标准》（3096-2008）4a类</w:t>
            </w: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9</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2020.07.06</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19:15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79.1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61.4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58.0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56.8</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2020.07.07</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3:07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49.2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60.3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51.8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48.2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44.8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38.5</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2020.07.07</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11:30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78.4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69.0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57.0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55.6</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11</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2020.07.07</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19:03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77.9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70.0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61.2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58.8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57.5</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2020.07.08</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2:55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48.0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55.9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50.8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47.0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43.2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37.9</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br w:type="page"/>
            </w: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白云欣歆幼儿园</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9:21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62.6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71.4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59.6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52.2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47.0</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14</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17:23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78.2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68.4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61.8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56.6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53.8</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9</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1:32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49.2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57.9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52.2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48.2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44.2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40.9</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9:32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67.3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79.9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71.0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56.0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49.7</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13</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24</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17:27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79.9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69.2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55.4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51.3</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21</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2020.07.08</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1:38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49.5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60.4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52.4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48.4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42.6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39.9</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金东社区（1楼）</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12:46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77.3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62.8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57.8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33.7</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10</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19:50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62.8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78.3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61.4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55.4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54.4</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3:41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47.8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55.7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51.0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45.2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42.6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42.1</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12:06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77.5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67.8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60.8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60.1</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19:40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76.2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63.6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59.6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56.7</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2020.07.08</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3:33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48.1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57.1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50.0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47.4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44.6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43.0</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br w:type="page"/>
            </w: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金东社区（4楼）</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12:46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73.6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67.8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61.6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40.2</w:t>
            </w:r>
          </w:p>
        </w:tc>
        <w:tc>
          <w:tcPr>
            <w:tcW w:w="1166"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《声环境质量标准》（3096-2008）4a类</w:t>
            </w: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10</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19:50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63.3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75.4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62.0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57.4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43.8</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3:42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49.3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61.2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51.8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48.2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44.8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41.7</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12:06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77.7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68.8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60.0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52.3</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19:40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80.2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67.6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63.2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61.2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59.9</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2020.07.08</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3:33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47.6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54.3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50.4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46.8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42.6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38.1</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贵铝医院（贵州医科大学附属白云医院）</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9:52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77.7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59.6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52.2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51.4</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9</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12</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17:57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79.0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69.0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60.0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59.4</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10</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02:03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51.1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62.3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54.2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49.4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44.8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38.6</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9</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10:02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68.0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83.3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70.8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62.8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59.8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57.9</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19</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17.58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67.5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79.2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70.4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58.8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56.1</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18</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2020.07.08</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51.0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60.2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54.2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49.8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44.6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38.9</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塔山公园</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10:20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69.7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76.5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70.4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62.0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57.8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54.9</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10</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18</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18：26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67.7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83.4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71.8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63.2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54.4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49.5</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13</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02:32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50.1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58.5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52.4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48.8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47.0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45.4</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10:31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78.5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69.0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62.0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56.2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55.6</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22</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18：27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80.9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70.0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59.4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56.3</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15</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2020.07.08</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2:37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51.3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59.9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55.2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49.4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44.0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38.6</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白云第一中学（白云区实验中学）</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10:48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79.4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69.0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63.6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57.0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52.5</w:t>
            </w:r>
          </w:p>
        </w:tc>
        <w:tc>
          <w:tcPr>
            <w:tcW w:w="1166"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《声环境质量标准》（3096-2008）4a类</w:t>
            </w: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13</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18:55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82.0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68.0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61.6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53.4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47.3</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9</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03:03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50.2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62.5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53.8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48.4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42.6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40.7</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11:00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80.1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69.8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62.4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59.2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57.2</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27</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18:56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67.2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80.0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69.8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63.0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62.0</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10</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2020.07.08</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3:06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49.3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59.4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53.0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47.0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42.6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38.6</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白沙关社区（贵铝智慧幸福苑）</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11:13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77.7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59.6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52.2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51.4</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21</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19:22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78.5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69.6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58.4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51.5</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12</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03:29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49.5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56.2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52.0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48.8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45.2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42.1</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11:26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67.7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805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70.6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58.2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55.0</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19:24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78.1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68.4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63.6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58.0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57.1</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12</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2020.07.08</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3:31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50.7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59.8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53.8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49.6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44.4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38.7</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贵州赛诺管业有限公司</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11:47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79.2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69.6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63.8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59.4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57.5</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9</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17</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19:59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67.3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78.1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71.6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61.0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57.2</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14</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04:04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51.0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55.5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53.4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50.6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47.0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45.1</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12:02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81.0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61.8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60.6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59.6</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16</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19:58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80.7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67.0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61.8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57.4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52.9</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14</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2020.07.08</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4:07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48.8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57.3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52.0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47.2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42.8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39.4</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天一·观山阅</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11:20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81.1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69.0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63.0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58.8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54.5</w:t>
            </w:r>
          </w:p>
        </w:tc>
        <w:tc>
          <w:tcPr>
            <w:tcW w:w="1166"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《声环境质量标准》（3096-2008）4a类</w:t>
            </w: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11</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20:32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79.3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68.6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63.6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59.0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57.2</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10</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04:39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49.7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58.8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51.8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48.4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44.6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41.9</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12:35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79.5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69.2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54.8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51.6</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10</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19</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20：31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77.8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63.2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60.2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57.3</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10</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2020.07.08</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4:40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49.3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54.5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51.8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48.8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44.4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42.7</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绿地·新都会</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6:07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80.8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70.0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56.4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54.1</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19</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19</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14:03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77.4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68.6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60.2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54.2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51.8</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21</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22:11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50.9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58.6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54.0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49.4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46.8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46.4</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6:10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67.3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78.6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71.2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62.4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59.8</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18</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21</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14:08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80.4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68.0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60.4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51.3</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18</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19</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2020.07.08</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22:15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51.8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56.8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54.4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50.8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47.4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46.5</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贵州测试院</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6:37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79.3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69.0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61.4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58.0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56.5</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17</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18</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14:34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78.3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70.2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63.2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61.4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59.4</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13</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9</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22:41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49.4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55.8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54.2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47.8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43.4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41.7</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8</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3</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77.1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68.6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58.2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55.1</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17</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18</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14:39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67.7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79.6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69.8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62.6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61.3</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12</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2020.07.08</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22:44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52.0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63.7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55.0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50.4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43.8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42.9</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虎峰大厦</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7:08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78.1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61.6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60.6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60.1</w:t>
            </w:r>
          </w:p>
        </w:tc>
        <w:tc>
          <w:tcPr>
            <w:tcW w:w="1166"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《声环境质量标准》（3096-2008）4a类</w:t>
            </w: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18</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13</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15：04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78.4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67.2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61.4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59.8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59.1</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14</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17</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23:13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50.7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60.1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53.0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50.0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46.6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45.7</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7:10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79.4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68.4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62.2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59.0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55.9</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14</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19</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15:10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80.0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68.0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63.8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62.8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62.0</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17</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2020.07.08</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23:15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52.6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61.5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54.2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50.8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48.4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47.2</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白金大道消防中队</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7:40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67.3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77.6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71.0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62.0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60.3</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14</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15:36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65.9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79.2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66.0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63.4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59.2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57.7</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18</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12</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23:45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52.1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62.0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54.2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49.8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48.0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46.7</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4</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7</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7:39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67.0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80.0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71.2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57.8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52.8</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13</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21</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15:39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77.0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68.8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61.0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59.0</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2020.07.08</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23:45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51.0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58.8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54.0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49.0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45.6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40.9</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太阳湖滨河公园</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8:11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80.1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67.6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62.2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60.8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60.4</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21</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15</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16:05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67.6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79.6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69.6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66.0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62.0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58.9</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14</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13</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00:15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50.9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62.3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54.2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49.6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45.4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43.0</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5</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8</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8:12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78.5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67.2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62.8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60.2</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12</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21</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16:08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78.9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61.8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60.2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59.9</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2020.07.08</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00:17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49.8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55.0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52.0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49.4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46.6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44.3</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12</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麻堡组</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8:44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79.4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58.8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57.0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56.4</w:t>
            </w:r>
          </w:p>
        </w:tc>
        <w:tc>
          <w:tcPr>
            <w:tcW w:w="1166"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《声环境质量标准》（3096-2008）4a类</w:t>
            </w: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13</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16:37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67.0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81.2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69.4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59.2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56.6</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13</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14</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00:47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48.9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57.1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52.6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47.2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43.2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41.6</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7</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9</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8:40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66.7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78.5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68.6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65.2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62.0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60.3</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14</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19</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16:40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67.8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79.8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69.2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63.8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61.4</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9</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9</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2020.07.08</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00:50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50.0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56.8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51.8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49.4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47.0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46.5</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13</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沙子哨监狱</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9:15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76.7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70.0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58.6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57.0</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21</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17:07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77.8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69.0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62.2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60.6</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18</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15</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1:20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50.4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57.2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52.8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49.4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45.4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43.5</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3</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3</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9:13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80.7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62.8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59.4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57.5</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17</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19</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17:08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67.2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82.9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61.6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58.6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58.0</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13</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10</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2020.07.08</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1:18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50.7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58.8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53.2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50.4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46.8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42.6</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93</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神奇制药</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9:46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77.5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68.2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63.2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58.2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58.1</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9</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23</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17:39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77.4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68.6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59.2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57.8</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19</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18</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1:51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49.1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60.7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51.6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47.4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44.6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43.4</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4</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4</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9:45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67.3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81.5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69.0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65.0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59.6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55.6</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18</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17</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17:35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66.5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79.6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69.0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62.0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59.8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59.0</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12</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10</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2020.07.08</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1:50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48.3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56.3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50.6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47.4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44.8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44.2</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13</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金苏大道终点</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10:18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82.1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69.2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58.8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56.2</w:t>
            </w:r>
          </w:p>
        </w:tc>
        <w:tc>
          <w:tcPr>
            <w:tcW w:w="1166"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《声环境质量标准》（3096-2008）4a类</w:t>
            </w: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11</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18:09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77.8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68.8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62.2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57.4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54.4</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12</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19</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2:40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48.8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56.4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52.6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47.2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42.4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39.6</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12</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10:15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65.9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77.3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67.2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64.6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61.8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59.5</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13</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13</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18:05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67.7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80.2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69.4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66.2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62.8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62.1</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10</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12</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2020.07.08</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2:20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49.3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56.1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51.8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48.6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45.0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38.5</w:t>
            </w:r>
          </w:p>
        </w:tc>
        <w:tc>
          <w:tcPr>
            <w:tcW w:w="1166" w:type="dxa"/>
            <w:vMerge w:val="continue"/>
            <w:vAlign w:val="top"/>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14</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lang w:val="en-US" w:eastAsia="zh-CN"/>
        </w:rPr>
        <w:sectPr>
          <w:pgSz w:w="16838" w:h="11906" w:orient="landscape"/>
          <w:pgMar w:top="1800" w:right="1440" w:bottom="1800" w:left="1440" w:header="850" w:footer="992" w:gutter="0"/>
          <w:pgNumType w:fmt="decimal"/>
          <w:cols w:space="425" w:num="1"/>
          <w:docGrid w:type="lines" w:linePitch="312" w:charSpace="0"/>
        </w:sect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表6.2.3-2环境空气监测结果</w:t>
      </w:r>
    </w:p>
    <w:tbl>
      <w:tblPr>
        <w:tblStyle w:val="10"/>
        <w:tblW w:w="97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22"/>
        <w:gridCol w:w="2426"/>
        <w:gridCol w:w="1872"/>
        <w:gridCol w:w="1873"/>
        <w:gridCol w:w="20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9" w:hRule="atLeast"/>
          <w:tblHeader/>
          <w:jc w:val="center"/>
        </w:trPr>
        <w:tc>
          <w:tcPr>
            <w:tcW w:w="1622"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采样</w:t>
            </w:r>
            <w:r>
              <w:rPr>
                <w:rFonts w:hint="default" w:ascii="Times New Roman" w:hAnsi="Times New Roman" w:eastAsia="宋体" w:cs="Times New Roman"/>
                <w:bCs/>
                <w:sz w:val="21"/>
                <w:szCs w:val="21"/>
                <w:vertAlign w:val="baseline"/>
                <w:lang w:val="en-US" w:eastAsia="zh-CN"/>
              </w:rPr>
              <w:t>日期</w:t>
            </w:r>
          </w:p>
        </w:tc>
        <w:tc>
          <w:tcPr>
            <w:tcW w:w="2426"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监测点位</w:t>
            </w:r>
          </w:p>
        </w:tc>
        <w:tc>
          <w:tcPr>
            <w:tcW w:w="3745"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监测结果</w:t>
            </w:r>
          </w:p>
        </w:tc>
        <w:tc>
          <w:tcPr>
            <w:tcW w:w="2001"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达标等级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0" w:hRule="atLeast"/>
          <w:tblHeader/>
          <w:jc w:val="center"/>
        </w:trPr>
        <w:tc>
          <w:tcPr>
            <w:tcW w:w="162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p>
        </w:tc>
        <w:tc>
          <w:tcPr>
            <w:tcW w:w="2426"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p>
        </w:tc>
        <w:tc>
          <w:tcPr>
            <w:tcW w:w="187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TSP（μg/m</w:t>
            </w:r>
            <w:r>
              <w:rPr>
                <w:rFonts w:hint="default" w:ascii="Times New Roman" w:hAnsi="Times New Roman" w:cs="Times New Roman"/>
                <w:bCs/>
                <w:sz w:val="21"/>
                <w:szCs w:val="21"/>
                <w:vertAlign w:val="superscript"/>
                <w:lang w:val="en-US" w:eastAsia="zh-CN"/>
              </w:rPr>
              <w:t>3</w:t>
            </w:r>
            <w:r>
              <w:rPr>
                <w:rFonts w:hint="default" w:ascii="Times New Roman" w:hAnsi="Times New Roman" w:cs="Times New Roman"/>
                <w:bCs/>
                <w:sz w:val="21"/>
                <w:szCs w:val="21"/>
                <w:vertAlign w:val="baseline"/>
                <w:lang w:val="en-US" w:eastAsia="zh-CN"/>
              </w:rPr>
              <w:t>）</w:t>
            </w:r>
          </w:p>
        </w:tc>
        <w:tc>
          <w:tcPr>
            <w:tcW w:w="187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二氧化氮（μg/m</w:t>
            </w:r>
            <w:r>
              <w:rPr>
                <w:rFonts w:hint="default" w:ascii="Times New Roman" w:hAnsi="Times New Roman" w:cs="Times New Roman"/>
                <w:bCs/>
                <w:sz w:val="21"/>
                <w:szCs w:val="21"/>
                <w:vertAlign w:val="superscript"/>
                <w:lang w:val="en-US" w:eastAsia="zh-CN"/>
              </w:rPr>
              <w:t>3</w:t>
            </w:r>
            <w:r>
              <w:rPr>
                <w:rFonts w:hint="default" w:ascii="Times New Roman" w:hAnsi="Times New Roman" w:cs="Times New Roman"/>
                <w:bCs/>
                <w:sz w:val="21"/>
                <w:szCs w:val="21"/>
                <w:vertAlign w:val="baseline"/>
                <w:lang w:val="en-US" w:eastAsia="zh-CN"/>
              </w:rPr>
              <w:t>）</w:t>
            </w:r>
          </w:p>
        </w:tc>
        <w:tc>
          <w:tcPr>
            <w:tcW w:w="200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4" w:hRule="atLeast"/>
          <w:jc w:val="center"/>
        </w:trPr>
        <w:tc>
          <w:tcPr>
            <w:tcW w:w="162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sz w:val="21"/>
                <w:szCs w:val="21"/>
                <w:lang w:val="en-US" w:eastAsia="zh-CN"/>
              </w:rPr>
              <w:t>2020.07.10</w:t>
            </w:r>
          </w:p>
        </w:tc>
        <w:tc>
          <w:tcPr>
            <w:tcW w:w="2426"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艳山红小学（乡村学校少年宫）</w:t>
            </w:r>
          </w:p>
        </w:tc>
        <w:tc>
          <w:tcPr>
            <w:tcW w:w="1872" w:type="dxa"/>
            <w:vAlign w:val="center"/>
          </w:tcPr>
          <w:p>
            <w:pPr>
              <w:keepNext w:val="0"/>
              <w:keepLines w:val="0"/>
              <w:widowControl/>
              <w:suppressLineNumbers w:val="0"/>
              <w:jc w:val="center"/>
              <w:textAlignment w:val="center"/>
              <w:rPr>
                <w:rFonts w:hint="default" w:ascii="Times New Roman" w:hAnsi="Times New Roman" w:eastAsia="宋体" w:cs="Times New Roman"/>
                <w:bCs/>
                <w:sz w:val="21"/>
                <w:szCs w:val="21"/>
                <w:vertAlign w:val="baseline"/>
                <w:lang w:val="en-US" w:eastAsia="zh-CN" w:bidi="ar-SA"/>
              </w:rPr>
            </w:pPr>
            <w:r>
              <w:rPr>
                <w:rFonts w:hint="eastAsia" w:ascii="Times New Roman" w:hAnsi="Times New Roman" w:eastAsia="宋体" w:cs="Times New Roman"/>
                <w:bCs/>
                <w:sz w:val="21"/>
                <w:szCs w:val="21"/>
                <w:vertAlign w:val="baseline"/>
                <w:lang w:val="en-US" w:eastAsia="zh-CN" w:bidi="ar-SA"/>
              </w:rPr>
              <w:t>166</w:t>
            </w:r>
          </w:p>
        </w:tc>
        <w:tc>
          <w:tcPr>
            <w:tcW w:w="187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eastAsia" w:ascii="Times New Roman" w:hAnsi="Times New Roman" w:eastAsia="宋体" w:cs="Times New Roman"/>
                <w:bCs/>
                <w:kern w:val="2"/>
                <w:sz w:val="21"/>
                <w:szCs w:val="21"/>
                <w:vertAlign w:val="baseline"/>
                <w:lang w:val="en-US" w:eastAsia="zh-CN" w:bidi="ar-SA"/>
              </w:rPr>
              <w:t>17</w:t>
            </w:r>
          </w:p>
        </w:tc>
        <w:tc>
          <w:tcPr>
            <w:tcW w:w="2001"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《环境空气质量标准》（GB3095-2012）二级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4" w:hRule="atLeast"/>
          <w:jc w:val="center"/>
        </w:trPr>
        <w:tc>
          <w:tcPr>
            <w:tcW w:w="162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sz w:val="21"/>
                <w:szCs w:val="21"/>
                <w:lang w:val="en-US" w:eastAsia="zh-CN"/>
              </w:rPr>
              <w:t>2020.07.11</w:t>
            </w:r>
          </w:p>
        </w:tc>
        <w:tc>
          <w:tcPr>
            <w:tcW w:w="2426"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p>
        </w:tc>
        <w:tc>
          <w:tcPr>
            <w:tcW w:w="1872"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146</w:t>
            </w:r>
          </w:p>
        </w:tc>
        <w:tc>
          <w:tcPr>
            <w:tcW w:w="187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16</w:t>
            </w:r>
          </w:p>
        </w:tc>
        <w:tc>
          <w:tcPr>
            <w:tcW w:w="200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4" w:hRule="atLeast"/>
          <w:jc w:val="center"/>
        </w:trPr>
        <w:tc>
          <w:tcPr>
            <w:tcW w:w="162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bidi="ar-SA"/>
              </w:rPr>
              <w:t>2020.07.12</w:t>
            </w:r>
          </w:p>
        </w:tc>
        <w:tc>
          <w:tcPr>
            <w:tcW w:w="2426"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p>
        </w:tc>
        <w:tc>
          <w:tcPr>
            <w:tcW w:w="1872" w:type="dxa"/>
            <w:vAlign w:val="center"/>
          </w:tcPr>
          <w:p>
            <w:pPr>
              <w:keepNext w:val="0"/>
              <w:keepLines w:val="0"/>
              <w:widowControl/>
              <w:suppressLineNumbers w:val="0"/>
              <w:jc w:val="center"/>
              <w:textAlignment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129</w:t>
            </w:r>
          </w:p>
        </w:tc>
        <w:tc>
          <w:tcPr>
            <w:tcW w:w="187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19</w:t>
            </w:r>
          </w:p>
        </w:tc>
        <w:tc>
          <w:tcPr>
            <w:tcW w:w="200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4" w:hRule="atLeast"/>
          <w:jc w:val="center"/>
        </w:trPr>
        <w:tc>
          <w:tcPr>
            <w:tcW w:w="162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sz w:val="21"/>
                <w:szCs w:val="21"/>
                <w:lang w:val="en-US" w:eastAsia="zh-CN"/>
              </w:rPr>
              <w:t>2020.07.10</w:t>
            </w:r>
          </w:p>
        </w:tc>
        <w:tc>
          <w:tcPr>
            <w:tcW w:w="2426"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白云六小</w:t>
            </w:r>
          </w:p>
        </w:tc>
        <w:tc>
          <w:tcPr>
            <w:tcW w:w="1872"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149</w:t>
            </w:r>
          </w:p>
        </w:tc>
        <w:tc>
          <w:tcPr>
            <w:tcW w:w="187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lang w:val="en-US" w:eastAsia="zh-CN" w:bidi="ar-SA"/>
              </w:rPr>
            </w:pPr>
            <w:r>
              <w:rPr>
                <w:rFonts w:hint="eastAsia" w:ascii="Times New Roman" w:hAnsi="Times New Roman" w:cs="Times New Roman"/>
                <w:sz w:val="21"/>
                <w:szCs w:val="21"/>
                <w:lang w:val="en-US" w:eastAsia="zh-CN" w:bidi="ar-SA"/>
              </w:rPr>
              <w:t>16</w:t>
            </w:r>
          </w:p>
        </w:tc>
        <w:tc>
          <w:tcPr>
            <w:tcW w:w="200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4" w:hRule="atLeast"/>
          <w:jc w:val="center"/>
        </w:trPr>
        <w:tc>
          <w:tcPr>
            <w:tcW w:w="162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sz w:val="21"/>
                <w:szCs w:val="21"/>
                <w:lang w:val="en-US" w:eastAsia="zh-CN"/>
              </w:rPr>
              <w:t>2020.07.11</w:t>
            </w:r>
          </w:p>
        </w:tc>
        <w:tc>
          <w:tcPr>
            <w:tcW w:w="2426"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p>
        </w:tc>
        <w:tc>
          <w:tcPr>
            <w:tcW w:w="1872"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143</w:t>
            </w:r>
          </w:p>
        </w:tc>
        <w:tc>
          <w:tcPr>
            <w:tcW w:w="187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lang w:val="en-US" w:eastAsia="zh-CN" w:bidi="ar-SA"/>
              </w:rPr>
            </w:pPr>
            <w:r>
              <w:rPr>
                <w:rFonts w:hint="eastAsia" w:ascii="Times New Roman" w:hAnsi="Times New Roman" w:cs="Times New Roman"/>
                <w:sz w:val="21"/>
                <w:szCs w:val="21"/>
                <w:lang w:val="en-US" w:eastAsia="zh-CN" w:bidi="ar-SA"/>
              </w:rPr>
              <w:t>16</w:t>
            </w:r>
          </w:p>
        </w:tc>
        <w:tc>
          <w:tcPr>
            <w:tcW w:w="200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4" w:hRule="atLeast"/>
          <w:jc w:val="center"/>
        </w:trPr>
        <w:tc>
          <w:tcPr>
            <w:tcW w:w="162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bidi="ar-SA"/>
              </w:rPr>
              <w:t>2020.07.12</w:t>
            </w:r>
          </w:p>
        </w:tc>
        <w:tc>
          <w:tcPr>
            <w:tcW w:w="2426"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p>
        </w:tc>
        <w:tc>
          <w:tcPr>
            <w:tcW w:w="1872"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143</w:t>
            </w:r>
          </w:p>
        </w:tc>
        <w:tc>
          <w:tcPr>
            <w:tcW w:w="187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lang w:val="en-US" w:eastAsia="zh-CN" w:bidi="ar-SA"/>
              </w:rPr>
            </w:pPr>
            <w:r>
              <w:rPr>
                <w:rFonts w:hint="eastAsia" w:ascii="Times New Roman" w:hAnsi="Times New Roman" w:cs="Times New Roman"/>
                <w:sz w:val="21"/>
                <w:szCs w:val="21"/>
                <w:lang w:val="en-US" w:eastAsia="zh-CN" w:bidi="ar-SA"/>
              </w:rPr>
              <w:t>17</w:t>
            </w:r>
          </w:p>
        </w:tc>
        <w:tc>
          <w:tcPr>
            <w:tcW w:w="200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4" w:hRule="atLeast"/>
          <w:jc w:val="center"/>
        </w:trPr>
        <w:tc>
          <w:tcPr>
            <w:tcW w:w="162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sz w:val="21"/>
                <w:szCs w:val="21"/>
                <w:lang w:val="en-US" w:eastAsia="zh-CN"/>
              </w:rPr>
              <w:t>2020.07.10</w:t>
            </w:r>
          </w:p>
        </w:tc>
        <w:tc>
          <w:tcPr>
            <w:tcW w:w="2426"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白云第一中学（白云区实验中学）</w:t>
            </w:r>
          </w:p>
        </w:tc>
        <w:tc>
          <w:tcPr>
            <w:tcW w:w="1872"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149</w:t>
            </w:r>
          </w:p>
        </w:tc>
        <w:tc>
          <w:tcPr>
            <w:tcW w:w="187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lang w:val="en-US" w:eastAsia="zh-CN" w:bidi="ar-SA"/>
              </w:rPr>
            </w:pPr>
            <w:r>
              <w:rPr>
                <w:rFonts w:hint="eastAsia" w:ascii="Times New Roman" w:hAnsi="Times New Roman" w:cs="Times New Roman"/>
                <w:sz w:val="21"/>
                <w:szCs w:val="21"/>
                <w:lang w:val="en-US" w:eastAsia="zh-CN" w:bidi="ar-SA"/>
              </w:rPr>
              <w:t>13</w:t>
            </w:r>
          </w:p>
        </w:tc>
        <w:tc>
          <w:tcPr>
            <w:tcW w:w="200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4" w:hRule="atLeast"/>
          <w:jc w:val="center"/>
        </w:trPr>
        <w:tc>
          <w:tcPr>
            <w:tcW w:w="162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sz w:val="21"/>
                <w:szCs w:val="21"/>
                <w:lang w:val="en-US" w:eastAsia="zh-CN"/>
              </w:rPr>
              <w:t>2020.07.11</w:t>
            </w:r>
          </w:p>
        </w:tc>
        <w:tc>
          <w:tcPr>
            <w:tcW w:w="2426"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p>
        </w:tc>
        <w:tc>
          <w:tcPr>
            <w:tcW w:w="1872"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152</w:t>
            </w:r>
          </w:p>
        </w:tc>
        <w:tc>
          <w:tcPr>
            <w:tcW w:w="187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lang w:val="en-US" w:eastAsia="zh-CN" w:bidi="ar-SA"/>
              </w:rPr>
            </w:pPr>
            <w:r>
              <w:rPr>
                <w:rFonts w:hint="eastAsia" w:ascii="Times New Roman" w:hAnsi="Times New Roman" w:cs="Times New Roman"/>
                <w:sz w:val="21"/>
                <w:szCs w:val="21"/>
                <w:lang w:val="en-US" w:eastAsia="zh-CN" w:bidi="ar-SA"/>
              </w:rPr>
              <w:t>15</w:t>
            </w:r>
          </w:p>
        </w:tc>
        <w:tc>
          <w:tcPr>
            <w:tcW w:w="200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4" w:hRule="atLeast"/>
          <w:jc w:val="center"/>
        </w:trPr>
        <w:tc>
          <w:tcPr>
            <w:tcW w:w="162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bidi="ar-SA"/>
              </w:rPr>
              <w:t>2020.07.12</w:t>
            </w:r>
          </w:p>
        </w:tc>
        <w:tc>
          <w:tcPr>
            <w:tcW w:w="2426" w:type="dxa"/>
            <w:vMerge w:val="continue"/>
            <w:vAlign w:val="center"/>
          </w:tcPr>
          <w:p>
            <w:pPr>
              <w:keepNext w:val="0"/>
              <w:keepLines w:val="0"/>
              <w:pageBreakBefore w:val="0"/>
              <w:widowControl/>
              <w:kinsoku/>
              <w:wordWrap/>
              <w:overflowPunct/>
              <w:topLinePunct/>
              <w:autoSpaceDE/>
              <w:autoSpaceDN/>
              <w:bidi w:val="0"/>
              <w:adjustRightInd w:val="0"/>
              <w:snapToGrid w:val="0"/>
              <w:spacing w:line="240" w:lineRule="auto"/>
              <w:jc w:val="center"/>
              <w:textAlignment w:val="auto"/>
              <w:rPr>
                <w:rFonts w:hint="default" w:ascii="Times New Roman" w:hAnsi="Times New Roman" w:cs="Times New Roman"/>
                <w:sz w:val="21"/>
                <w:szCs w:val="21"/>
                <w:lang w:val="en-US" w:eastAsia="zh-CN" w:bidi="ar-SA"/>
              </w:rPr>
            </w:pPr>
          </w:p>
        </w:tc>
        <w:tc>
          <w:tcPr>
            <w:tcW w:w="1872"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144</w:t>
            </w:r>
          </w:p>
        </w:tc>
        <w:tc>
          <w:tcPr>
            <w:tcW w:w="187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lang w:val="en-US" w:eastAsia="zh-CN" w:bidi="ar-SA"/>
              </w:rPr>
            </w:pPr>
            <w:r>
              <w:rPr>
                <w:rFonts w:hint="eastAsia" w:ascii="Times New Roman" w:hAnsi="Times New Roman" w:cs="Times New Roman"/>
                <w:sz w:val="21"/>
                <w:szCs w:val="21"/>
                <w:lang w:val="en-US" w:eastAsia="zh-CN" w:bidi="ar-SA"/>
              </w:rPr>
              <w:t>16</w:t>
            </w:r>
          </w:p>
        </w:tc>
        <w:tc>
          <w:tcPr>
            <w:tcW w:w="200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4" w:hRule="atLeast"/>
          <w:jc w:val="center"/>
        </w:trPr>
        <w:tc>
          <w:tcPr>
            <w:tcW w:w="162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sz w:val="21"/>
                <w:szCs w:val="21"/>
                <w:lang w:val="en-US" w:eastAsia="zh-CN"/>
              </w:rPr>
              <w:t>2020.07.10</w:t>
            </w:r>
          </w:p>
        </w:tc>
        <w:tc>
          <w:tcPr>
            <w:tcW w:w="2426" w:type="dxa"/>
            <w:vMerge w:val="restart"/>
            <w:vAlign w:val="center"/>
          </w:tcPr>
          <w:p>
            <w:pPr>
              <w:keepNext w:val="0"/>
              <w:keepLines w:val="0"/>
              <w:pageBreakBefore w:val="0"/>
              <w:widowControl/>
              <w:kinsoku/>
              <w:wordWrap/>
              <w:overflowPunct/>
              <w:topLinePunct/>
              <w:autoSpaceDE/>
              <w:autoSpaceDN/>
              <w:bidi w:val="0"/>
              <w:adjustRightInd w:val="0"/>
              <w:snapToGrid w:val="0"/>
              <w:spacing w:line="240" w:lineRule="auto"/>
              <w:jc w:val="center"/>
              <w:textAlignment w:val="auto"/>
              <w:rPr>
                <w:rFonts w:hint="default" w:ascii="Times New Roman" w:hAnsi="Times New Roman" w:cs="Times New Roman"/>
                <w:sz w:val="21"/>
                <w:szCs w:val="21"/>
                <w:lang w:val="en-US" w:eastAsia="zh-CN" w:bidi="ar-SA"/>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太阳湖滨河公园</w:t>
            </w:r>
          </w:p>
        </w:tc>
        <w:tc>
          <w:tcPr>
            <w:tcW w:w="1872"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158</w:t>
            </w:r>
          </w:p>
        </w:tc>
        <w:tc>
          <w:tcPr>
            <w:tcW w:w="187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lang w:val="en-US" w:eastAsia="zh-CN" w:bidi="ar-SA"/>
              </w:rPr>
            </w:pPr>
            <w:r>
              <w:rPr>
                <w:rFonts w:hint="eastAsia" w:ascii="Times New Roman" w:hAnsi="Times New Roman" w:cs="Times New Roman"/>
                <w:sz w:val="21"/>
                <w:szCs w:val="21"/>
                <w:lang w:val="en-US" w:eastAsia="zh-CN" w:bidi="ar-SA"/>
              </w:rPr>
              <w:t>16</w:t>
            </w:r>
          </w:p>
        </w:tc>
        <w:tc>
          <w:tcPr>
            <w:tcW w:w="200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4" w:hRule="atLeast"/>
          <w:jc w:val="center"/>
        </w:trPr>
        <w:tc>
          <w:tcPr>
            <w:tcW w:w="162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sz w:val="21"/>
                <w:szCs w:val="21"/>
                <w:lang w:val="en-US" w:eastAsia="zh-CN"/>
              </w:rPr>
              <w:t>2020.07.11</w:t>
            </w:r>
          </w:p>
        </w:tc>
        <w:tc>
          <w:tcPr>
            <w:tcW w:w="2426" w:type="dxa"/>
            <w:vMerge w:val="continue"/>
            <w:vAlign w:val="center"/>
          </w:tcPr>
          <w:p>
            <w:pPr>
              <w:keepNext w:val="0"/>
              <w:keepLines w:val="0"/>
              <w:pageBreakBefore w:val="0"/>
              <w:widowControl/>
              <w:kinsoku/>
              <w:wordWrap/>
              <w:overflowPunct/>
              <w:topLinePunct/>
              <w:autoSpaceDE/>
              <w:autoSpaceDN/>
              <w:bidi w:val="0"/>
              <w:adjustRightInd w:val="0"/>
              <w:snapToGrid w:val="0"/>
              <w:spacing w:line="240" w:lineRule="auto"/>
              <w:jc w:val="center"/>
              <w:textAlignment w:val="auto"/>
              <w:rPr>
                <w:rFonts w:hint="default" w:ascii="Times New Roman" w:hAnsi="Times New Roman" w:cs="Times New Roman"/>
                <w:sz w:val="21"/>
                <w:szCs w:val="21"/>
                <w:lang w:val="en-US" w:eastAsia="zh-CN" w:bidi="ar-SA"/>
              </w:rPr>
            </w:pPr>
          </w:p>
        </w:tc>
        <w:tc>
          <w:tcPr>
            <w:tcW w:w="1872"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153</w:t>
            </w:r>
          </w:p>
        </w:tc>
        <w:tc>
          <w:tcPr>
            <w:tcW w:w="187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lang w:val="en-US" w:eastAsia="zh-CN" w:bidi="ar-SA"/>
              </w:rPr>
            </w:pPr>
            <w:r>
              <w:rPr>
                <w:rFonts w:hint="eastAsia" w:ascii="Times New Roman" w:hAnsi="Times New Roman" w:cs="Times New Roman"/>
                <w:sz w:val="21"/>
                <w:szCs w:val="21"/>
                <w:lang w:val="en-US" w:eastAsia="zh-CN" w:bidi="ar-SA"/>
              </w:rPr>
              <w:t>18</w:t>
            </w:r>
          </w:p>
        </w:tc>
        <w:tc>
          <w:tcPr>
            <w:tcW w:w="200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4" w:hRule="atLeast"/>
          <w:jc w:val="center"/>
        </w:trPr>
        <w:tc>
          <w:tcPr>
            <w:tcW w:w="162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bidi="ar-SA"/>
              </w:rPr>
              <w:t>2020.07.12</w:t>
            </w:r>
          </w:p>
        </w:tc>
        <w:tc>
          <w:tcPr>
            <w:tcW w:w="2426" w:type="dxa"/>
            <w:vMerge w:val="continue"/>
            <w:vAlign w:val="center"/>
          </w:tcPr>
          <w:p>
            <w:pPr>
              <w:keepNext w:val="0"/>
              <w:keepLines w:val="0"/>
              <w:pageBreakBefore w:val="0"/>
              <w:widowControl/>
              <w:kinsoku/>
              <w:wordWrap/>
              <w:overflowPunct/>
              <w:topLinePunct/>
              <w:autoSpaceDE/>
              <w:autoSpaceDN/>
              <w:bidi w:val="0"/>
              <w:adjustRightInd w:val="0"/>
              <w:snapToGrid w:val="0"/>
              <w:spacing w:line="240" w:lineRule="auto"/>
              <w:jc w:val="center"/>
              <w:textAlignment w:val="auto"/>
              <w:rPr>
                <w:rFonts w:hint="default" w:ascii="Times New Roman" w:hAnsi="Times New Roman" w:cs="Times New Roman"/>
                <w:sz w:val="21"/>
                <w:szCs w:val="21"/>
                <w:lang w:val="en-US" w:eastAsia="zh-CN" w:bidi="ar-SA"/>
              </w:rPr>
            </w:pPr>
          </w:p>
        </w:tc>
        <w:tc>
          <w:tcPr>
            <w:tcW w:w="1872"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154</w:t>
            </w:r>
          </w:p>
        </w:tc>
        <w:tc>
          <w:tcPr>
            <w:tcW w:w="187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lang w:val="en-US" w:eastAsia="zh-CN" w:bidi="ar-SA"/>
              </w:rPr>
            </w:pPr>
            <w:r>
              <w:rPr>
                <w:rFonts w:hint="eastAsia" w:ascii="Times New Roman" w:hAnsi="Times New Roman" w:cs="Times New Roman"/>
                <w:sz w:val="21"/>
                <w:szCs w:val="21"/>
                <w:lang w:val="en-US" w:eastAsia="zh-CN" w:bidi="ar-SA"/>
              </w:rPr>
              <w:t>16</w:t>
            </w:r>
          </w:p>
        </w:tc>
        <w:tc>
          <w:tcPr>
            <w:tcW w:w="200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lang w:val="en-US" w:eastAsia="zh-CN" w:bidi="ar-SA"/>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由以上监测结果可以看出本工程道路全线噪声监测结果符合《声环境质量标准》（GB 3096-2008）的要求；环境空气监测结果达到《环境空气质量标准》（GB3095-2012）二级标准要求。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1"/>
        <w:rPr>
          <w:rFonts w:hint="eastAsia" w:ascii="Times New Roman" w:hAnsi="Times New Roman" w:eastAsia="宋体" w:cs="Times New Roman"/>
          <w:sz w:val="24"/>
          <w:szCs w:val="24"/>
          <w:lang w:val="en-US" w:eastAsia="zh-CN"/>
        </w:rPr>
      </w:pPr>
      <w:bookmarkStart w:id="60" w:name="_Toc919"/>
      <w:r>
        <w:rPr>
          <w:rFonts w:hint="eastAsia" w:ascii="Times New Roman" w:hAnsi="Times New Roman" w:eastAsia="宋体" w:cs="Times New Roman"/>
          <w:sz w:val="24"/>
          <w:szCs w:val="24"/>
          <w:lang w:val="en-US" w:eastAsia="zh-CN"/>
        </w:rPr>
        <w:t>6.3水环境</w:t>
      </w:r>
      <w:bookmarkEnd w:id="60"/>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2"/>
        <w:rPr>
          <w:rFonts w:hint="eastAsia" w:ascii="Times New Roman" w:hAnsi="Times New Roman" w:eastAsia="宋体" w:cs="Times New Roman"/>
          <w:sz w:val="24"/>
          <w:szCs w:val="24"/>
          <w:lang w:val="en-US" w:eastAsia="zh-CN"/>
        </w:rPr>
      </w:pPr>
      <w:bookmarkStart w:id="61" w:name="_Toc24200"/>
      <w:r>
        <w:rPr>
          <w:rFonts w:hint="eastAsia" w:ascii="Times New Roman" w:hAnsi="Times New Roman" w:eastAsia="宋体" w:cs="Times New Roman"/>
          <w:sz w:val="24"/>
          <w:szCs w:val="24"/>
          <w:lang w:val="en-US" w:eastAsia="zh-CN"/>
        </w:rPr>
        <w:t>6.3.1水环境污染源调查</w:t>
      </w:r>
      <w:bookmarkEnd w:id="61"/>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本工程未设置服务区、收费站等，无生活污水排放，主要污染源为道路冲洗废水及雨水冲刷路面产生的污水，主要污染物为SS。本项目污水仅边沟收纳处理就近排入麦架河。</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金苏大道桥跨越麦架河，冲刷路面的雨水经桥面引流，汇入两端桥头沉淀池后就近排入麦架河。</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本工程调查范围内董家堰水井现已掩埋，无水流出，无其他地下水出露点。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2"/>
        <w:rPr>
          <w:rFonts w:hint="eastAsia" w:ascii="Times New Roman" w:hAnsi="Times New Roman" w:eastAsia="宋体" w:cs="Times New Roman"/>
          <w:sz w:val="24"/>
          <w:szCs w:val="24"/>
          <w:lang w:val="en-US" w:eastAsia="zh-CN"/>
        </w:rPr>
      </w:pPr>
      <w:bookmarkStart w:id="62" w:name="_Toc31192"/>
      <w:r>
        <w:rPr>
          <w:rFonts w:hint="eastAsia" w:ascii="Times New Roman" w:hAnsi="Times New Roman" w:eastAsia="宋体" w:cs="Times New Roman"/>
          <w:sz w:val="24"/>
          <w:szCs w:val="24"/>
          <w:lang w:val="en-US" w:eastAsia="zh-CN"/>
        </w:rPr>
        <w:t>6.3.2监测内容</w:t>
      </w:r>
      <w:bookmarkEnd w:id="62"/>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本工程调查范围内所涉及的水体为麦架河，监测内容见表6.3.2-1.</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lang w:val="en-US" w:eastAsia="zh-CN"/>
        </w:rPr>
        <w:t>表6.3.2-1 地表水监测一览表</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9"/>
        <w:gridCol w:w="2587"/>
        <w:gridCol w:w="2677"/>
        <w:gridCol w:w="1466"/>
        <w:gridCol w:w="9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3" w:hRule="atLeast"/>
        </w:trPr>
        <w:tc>
          <w:tcPr>
            <w:tcW w:w="81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序号</w:t>
            </w:r>
          </w:p>
        </w:tc>
        <w:tc>
          <w:tcPr>
            <w:tcW w:w="258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监测点位</w:t>
            </w:r>
          </w:p>
        </w:tc>
        <w:tc>
          <w:tcPr>
            <w:tcW w:w="267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监测因子</w:t>
            </w:r>
          </w:p>
        </w:tc>
        <w:tc>
          <w:tcPr>
            <w:tcW w:w="146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监测频率</w:t>
            </w:r>
          </w:p>
        </w:tc>
        <w:tc>
          <w:tcPr>
            <w:tcW w:w="9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7" w:hRule="atLeast"/>
        </w:trPr>
        <w:tc>
          <w:tcPr>
            <w:tcW w:w="81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w:t>
            </w:r>
          </w:p>
        </w:tc>
        <w:tc>
          <w:tcPr>
            <w:tcW w:w="258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cs="Times New Roman"/>
                <w:b w:val="0"/>
                <w:bCs w:val="0"/>
                <w:color w:val="000000" w:themeColor="text1"/>
                <w:sz w:val="21"/>
                <w:szCs w:val="21"/>
                <w:lang w:val="en-US" w:eastAsia="zh-CN"/>
                <w14:textFill>
                  <w14:solidFill>
                    <w14:schemeClr w14:val="tx1"/>
                  </w14:solidFill>
                </w14:textFill>
              </w:rPr>
              <w:t>麦沙大道跨麦架河处下游200m</w:t>
            </w:r>
          </w:p>
        </w:tc>
        <w:tc>
          <w:tcPr>
            <w:tcW w:w="267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cs="Times New Roman"/>
                <w:bCs/>
                <w:color w:val="000000"/>
                <w:sz w:val="21"/>
                <w:szCs w:val="21"/>
                <w:lang w:val="en-US" w:eastAsia="zh-CN"/>
              </w:rPr>
              <w:t>水温、流量、</w:t>
            </w:r>
            <w:r>
              <w:rPr>
                <w:rFonts w:hint="eastAsia" w:ascii="Times New Roman" w:hAnsi="Times New Roman" w:cs="Times New Roman"/>
                <w:b w:val="0"/>
                <w:bCs w:val="0"/>
                <w:color w:val="000000" w:themeColor="text1"/>
                <w:sz w:val="21"/>
                <w:szCs w:val="21"/>
                <w:lang w:val="en-US" w:eastAsia="zh-CN"/>
                <w14:textFill>
                  <w14:solidFill>
                    <w14:schemeClr w14:val="tx1"/>
                  </w14:solidFill>
                </w14:textFill>
              </w:rPr>
              <w:t>pH、COD、氨氮、BOD</w:t>
            </w:r>
            <w:r>
              <w:rPr>
                <w:rFonts w:hint="eastAsia" w:ascii="Times New Roman" w:hAnsi="Times New Roman" w:cs="Times New Roman"/>
                <w:b w:val="0"/>
                <w:bCs w:val="0"/>
                <w:color w:val="000000" w:themeColor="text1"/>
                <w:sz w:val="21"/>
                <w:szCs w:val="21"/>
                <w:vertAlign w:val="subscript"/>
                <w:lang w:val="en-US" w:eastAsia="zh-CN"/>
                <w14:textFill>
                  <w14:solidFill>
                    <w14:schemeClr w14:val="tx1"/>
                  </w14:solidFill>
                </w14:textFill>
              </w:rPr>
              <w:t>5</w:t>
            </w:r>
            <w:r>
              <w:rPr>
                <w:rFonts w:hint="eastAsia" w:ascii="Times New Roman" w:hAnsi="Times New Roman" w:cs="Times New Roman"/>
                <w:b w:val="0"/>
                <w:bCs w:val="0"/>
                <w:color w:val="000000" w:themeColor="text1"/>
                <w:sz w:val="21"/>
                <w:szCs w:val="21"/>
                <w:lang w:val="en-US" w:eastAsia="zh-CN"/>
                <w14:textFill>
                  <w14:solidFill>
                    <w14:schemeClr w14:val="tx1"/>
                  </w14:solidFill>
                </w14:textFill>
              </w:rPr>
              <w:t>、SS、石油类</w:t>
            </w:r>
          </w:p>
        </w:tc>
        <w:tc>
          <w:tcPr>
            <w:tcW w:w="146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cs="Times New Roman"/>
                <w:bCs/>
                <w:color w:val="000000"/>
                <w:sz w:val="21"/>
                <w:szCs w:val="21"/>
                <w:lang w:val="en-US" w:eastAsia="zh-CN"/>
              </w:rPr>
              <w:t>1</w:t>
            </w:r>
            <w:r>
              <w:rPr>
                <w:rFonts w:hint="default" w:ascii="Times New Roman" w:hAnsi="Times New Roman" w:cs="Times New Roman"/>
                <w:bCs/>
                <w:color w:val="000000"/>
                <w:sz w:val="21"/>
                <w:szCs w:val="21"/>
                <w:lang w:val="en-US" w:eastAsia="zh-CN"/>
              </w:rPr>
              <w:t>次/天，连续监测</w:t>
            </w:r>
            <w:r>
              <w:rPr>
                <w:rFonts w:hint="eastAsia" w:cs="Times New Roman"/>
                <w:bCs/>
                <w:color w:val="000000"/>
                <w:sz w:val="21"/>
                <w:szCs w:val="21"/>
                <w:lang w:val="en-US" w:eastAsia="zh-CN"/>
              </w:rPr>
              <w:t>3</w:t>
            </w:r>
            <w:r>
              <w:rPr>
                <w:rFonts w:hint="default" w:ascii="Times New Roman" w:hAnsi="Times New Roman" w:cs="Times New Roman"/>
                <w:bCs/>
                <w:color w:val="000000"/>
                <w:sz w:val="21"/>
                <w:szCs w:val="21"/>
                <w:lang w:val="en-US" w:eastAsia="zh-CN"/>
              </w:rPr>
              <w:t>天</w:t>
            </w:r>
          </w:p>
        </w:tc>
        <w:tc>
          <w:tcPr>
            <w:tcW w:w="9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2"/>
        <w:rPr>
          <w:rFonts w:hint="eastAsia" w:ascii="Times New Roman" w:hAnsi="Times New Roman" w:eastAsia="宋体" w:cs="Times New Roman"/>
          <w:sz w:val="24"/>
          <w:szCs w:val="24"/>
          <w:lang w:val="en-US" w:eastAsia="zh-CN"/>
        </w:rPr>
      </w:pPr>
      <w:bookmarkStart w:id="63" w:name="_Toc1135"/>
      <w:r>
        <w:rPr>
          <w:rFonts w:hint="eastAsia" w:ascii="Times New Roman" w:hAnsi="Times New Roman" w:eastAsia="宋体" w:cs="Times New Roman"/>
          <w:sz w:val="24"/>
          <w:szCs w:val="24"/>
          <w:lang w:val="en-US" w:eastAsia="zh-CN"/>
        </w:rPr>
        <w:t>6.3.3监测结果</w:t>
      </w:r>
      <w:bookmarkEnd w:id="63"/>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贵州明德工程咨询有限公司于2020年07月06日对本项目涉及地表水进行监测，监测结果见表6.3.3-1</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表6.3.3-1 地表水监测结果</w:t>
      </w:r>
    </w:p>
    <w:tbl>
      <w:tblPr>
        <w:tblStyle w:val="10"/>
        <w:tblW w:w="99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6"/>
        <w:gridCol w:w="1663"/>
        <w:gridCol w:w="1650"/>
        <w:gridCol w:w="1700"/>
        <w:gridCol w:w="1179"/>
        <w:gridCol w:w="1"/>
        <w:gridCol w:w="1182"/>
        <w:gridCol w:w="1176"/>
        <w:gridCol w:w="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1446"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检测项目</w:t>
            </w:r>
          </w:p>
        </w:tc>
        <w:tc>
          <w:tcPr>
            <w:tcW w:w="5013" w:type="dxa"/>
            <w:gridSpan w:val="3"/>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监测点位/采样日期/样品编号/检测结果</w:t>
            </w:r>
          </w:p>
        </w:tc>
        <w:tc>
          <w:tcPr>
            <w:tcW w:w="1180" w:type="dxa"/>
            <w:gridSpan w:val="2"/>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平均值</w:t>
            </w:r>
          </w:p>
        </w:tc>
        <w:tc>
          <w:tcPr>
            <w:tcW w:w="1182"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before="999" w:beforeLines="320"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标准限值</w:t>
            </w:r>
          </w:p>
        </w:tc>
        <w:tc>
          <w:tcPr>
            <w:tcW w:w="1178" w:type="dxa"/>
            <w:gridSpan w:val="2"/>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144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5013" w:type="dxa"/>
            <w:gridSpan w:val="3"/>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cs="Times New Roman"/>
                <w:b w:val="0"/>
                <w:bCs w:val="0"/>
                <w:color w:val="000000" w:themeColor="text1"/>
                <w:sz w:val="21"/>
                <w:szCs w:val="21"/>
                <w:lang w:val="en-US" w:eastAsia="zh-CN"/>
                <w14:textFill>
                  <w14:solidFill>
                    <w14:schemeClr w14:val="tx1"/>
                  </w14:solidFill>
                </w14:textFill>
              </w:rPr>
              <w:t>金苏大道</w:t>
            </w:r>
            <w:r>
              <w:rPr>
                <w:rFonts w:hint="default" w:ascii="Times New Roman" w:hAnsi="Times New Roman" w:cs="Times New Roman"/>
                <w:b w:val="0"/>
                <w:bCs w:val="0"/>
                <w:color w:val="000000" w:themeColor="text1"/>
                <w:sz w:val="21"/>
                <w:szCs w:val="21"/>
                <w:lang w:val="en-US" w:eastAsia="zh-CN"/>
                <w14:textFill>
                  <w14:solidFill>
                    <w14:schemeClr w14:val="tx1"/>
                  </w14:solidFill>
                </w14:textFill>
              </w:rPr>
              <w:t>跨麦架河处下游200m</w:t>
            </w:r>
          </w:p>
        </w:tc>
        <w:tc>
          <w:tcPr>
            <w:tcW w:w="1180" w:type="dxa"/>
            <w:gridSpan w:val="2"/>
            <w:vMerge w:val="continue"/>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 w:val="0"/>
                <w:bCs w:val="0"/>
                <w:color w:val="000000" w:themeColor="text1"/>
                <w:sz w:val="21"/>
                <w:szCs w:val="21"/>
                <w:lang w:val="en-US" w:eastAsia="zh-CN"/>
                <w14:textFill>
                  <w14:solidFill>
                    <w14:schemeClr w14:val="tx1"/>
                  </w14:solidFill>
                </w14:textFill>
              </w:rPr>
            </w:pPr>
          </w:p>
        </w:tc>
        <w:tc>
          <w:tcPr>
            <w:tcW w:w="1182" w:type="dxa"/>
            <w:vMerge w:val="continue"/>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 w:val="0"/>
                <w:bCs w:val="0"/>
                <w:color w:val="000000" w:themeColor="text1"/>
                <w:sz w:val="21"/>
                <w:szCs w:val="21"/>
                <w:lang w:val="en-US" w:eastAsia="zh-CN"/>
                <w14:textFill>
                  <w14:solidFill>
                    <w14:schemeClr w14:val="tx1"/>
                  </w14:solidFill>
                </w14:textFill>
              </w:rPr>
            </w:pPr>
          </w:p>
        </w:tc>
        <w:tc>
          <w:tcPr>
            <w:tcW w:w="1178" w:type="dxa"/>
            <w:gridSpan w:val="2"/>
            <w:vMerge w:val="continue"/>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 w:val="0"/>
                <w:bCs w:val="0"/>
                <w:color w:val="000000" w:themeColor="text1"/>
                <w:sz w:val="21"/>
                <w:szCs w:val="21"/>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144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663"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1650"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1700"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2020.07.08</w:t>
            </w:r>
          </w:p>
        </w:tc>
        <w:tc>
          <w:tcPr>
            <w:tcW w:w="1180" w:type="dxa"/>
            <w:gridSpan w:val="2"/>
            <w:vMerge w:val="continue"/>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p>
        </w:tc>
        <w:tc>
          <w:tcPr>
            <w:tcW w:w="1182" w:type="dxa"/>
            <w:vMerge w:val="continue"/>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p>
        </w:tc>
        <w:tc>
          <w:tcPr>
            <w:tcW w:w="1178" w:type="dxa"/>
            <w:gridSpan w:val="2"/>
            <w:vMerge w:val="continue"/>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491" w:hRule="atLeast"/>
          <w:jc w:val="center"/>
        </w:trPr>
        <w:tc>
          <w:tcPr>
            <w:tcW w:w="144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663"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MDJ20-0064W2-101</w:t>
            </w:r>
          </w:p>
        </w:tc>
        <w:tc>
          <w:tcPr>
            <w:tcW w:w="1650"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MDJ20-0064W2-201</w:t>
            </w:r>
          </w:p>
        </w:tc>
        <w:tc>
          <w:tcPr>
            <w:tcW w:w="1700"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MDJ20-0064W2-301</w:t>
            </w:r>
          </w:p>
        </w:tc>
        <w:tc>
          <w:tcPr>
            <w:tcW w:w="1179" w:type="dxa"/>
            <w:vMerge w:val="continue"/>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p>
        </w:tc>
        <w:tc>
          <w:tcPr>
            <w:tcW w:w="1183" w:type="dxa"/>
            <w:gridSpan w:val="2"/>
            <w:vMerge w:val="continue"/>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p>
        </w:tc>
        <w:tc>
          <w:tcPr>
            <w:tcW w:w="1176" w:type="dxa"/>
            <w:vMerge w:val="continue"/>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623" w:hRule="exact"/>
          <w:jc w:val="center"/>
        </w:trPr>
        <w:tc>
          <w:tcPr>
            <w:tcW w:w="1446"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水温</w:t>
            </w:r>
          </w:p>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w:t>
            </w:r>
          </w:p>
        </w:tc>
        <w:tc>
          <w:tcPr>
            <w:tcW w:w="1663"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21.9</w:t>
            </w:r>
          </w:p>
        </w:tc>
        <w:tc>
          <w:tcPr>
            <w:tcW w:w="1650"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22.3</w:t>
            </w:r>
          </w:p>
        </w:tc>
        <w:tc>
          <w:tcPr>
            <w:tcW w:w="1700"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23.4</w:t>
            </w:r>
          </w:p>
        </w:tc>
        <w:tc>
          <w:tcPr>
            <w:tcW w:w="1179" w:type="dxa"/>
            <w:vAlign w:val="center"/>
          </w:tcPr>
          <w:p>
            <w:pPr>
              <w:keepNext w:val="0"/>
              <w:keepLines w:val="0"/>
              <w:widowControl/>
              <w:suppressLineNumbers w:val="0"/>
              <w:jc w:val="center"/>
              <w:textAlignment w:val="center"/>
              <w:rPr>
                <w:rFonts w:hint="default" w:ascii="Times New Roman" w:hAnsi="Times New Roman" w:cs="Times New Roman"/>
                <w:bCs/>
                <w:sz w:val="21"/>
                <w:szCs w:val="21"/>
                <w:vertAlign w:val="baseline"/>
                <w:lang w:val="en-US" w:eastAsia="zh-CN"/>
              </w:rPr>
            </w:pPr>
            <w:r>
              <w:rPr>
                <w:rFonts w:hint="default" w:ascii="Times New Roman" w:hAnsi="Times New Roman" w:eastAsia="宋体" w:cs="Times New Roman"/>
                <w:i w:val="0"/>
                <w:color w:val="000000"/>
                <w:kern w:val="0"/>
                <w:sz w:val="21"/>
                <w:szCs w:val="21"/>
                <w:u w:val="none"/>
                <w:lang w:val="en-US" w:eastAsia="zh-CN" w:bidi="ar"/>
              </w:rPr>
              <w:t xml:space="preserve">22.5 </w:t>
            </w:r>
          </w:p>
        </w:tc>
        <w:tc>
          <w:tcPr>
            <w:tcW w:w="1183" w:type="dxa"/>
            <w:gridSpan w:val="2"/>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bidi="ar-SA"/>
              </w:rPr>
              <w:t>—</w:t>
            </w:r>
          </w:p>
        </w:tc>
        <w:tc>
          <w:tcPr>
            <w:tcW w:w="11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623" w:hRule="exact"/>
          <w:jc w:val="center"/>
        </w:trPr>
        <w:tc>
          <w:tcPr>
            <w:tcW w:w="1446"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流量</w:t>
            </w:r>
          </w:p>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（m</w:t>
            </w:r>
            <w:r>
              <w:rPr>
                <w:rFonts w:hint="default" w:ascii="Times New Roman" w:hAnsi="Times New Roman" w:cs="Times New Roman"/>
                <w:bCs/>
                <w:sz w:val="21"/>
                <w:szCs w:val="21"/>
                <w:vertAlign w:val="superscript"/>
                <w:lang w:val="en-US" w:eastAsia="zh-CN"/>
              </w:rPr>
              <w:t>3</w:t>
            </w:r>
            <w:r>
              <w:rPr>
                <w:rFonts w:hint="default" w:ascii="Times New Roman" w:hAnsi="Times New Roman" w:cs="Times New Roman"/>
                <w:bCs/>
                <w:sz w:val="21"/>
                <w:szCs w:val="21"/>
                <w:vertAlign w:val="baseline"/>
                <w:lang w:val="en-US" w:eastAsia="zh-CN"/>
              </w:rPr>
              <w:t>/h）</w:t>
            </w:r>
          </w:p>
        </w:tc>
        <w:tc>
          <w:tcPr>
            <w:tcW w:w="1663"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color w:val="FF0000"/>
                <w:kern w:val="2"/>
                <w:sz w:val="21"/>
                <w:szCs w:val="21"/>
                <w:vertAlign w:val="baseline"/>
                <w:lang w:val="en-US" w:eastAsia="zh-CN" w:bidi="ar-SA"/>
              </w:rPr>
            </w:pPr>
            <w:r>
              <w:rPr>
                <w:rFonts w:hint="default" w:ascii="Times New Roman" w:hAnsi="Times New Roman" w:cs="Times New Roman"/>
                <w:bCs/>
                <w:color w:val="FF0000"/>
                <w:sz w:val="21"/>
                <w:szCs w:val="21"/>
                <w:vertAlign w:val="baseline"/>
                <w:lang w:val="en-US" w:eastAsia="zh-CN"/>
              </w:rPr>
              <w:t>3.21×10</w:t>
            </w:r>
            <w:r>
              <w:rPr>
                <w:rFonts w:hint="default" w:ascii="Times New Roman" w:hAnsi="Times New Roman" w:cs="Times New Roman"/>
                <w:bCs/>
                <w:color w:val="FF0000"/>
                <w:sz w:val="21"/>
                <w:szCs w:val="21"/>
                <w:vertAlign w:val="superscript"/>
                <w:lang w:val="en-US" w:eastAsia="zh-CN"/>
              </w:rPr>
              <w:t>3</w:t>
            </w:r>
          </w:p>
        </w:tc>
        <w:tc>
          <w:tcPr>
            <w:tcW w:w="1650"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color w:val="FF0000"/>
                <w:kern w:val="2"/>
                <w:sz w:val="21"/>
                <w:szCs w:val="21"/>
                <w:vertAlign w:val="baseline"/>
                <w:lang w:val="en-US" w:eastAsia="zh-CN" w:bidi="ar-SA"/>
              </w:rPr>
            </w:pPr>
            <w:r>
              <w:rPr>
                <w:rFonts w:hint="default" w:ascii="Times New Roman" w:hAnsi="Times New Roman" w:cs="Times New Roman"/>
                <w:bCs/>
                <w:color w:val="FF0000"/>
                <w:sz w:val="21"/>
                <w:szCs w:val="21"/>
                <w:vertAlign w:val="baseline"/>
                <w:lang w:val="en-US" w:eastAsia="zh-CN"/>
              </w:rPr>
              <w:t>3.03×10</w:t>
            </w:r>
            <w:r>
              <w:rPr>
                <w:rFonts w:hint="default" w:ascii="Times New Roman" w:hAnsi="Times New Roman" w:cs="Times New Roman"/>
                <w:bCs/>
                <w:color w:val="FF0000"/>
                <w:sz w:val="21"/>
                <w:szCs w:val="21"/>
                <w:vertAlign w:val="superscript"/>
                <w:lang w:val="en-US" w:eastAsia="zh-CN"/>
              </w:rPr>
              <w:t>3</w:t>
            </w:r>
          </w:p>
        </w:tc>
        <w:tc>
          <w:tcPr>
            <w:tcW w:w="1700"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color w:val="FF0000"/>
                <w:kern w:val="2"/>
                <w:sz w:val="21"/>
                <w:szCs w:val="21"/>
                <w:vertAlign w:val="baseline"/>
                <w:lang w:val="en-US" w:eastAsia="zh-CN" w:bidi="ar-SA"/>
              </w:rPr>
            </w:pPr>
            <w:r>
              <w:rPr>
                <w:rFonts w:hint="default" w:ascii="Times New Roman" w:hAnsi="Times New Roman" w:cs="Times New Roman"/>
                <w:bCs/>
                <w:color w:val="FF0000"/>
                <w:sz w:val="21"/>
                <w:szCs w:val="21"/>
                <w:vertAlign w:val="baseline"/>
                <w:lang w:val="en-US" w:eastAsia="zh-CN"/>
              </w:rPr>
              <w:t>3.39×10</w:t>
            </w:r>
            <w:r>
              <w:rPr>
                <w:rFonts w:hint="default" w:ascii="Times New Roman" w:hAnsi="Times New Roman" w:cs="Times New Roman"/>
                <w:bCs/>
                <w:color w:val="FF0000"/>
                <w:sz w:val="21"/>
                <w:szCs w:val="21"/>
                <w:vertAlign w:val="superscript"/>
                <w:lang w:val="en-US" w:eastAsia="zh-CN"/>
              </w:rPr>
              <w:t>3</w:t>
            </w:r>
          </w:p>
        </w:tc>
        <w:tc>
          <w:tcPr>
            <w:tcW w:w="1179" w:type="dxa"/>
            <w:vAlign w:val="center"/>
          </w:tcPr>
          <w:p>
            <w:pPr>
              <w:keepNext w:val="0"/>
              <w:keepLines w:val="0"/>
              <w:widowControl/>
              <w:suppressLineNumbers w:val="0"/>
              <w:jc w:val="center"/>
              <w:textAlignment w:val="center"/>
              <w:rPr>
                <w:rFonts w:hint="default" w:ascii="Times New Roman" w:hAnsi="Times New Roman" w:cs="Times New Roman"/>
                <w:bCs/>
                <w:color w:val="FF0000"/>
                <w:sz w:val="21"/>
                <w:szCs w:val="21"/>
                <w:vertAlign w:val="baseline"/>
                <w:lang w:val="en-US" w:eastAsia="zh-CN"/>
              </w:rPr>
            </w:pPr>
            <w:r>
              <w:rPr>
                <w:rFonts w:hint="eastAsia" w:ascii="Times New Roman" w:hAnsi="Times New Roman" w:eastAsia="宋体" w:cs="Times New Roman"/>
                <w:i w:val="0"/>
                <w:color w:val="FF0000"/>
                <w:kern w:val="0"/>
                <w:sz w:val="21"/>
                <w:szCs w:val="21"/>
                <w:u w:val="none"/>
                <w:lang w:val="en-US" w:eastAsia="zh-CN" w:bidi="ar"/>
              </w:rPr>
              <w:t>3.21</w:t>
            </w:r>
            <w:r>
              <w:rPr>
                <w:rFonts w:hint="default" w:ascii="Arial" w:hAnsi="Arial" w:cs="Arial"/>
                <w:bCs/>
                <w:color w:val="FF0000"/>
                <w:sz w:val="21"/>
                <w:szCs w:val="21"/>
                <w:vertAlign w:val="baseline"/>
                <w:lang w:val="en-US" w:eastAsia="zh-CN"/>
              </w:rPr>
              <w:t>×</w:t>
            </w:r>
            <w:r>
              <w:rPr>
                <w:rFonts w:hint="eastAsia" w:ascii="Times New Roman" w:hAnsi="Times New Roman" w:cs="Times New Roman"/>
                <w:bCs/>
                <w:color w:val="FF0000"/>
                <w:sz w:val="21"/>
                <w:szCs w:val="21"/>
                <w:vertAlign w:val="baseline"/>
                <w:lang w:val="en-US" w:eastAsia="zh-CN"/>
              </w:rPr>
              <w:t>10</w:t>
            </w:r>
            <w:r>
              <w:rPr>
                <w:rFonts w:hint="eastAsia" w:ascii="Times New Roman" w:hAnsi="Times New Roman" w:cs="Times New Roman"/>
                <w:bCs/>
                <w:color w:val="FF0000"/>
                <w:sz w:val="21"/>
                <w:szCs w:val="21"/>
                <w:vertAlign w:val="superscript"/>
                <w:lang w:val="en-US" w:eastAsia="zh-CN"/>
              </w:rPr>
              <w:t>3</w:t>
            </w:r>
          </w:p>
        </w:tc>
        <w:tc>
          <w:tcPr>
            <w:tcW w:w="1183" w:type="dxa"/>
            <w:gridSpan w:val="2"/>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bidi="ar-SA"/>
              </w:rPr>
              <w:t>—</w:t>
            </w:r>
          </w:p>
        </w:tc>
        <w:tc>
          <w:tcPr>
            <w:tcW w:w="11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623" w:hRule="exact"/>
          <w:jc w:val="center"/>
        </w:trPr>
        <w:tc>
          <w:tcPr>
            <w:tcW w:w="1446"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pH</w:t>
            </w:r>
          </w:p>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（无量纲）</w:t>
            </w:r>
          </w:p>
        </w:tc>
        <w:tc>
          <w:tcPr>
            <w:tcW w:w="166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7.51</w:t>
            </w:r>
          </w:p>
        </w:tc>
        <w:tc>
          <w:tcPr>
            <w:tcW w:w="165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7.56</w:t>
            </w:r>
          </w:p>
        </w:tc>
        <w:tc>
          <w:tcPr>
            <w:tcW w:w="170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7.59</w:t>
            </w:r>
          </w:p>
        </w:tc>
        <w:tc>
          <w:tcPr>
            <w:tcW w:w="1179" w:type="dxa"/>
            <w:vAlign w:val="center"/>
          </w:tcPr>
          <w:p>
            <w:pPr>
              <w:keepNext w:val="0"/>
              <w:keepLines w:val="0"/>
              <w:widowControl/>
              <w:suppressLineNumbers w:val="0"/>
              <w:jc w:val="center"/>
              <w:textAlignment w:val="center"/>
              <w:rPr>
                <w:rFonts w:hint="default" w:ascii="Times New Roman" w:hAnsi="Times New Roman" w:cs="Times New Roman"/>
                <w:bCs/>
                <w:sz w:val="21"/>
                <w:szCs w:val="21"/>
                <w:vertAlign w:val="baseline"/>
                <w:lang w:val="en-US" w:eastAsia="zh-CN"/>
              </w:rPr>
            </w:pPr>
            <w:r>
              <w:rPr>
                <w:rFonts w:hint="default" w:ascii="Times New Roman" w:hAnsi="Times New Roman" w:eastAsia="宋体" w:cs="Times New Roman"/>
                <w:i w:val="0"/>
                <w:color w:val="000000"/>
                <w:kern w:val="0"/>
                <w:sz w:val="21"/>
                <w:szCs w:val="21"/>
                <w:u w:val="none"/>
                <w:lang w:val="en-US" w:eastAsia="zh-CN" w:bidi="ar"/>
              </w:rPr>
              <w:t xml:space="preserve">7.55 </w:t>
            </w:r>
          </w:p>
        </w:tc>
        <w:tc>
          <w:tcPr>
            <w:tcW w:w="1183"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6~9</w:t>
            </w:r>
          </w:p>
        </w:tc>
        <w:tc>
          <w:tcPr>
            <w:tcW w:w="1176"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623" w:hRule="exact"/>
          <w:jc w:val="center"/>
        </w:trPr>
        <w:tc>
          <w:tcPr>
            <w:tcW w:w="1446"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eastAsiaTheme="minorEastAsia"/>
                <w:color w:val="auto"/>
                <w:sz w:val="21"/>
                <w:szCs w:val="21"/>
                <w:lang w:eastAsia="zh-CN"/>
              </w:rPr>
              <w:t>悬浮物</w:t>
            </w:r>
            <w:r>
              <w:rPr>
                <w:rFonts w:hint="default" w:ascii="Times New Roman" w:hAnsi="Times New Roman" w:cs="Times New Roman"/>
                <w:bCs/>
                <w:sz w:val="21"/>
                <w:szCs w:val="21"/>
                <w:vertAlign w:val="baseline"/>
                <w:lang w:val="en-US" w:eastAsia="zh-CN"/>
              </w:rPr>
              <w:t>（mg/L）</w:t>
            </w:r>
          </w:p>
        </w:tc>
        <w:tc>
          <w:tcPr>
            <w:tcW w:w="166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14</w:t>
            </w:r>
          </w:p>
        </w:tc>
        <w:tc>
          <w:tcPr>
            <w:tcW w:w="165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15</w:t>
            </w:r>
          </w:p>
        </w:tc>
        <w:tc>
          <w:tcPr>
            <w:tcW w:w="170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17</w:t>
            </w:r>
          </w:p>
        </w:tc>
        <w:tc>
          <w:tcPr>
            <w:tcW w:w="1179" w:type="dxa"/>
            <w:vAlign w:val="center"/>
          </w:tcPr>
          <w:p>
            <w:pPr>
              <w:keepNext w:val="0"/>
              <w:keepLines w:val="0"/>
              <w:widowControl/>
              <w:suppressLineNumbers w:val="0"/>
              <w:jc w:val="center"/>
              <w:textAlignment w:val="center"/>
              <w:rPr>
                <w:rFonts w:hint="default" w:ascii="Times New Roman" w:hAnsi="Times New Roman" w:cs="Times New Roman"/>
                <w:bCs/>
                <w:sz w:val="21"/>
                <w:szCs w:val="21"/>
                <w:vertAlign w:val="baseline"/>
                <w:lang w:val="en-US" w:eastAsia="zh-CN" w:bidi="ar-SA"/>
              </w:rPr>
            </w:pPr>
            <w:r>
              <w:rPr>
                <w:rFonts w:hint="default" w:ascii="Times New Roman" w:hAnsi="Times New Roman" w:eastAsia="宋体" w:cs="Times New Roman"/>
                <w:i w:val="0"/>
                <w:color w:val="000000"/>
                <w:kern w:val="0"/>
                <w:sz w:val="21"/>
                <w:szCs w:val="21"/>
                <w:u w:val="none"/>
                <w:lang w:val="en-US" w:eastAsia="zh-CN" w:bidi="ar"/>
              </w:rPr>
              <w:t xml:space="preserve">15 </w:t>
            </w:r>
          </w:p>
        </w:tc>
        <w:tc>
          <w:tcPr>
            <w:tcW w:w="1183"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w:t>
            </w:r>
          </w:p>
        </w:tc>
        <w:tc>
          <w:tcPr>
            <w:tcW w:w="1176"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623" w:hRule="exact"/>
          <w:jc w:val="center"/>
        </w:trPr>
        <w:tc>
          <w:tcPr>
            <w:tcW w:w="1446"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氨氮</w:t>
            </w:r>
          </w:p>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（mg/L）</w:t>
            </w:r>
          </w:p>
        </w:tc>
        <w:tc>
          <w:tcPr>
            <w:tcW w:w="166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0.300</w:t>
            </w:r>
          </w:p>
        </w:tc>
        <w:tc>
          <w:tcPr>
            <w:tcW w:w="165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0.403</w:t>
            </w:r>
          </w:p>
        </w:tc>
        <w:tc>
          <w:tcPr>
            <w:tcW w:w="170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0.295</w:t>
            </w:r>
          </w:p>
        </w:tc>
        <w:tc>
          <w:tcPr>
            <w:tcW w:w="1179" w:type="dxa"/>
            <w:vAlign w:val="center"/>
          </w:tcPr>
          <w:p>
            <w:pPr>
              <w:keepNext w:val="0"/>
              <w:keepLines w:val="0"/>
              <w:widowControl/>
              <w:suppressLineNumbers w:val="0"/>
              <w:jc w:val="center"/>
              <w:textAlignment w:val="center"/>
              <w:rPr>
                <w:rFonts w:hint="default" w:ascii="Times New Roman" w:hAnsi="Times New Roman" w:cs="Times New Roman"/>
                <w:bCs/>
                <w:sz w:val="21"/>
                <w:szCs w:val="21"/>
                <w:vertAlign w:val="baseline"/>
                <w:lang w:val="en-US" w:eastAsia="zh-CN"/>
              </w:rPr>
            </w:pPr>
            <w:r>
              <w:rPr>
                <w:rFonts w:hint="default" w:ascii="Times New Roman" w:hAnsi="Times New Roman" w:eastAsia="宋体" w:cs="Times New Roman"/>
                <w:i w:val="0"/>
                <w:color w:val="000000"/>
                <w:kern w:val="0"/>
                <w:sz w:val="21"/>
                <w:szCs w:val="21"/>
                <w:u w:val="none"/>
                <w:lang w:val="en-US" w:eastAsia="zh-CN" w:bidi="ar"/>
              </w:rPr>
              <w:t xml:space="preserve">0.333 </w:t>
            </w:r>
          </w:p>
        </w:tc>
        <w:tc>
          <w:tcPr>
            <w:tcW w:w="1183"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1.0</w:t>
            </w:r>
          </w:p>
        </w:tc>
        <w:tc>
          <w:tcPr>
            <w:tcW w:w="1176"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623" w:hRule="exact"/>
          <w:jc w:val="center"/>
        </w:trPr>
        <w:tc>
          <w:tcPr>
            <w:tcW w:w="1446"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化学需氧量（mg/L）</w:t>
            </w:r>
          </w:p>
        </w:tc>
        <w:tc>
          <w:tcPr>
            <w:tcW w:w="166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24</w:t>
            </w:r>
          </w:p>
        </w:tc>
        <w:tc>
          <w:tcPr>
            <w:tcW w:w="165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24</w:t>
            </w:r>
          </w:p>
        </w:tc>
        <w:tc>
          <w:tcPr>
            <w:tcW w:w="170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21</w:t>
            </w:r>
          </w:p>
        </w:tc>
        <w:tc>
          <w:tcPr>
            <w:tcW w:w="1179" w:type="dxa"/>
            <w:vAlign w:val="center"/>
          </w:tcPr>
          <w:p>
            <w:pPr>
              <w:keepNext w:val="0"/>
              <w:keepLines w:val="0"/>
              <w:widowControl/>
              <w:suppressLineNumbers w:val="0"/>
              <w:jc w:val="center"/>
              <w:textAlignment w:val="center"/>
              <w:rPr>
                <w:rFonts w:hint="default" w:ascii="Times New Roman" w:hAnsi="Times New Roman" w:cs="Times New Roman"/>
                <w:bCs/>
                <w:sz w:val="21"/>
                <w:szCs w:val="21"/>
                <w:vertAlign w:val="baseline"/>
                <w:lang w:val="en-US" w:eastAsia="zh-CN" w:bidi="ar-SA"/>
              </w:rPr>
            </w:pPr>
            <w:r>
              <w:rPr>
                <w:rFonts w:hint="default" w:ascii="Times New Roman" w:hAnsi="Times New Roman" w:eastAsia="宋体" w:cs="Times New Roman"/>
                <w:i w:val="0"/>
                <w:color w:val="000000"/>
                <w:kern w:val="0"/>
                <w:sz w:val="21"/>
                <w:szCs w:val="21"/>
                <w:u w:val="none"/>
                <w:lang w:val="en-US" w:eastAsia="zh-CN" w:bidi="ar"/>
              </w:rPr>
              <w:t>23</w:t>
            </w:r>
          </w:p>
        </w:tc>
        <w:tc>
          <w:tcPr>
            <w:tcW w:w="1183"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bidi="ar-SA"/>
              </w:rPr>
            </w:pPr>
            <w:r>
              <w:rPr>
                <w:rFonts w:hint="eastAsia" w:ascii="Times New Roman" w:hAnsi="Times New Roman" w:cs="Times New Roman"/>
                <w:bCs/>
                <w:sz w:val="21"/>
                <w:szCs w:val="21"/>
                <w:vertAlign w:val="baseline"/>
                <w:lang w:val="en-US" w:eastAsia="zh-CN" w:bidi="ar-SA"/>
              </w:rPr>
              <w:t>20</w:t>
            </w:r>
          </w:p>
        </w:tc>
        <w:tc>
          <w:tcPr>
            <w:tcW w:w="1176"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bidi="ar-SA"/>
              </w:rPr>
            </w:pPr>
            <w:r>
              <w:rPr>
                <w:rFonts w:hint="eastAsia" w:ascii="Times New Roman" w:hAnsi="Times New Roman" w:cs="Times New Roman"/>
                <w:bCs/>
                <w:sz w:val="21"/>
                <w:szCs w:val="21"/>
                <w:vertAlign w:val="baseline"/>
                <w:lang w:val="en-US" w:eastAsia="zh-CN" w:bidi="ar-SA"/>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623" w:hRule="exact"/>
          <w:jc w:val="center"/>
        </w:trPr>
        <w:tc>
          <w:tcPr>
            <w:tcW w:w="1446"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eastAsiaTheme="minorEastAsia"/>
                <w:color w:val="auto"/>
                <w:sz w:val="21"/>
                <w:szCs w:val="21"/>
                <w:vertAlign w:val="subscript"/>
                <w:lang w:eastAsia="zh-CN"/>
              </w:rPr>
            </w:pPr>
            <w:r>
              <w:rPr>
                <w:rFonts w:hint="default" w:ascii="Times New Roman" w:hAnsi="Times New Roman" w:cs="Times New Roman" w:eastAsiaTheme="minorEastAsia"/>
                <w:color w:val="auto"/>
                <w:sz w:val="21"/>
                <w:szCs w:val="21"/>
                <w:lang w:eastAsia="zh-CN"/>
              </w:rPr>
              <w:t>BOD</w:t>
            </w:r>
            <w:r>
              <w:rPr>
                <w:rFonts w:hint="default" w:ascii="Times New Roman" w:hAnsi="Times New Roman" w:cs="Times New Roman" w:eastAsiaTheme="minorEastAsia"/>
                <w:color w:val="auto"/>
                <w:sz w:val="21"/>
                <w:szCs w:val="21"/>
                <w:vertAlign w:val="subscript"/>
                <w:lang w:eastAsia="zh-CN"/>
              </w:rPr>
              <w:t>5</w:t>
            </w:r>
          </w:p>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（mg/L）</w:t>
            </w:r>
          </w:p>
        </w:tc>
        <w:tc>
          <w:tcPr>
            <w:tcW w:w="1663" w:type="dxa"/>
            <w:vAlign w:val="center"/>
          </w:tcPr>
          <w:p>
            <w:pPr>
              <w:widowControl/>
              <w:jc w:val="center"/>
              <w:textAlignment w:val="center"/>
              <w:rPr>
                <w:rFonts w:hint="default" w:ascii="Times New Roman" w:hAnsi="Times New Roman" w:eastAsia="宋体" w:cs="Times New Roman"/>
                <w:bCs/>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t>7.2</w:t>
            </w:r>
          </w:p>
        </w:tc>
        <w:tc>
          <w:tcPr>
            <w:tcW w:w="1650" w:type="dxa"/>
            <w:vAlign w:val="center"/>
          </w:tcPr>
          <w:p>
            <w:pPr>
              <w:widowControl/>
              <w:jc w:val="center"/>
              <w:textAlignment w:val="center"/>
              <w:rPr>
                <w:rFonts w:hint="default" w:ascii="Times New Roman" w:hAnsi="Times New Roman" w:eastAsia="宋体" w:cs="Times New Roman"/>
                <w:bCs/>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t>6.1</w:t>
            </w:r>
          </w:p>
        </w:tc>
        <w:tc>
          <w:tcPr>
            <w:tcW w:w="1700" w:type="dxa"/>
            <w:vAlign w:val="center"/>
          </w:tcPr>
          <w:p>
            <w:pPr>
              <w:widowControl/>
              <w:jc w:val="center"/>
              <w:textAlignment w:val="center"/>
              <w:rPr>
                <w:rFonts w:hint="default" w:ascii="Times New Roman" w:hAnsi="Times New Roman" w:eastAsia="宋体" w:cs="Times New Roman"/>
                <w:bCs/>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t>7.0</w:t>
            </w:r>
          </w:p>
        </w:tc>
        <w:tc>
          <w:tcPr>
            <w:tcW w:w="1179" w:type="dxa"/>
            <w:vAlign w:val="center"/>
          </w:tcPr>
          <w:p>
            <w:pPr>
              <w:keepNext w:val="0"/>
              <w:keepLines w:val="0"/>
              <w:widowControl/>
              <w:suppressLineNumbers w:val="0"/>
              <w:jc w:val="center"/>
              <w:textAlignment w:val="center"/>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i w:val="0"/>
                <w:color w:val="000000"/>
                <w:kern w:val="0"/>
                <w:sz w:val="21"/>
                <w:szCs w:val="21"/>
                <w:u w:val="none"/>
                <w:lang w:val="en-US" w:eastAsia="zh-CN" w:bidi="ar"/>
              </w:rPr>
              <w:t xml:space="preserve">7 </w:t>
            </w:r>
          </w:p>
        </w:tc>
        <w:tc>
          <w:tcPr>
            <w:tcW w:w="1183" w:type="dxa"/>
            <w:gridSpan w:val="2"/>
            <w:vAlign w:val="center"/>
          </w:tcPr>
          <w:p>
            <w:pPr>
              <w:widowControl/>
              <w:jc w:val="center"/>
              <w:textAlignment w:val="center"/>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vertAlign w:val="baseline"/>
                <w:lang w:val="en-US" w:eastAsia="zh-CN"/>
                <w14:textFill>
                  <w14:solidFill>
                    <w14:schemeClr w14:val="tx1"/>
                  </w14:solidFill>
                </w14:textFill>
              </w:rPr>
              <w:t>4</w:t>
            </w:r>
          </w:p>
        </w:tc>
        <w:tc>
          <w:tcPr>
            <w:tcW w:w="1176" w:type="dxa"/>
            <w:vAlign w:val="center"/>
          </w:tcPr>
          <w:p>
            <w:pPr>
              <w:widowControl/>
              <w:jc w:val="center"/>
              <w:textAlignment w:val="center"/>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Cs/>
                <w:sz w:val="21"/>
                <w:szCs w:val="21"/>
                <w:vertAlign w:val="baseline"/>
                <w:lang w:val="en-US" w:eastAsia="zh-CN" w:bidi="ar-SA"/>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688" w:hRule="exact"/>
          <w:jc w:val="center"/>
        </w:trPr>
        <w:tc>
          <w:tcPr>
            <w:tcW w:w="1446"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石油类</w:t>
            </w:r>
          </w:p>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(mg/L)</w:t>
            </w:r>
          </w:p>
        </w:tc>
        <w:tc>
          <w:tcPr>
            <w:tcW w:w="166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0.34</w:t>
            </w:r>
          </w:p>
        </w:tc>
        <w:tc>
          <w:tcPr>
            <w:tcW w:w="165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0.31</w:t>
            </w:r>
          </w:p>
        </w:tc>
        <w:tc>
          <w:tcPr>
            <w:tcW w:w="170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0.37</w:t>
            </w:r>
          </w:p>
        </w:tc>
        <w:tc>
          <w:tcPr>
            <w:tcW w:w="1179" w:type="dxa"/>
            <w:vAlign w:val="center"/>
          </w:tcPr>
          <w:p>
            <w:pPr>
              <w:keepNext w:val="0"/>
              <w:keepLines w:val="0"/>
              <w:widowControl/>
              <w:suppressLineNumbers w:val="0"/>
              <w:jc w:val="center"/>
              <w:textAlignment w:val="center"/>
              <w:rPr>
                <w:rFonts w:hint="default" w:ascii="Times New Roman" w:hAnsi="Times New Roman" w:cs="Times New Roman"/>
                <w:bCs/>
                <w:sz w:val="21"/>
                <w:szCs w:val="21"/>
                <w:vertAlign w:val="baseline"/>
                <w:lang w:val="en-US" w:eastAsia="zh-CN"/>
              </w:rPr>
            </w:pPr>
            <w:r>
              <w:rPr>
                <w:rFonts w:hint="default" w:ascii="Times New Roman" w:hAnsi="Times New Roman" w:eastAsia="宋体" w:cs="Times New Roman"/>
                <w:i w:val="0"/>
                <w:color w:val="000000"/>
                <w:kern w:val="0"/>
                <w:sz w:val="21"/>
                <w:szCs w:val="21"/>
                <w:u w:val="none"/>
                <w:lang w:val="en-US" w:eastAsia="zh-CN" w:bidi="ar"/>
              </w:rPr>
              <w:t>0.34</w:t>
            </w:r>
          </w:p>
        </w:tc>
        <w:tc>
          <w:tcPr>
            <w:tcW w:w="1183"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0.05</w:t>
            </w:r>
          </w:p>
        </w:tc>
        <w:tc>
          <w:tcPr>
            <w:tcW w:w="11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bidi="ar-SA"/>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688" w:hRule="exact"/>
          <w:jc w:val="center"/>
        </w:trPr>
        <w:tc>
          <w:tcPr>
            <w:tcW w:w="9997" w:type="dxa"/>
            <w:gridSpan w:val="8"/>
            <w:vAlign w:val="top"/>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both"/>
              <w:textAlignment w:val="auto"/>
              <w:rPr>
                <w:rFonts w:hint="default" w:ascii="Times New Roman" w:hAnsi="Times New Roman"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《地表水环境质量标准》（GB 3838-2002）</w:t>
            </w:r>
            <w:r>
              <w:rPr>
                <w:rFonts w:hint="eastAsia" w:ascii="宋体" w:hAnsi="宋体" w:eastAsia="宋体" w:cs="宋体"/>
                <w:bCs/>
                <w:sz w:val="21"/>
                <w:szCs w:val="21"/>
                <w:vertAlign w:val="baseline"/>
                <w:lang w:val="en-US" w:eastAsia="zh-CN"/>
              </w:rPr>
              <w:t>Ⅲ</w:t>
            </w:r>
            <w:r>
              <w:rPr>
                <w:rFonts w:hint="eastAsia" w:ascii="Times New Roman" w:hAnsi="Times New Roman" w:cs="Times New Roman"/>
                <w:bCs/>
                <w:sz w:val="21"/>
                <w:szCs w:val="21"/>
                <w:vertAlign w:val="baseline"/>
                <w:lang w:val="en-US" w:eastAsia="zh-CN"/>
              </w:rPr>
              <w:t>类水标准</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从以上监测结果可看出五日生化需氧量和化学需氧量监测结果已超《地表水环境质量标准》（GB 3838-2002）Ⅲ类水标准，超标倍数分别为0.75和0.15；其余指标均达到《地表水环境质量标准》（GB 3838-2002）Ⅲ类水标准。从本工程环评报告上可知氨氮、化学需氧量、五日生化需氧量超标倍数分别为0.19、1.03、0.80，由此可以看出本工程验收期间麦架河水质较本工程环评期间有所好转。</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1"/>
        <w:rPr>
          <w:rFonts w:hint="eastAsia" w:ascii="Times New Roman" w:hAnsi="Times New Roman" w:eastAsia="宋体" w:cs="Times New Roman"/>
          <w:sz w:val="24"/>
          <w:szCs w:val="24"/>
          <w:lang w:val="en-US" w:eastAsia="zh-CN"/>
        </w:rPr>
      </w:pPr>
      <w:bookmarkStart w:id="64" w:name="_Toc27720"/>
      <w:r>
        <w:rPr>
          <w:rFonts w:hint="eastAsia" w:ascii="Times New Roman" w:hAnsi="Times New Roman" w:eastAsia="宋体" w:cs="Times New Roman"/>
          <w:sz w:val="24"/>
          <w:szCs w:val="24"/>
          <w:lang w:val="en-US" w:eastAsia="zh-CN"/>
        </w:rPr>
        <w:t>6.4固体废物</w:t>
      </w:r>
      <w:bookmarkEnd w:id="64"/>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本工程无收费站、服务区等，主要固废为道路清扫固废及行人丢弃的垃圾。本工程沿线已设置垃圾箱或垃圾收集池，由环卫部门统一收集运走，进行处理，因此运营期固废对环境影响很小。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0"/>
        <w:rPr>
          <w:rFonts w:hint="eastAsia" w:ascii="Times New Roman" w:hAnsi="Times New Roman" w:eastAsia="宋体" w:cs="Times New Roman"/>
          <w:b/>
          <w:bCs/>
          <w:sz w:val="24"/>
          <w:szCs w:val="24"/>
          <w:lang w:val="en-US" w:eastAsia="zh-CN"/>
        </w:rPr>
      </w:pPr>
      <w:bookmarkStart w:id="65" w:name="_Toc1614"/>
      <w:r>
        <w:rPr>
          <w:rFonts w:hint="eastAsia" w:ascii="Times New Roman" w:hAnsi="Times New Roman" w:eastAsia="宋体" w:cs="Times New Roman"/>
          <w:b/>
          <w:bCs/>
          <w:sz w:val="24"/>
          <w:szCs w:val="24"/>
          <w:lang w:val="en-US" w:eastAsia="zh-CN"/>
        </w:rPr>
        <w:t>7 环境管理与监测计划的落实</w:t>
      </w:r>
      <w:bookmarkEnd w:id="65"/>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1"/>
        <w:rPr>
          <w:rFonts w:hint="eastAsia" w:ascii="Times New Roman" w:hAnsi="Times New Roman" w:eastAsia="宋体" w:cs="Times New Roman"/>
          <w:sz w:val="24"/>
          <w:szCs w:val="24"/>
          <w:lang w:val="en-US" w:eastAsia="zh-CN"/>
        </w:rPr>
      </w:pPr>
      <w:bookmarkStart w:id="66" w:name="_Toc19000"/>
      <w:r>
        <w:rPr>
          <w:rFonts w:hint="eastAsia" w:ascii="Times New Roman" w:hAnsi="Times New Roman" w:eastAsia="宋体" w:cs="Times New Roman"/>
          <w:sz w:val="24"/>
          <w:szCs w:val="24"/>
          <w:lang w:val="en-US" w:eastAsia="zh-CN"/>
        </w:rPr>
        <w:t>7.1环境管理情况</w:t>
      </w:r>
      <w:bookmarkEnd w:id="66"/>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2"/>
        <w:rPr>
          <w:rFonts w:hint="eastAsia" w:ascii="Times New Roman" w:hAnsi="Times New Roman" w:eastAsia="宋体" w:cs="Times New Roman"/>
          <w:sz w:val="24"/>
          <w:szCs w:val="24"/>
          <w:lang w:val="en-US" w:eastAsia="zh-CN"/>
        </w:rPr>
      </w:pPr>
      <w:bookmarkStart w:id="67" w:name="_Toc29819"/>
      <w:r>
        <w:rPr>
          <w:rFonts w:hint="eastAsia" w:ascii="Times New Roman" w:hAnsi="Times New Roman" w:eastAsia="宋体" w:cs="Times New Roman"/>
          <w:sz w:val="24"/>
          <w:szCs w:val="24"/>
          <w:lang w:val="en-US" w:eastAsia="zh-CN"/>
        </w:rPr>
        <w:t>7.1.1施工期环境管理</w:t>
      </w:r>
      <w:bookmarkEnd w:id="67"/>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建设单位设置了环境管理机构；在公路建设过程中重视环境保护工作，要求承包单位、设计单位和各施工单位加强环保意识，将环保工作与工程质量挂钩，在实施中由工程监理部门不定期检查总结，</w:t>
      </w:r>
      <w:r>
        <w:rPr>
          <w:rFonts w:hint="eastAsia" w:ascii="Times New Roman" w:hAnsi="Times New Roman" w:eastAsia="宋体" w:cs="Times New Roman"/>
          <w:sz w:val="24"/>
          <w:szCs w:val="24"/>
          <w:lang w:val="en-US" w:eastAsia="zh-CN"/>
        </w:rPr>
        <w:t>严格按照环评要求的环保措施执行，</w:t>
      </w:r>
      <w:r>
        <w:rPr>
          <w:rFonts w:hint="default" w:ascii="Times New Roman" w:hAnsi="Times New Roman" w:eastAsia="宋体" w:cs="Times New Roman"/>
          <w:sz w:val="24"/>
          <w:szCs w:val="24"/>
          <w:lang w:val="en-US" w:eastAsia="zh-CN"/>
        </w:rPr>
        <w:t>确保环保工作落实到位。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2"/>
        <w:rPr>
          <w:rFonts w:hint="eastAsia" w:ascii="Times New Roman" w:hAnsi="Times New Roman" w:eastAsia="宋体" w:cs="Times New Roman"/>
          <w:sz w:val="24"/>
          <w:szCs w:val="24"/>
          <w:lang w:val="en-US" w:eastAsia="zh-CN"/>
        </w:rPr>
      </w:pPr>
      <w:bookmarkStart w:id="68" w:name="_Toc20446"/>
      <w:r>
        <w:rPr>
          <w:rFonts w:hint="eastAsia" w:ascii="Times New Roman" w:hAnsi="Times New Roman" w:eastAsia="宋体" w:cs="Times New Roman"/>
          <w:sz w:val="24"/>
          <w:szCs w:val="24"/>
          <w:lang w:val="en-US" w:eastAsia="zh-CN"/>
        </w:rPr>
        <w:t>7.1.2运营期环境管理</w:t>
      </w:r>
      <w:bookmarkEnd w:id="68"/>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贵阳高科控股集团有限公司设置专门的环境管理部门，对环境管理相关资料进行管理，对道路沿线的环保措施进行维护与保养，对有损坏的环保措施及时维修或更换，并与环卫部门形成合作，由环卫部门清运垃圾等。</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2"/>
        <w:rPr>
          <w:rFonts w:hint="eastAsia" w:ascii="Times New Roman" w:hAnsi="Times New Roman" w:eastAsia="宋体" w:cs="Times New Roman"/>
          <w:sz w:val="24"/>
          <w:szCs w:val="24"/>
          <w:lang w:val="en-US" w:eastAsia="zh-CN"/>
        </w:rPr>
      </w:pPr>
      <w:bookmarkStart w:id="69" w:name="_Toc15009"/>
      <w:r>
        <w:rPr>
          <w:rFonts w:hint="eastAsia" w:ascii="Times New Roman" w:hAnsi="Times New Roman" w:eastAsia="宋体" w:cs="Times New Roman"/>
          <w:sz w:val="24"/>
          <w:szCs w:val="24"/>
          <w:lang w:val="en-US" w:eastAsia="zh-CN"/>
        </w:rPr>
        <w:t>7.1.3建议</w:t>
      </w:r>
      <w:bookmarkEnd w:id="69"/>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从现场调查的情况看来，项目环境保护工作取得了较好的效果，但也存在一些有必要持续改善的工作，故本次调查提出以下建议：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1、健全环境管理机构，确定专人负责环境保护工作，以保证各项环保措施长期落实。</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2、完善环境管理制度，建立环保设施日常检查、维护的专项规章制度。</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3、加强对上路车辆的检查和管理，严禁高噪声和未加盖篷布的散装物料运载车辆上路。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4、对全体职工进行环保工作方面的宣传教育，不断提高职工的环保意识。</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1"/>
        <w:rPr>
          <w:rFonts w:hint="default" w:ascii="Times New Roman" w:hAnsi="Times New Roman" w:eastAsia="宋体" w:cs="Times New Roman"/>
          <w:sz w:val="24"/>
          <w:szCs w:val="24"/>
          <w:lang w:val="en-US" w:eastAsia="zh-CN"/>
        </w:rPr>
      </w:pPr>
      <w:bookmarkStart w:id="70" w:name="_Toc8518"/>
      <w:r>
        <w:rPr>
          <w:rFonts w:hint="eastAsia" w:ascii="Times New Roman" w:hAnsi="Times New Roman" w:eastAsia="宋体" w:cs="Times New Roman"/>
          <w:sz w:val="24"/>
          <w:szCs w:val="24"/>
          <w:lang w:val="en-US" w:eastAsia="zh-CN"/>
        </w:rPr>
        <w:t>7.2监测计划的落实</w:t>
      </w:r>
      <w:bookmarkEnd w:id="70"/>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sz w:val="24"/>
          <w:szCs w:val="24"/>
          <w:lang w:val="en-US" w:eastAsia="zh-CN"/>
        </w:rPr>
        <w:sectPr>
          <w:pgSz w:w="11906" w:h="16838"/>
          <w:pgMar w:top="1440" w:right="1800" w:bottom="1440" w:left="1800" w:header="850" w:footer="992" w:gutter="0"/>
          <w:pgNumType w:fmt="decimal"/>
          <w:cols w:space="425" w:num="1"/>
          <w:docGrid w:type="lines" w:linePitch="312" w:charSpace="0"/>
        </w:sectPr>
      </w:pPr>
      <w:r>
        <w:rPr>
          <w:rFonts w:hint="eastAsia" w:ascii="Times New Roman" w:hAnsi="Times New Roman" w:eastAsia="宋体" w:cs="Times New Roman"/>
          <w:sz w:val="24"/>
          <w:szCs w:val="24"/>
          <w:lang w:val="en-US" w:eastAsia="zh-CN"/>
        </w:rPr>
        <w:t>根据贵阳高科控股集团有限公司提供的资料，结合现场调查情况，监测计划落实情况详见表7.2-1。</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表7.2-1监测计划落实情况</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9"/>
        <w:gridCol w:w="1260"/>
        <w:gridCol w:w="2324"/>
        <w:gridCol w:w="2026"/>
        <w:gridCol w:w="1743"/>
        <w:gridCol w:w="2042"/>
        <w:gridCol w:w="34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trPr>
        <w:tc>
          <w:tcPr>
            <w:tcW w:w="125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阶段</w:t>
            </w:r>
          </w:p>
        </w:tc>
        <w:tc>
          <w:tcPr>
            <w:tcW w:w="126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类别</w:t>
            </w:r>
          </w:p>
        </w:tc>
        <w:tc>
          <w:tcPr>
            <w:tcW w:w="232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监测地点</w:t>
            </w:r>
          </w:p>
        </w:tc>
        <w:tc>
          <w:tcPr>
            <w:tcW w:w="202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监测项目</w:t>
            </w:r>
          </w:p>
        </w:tc>
        <w:tc>
          <w:tcPr>
            <w:tcW w:w="174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监测频次</w:t>
            </w:r>
          </w:p>
        </w:tc>
        <w:tc>
          <w:tcPr>
            <w:tcW w:w="20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监测时间</w:t>
            </w:r>
          </w:p>
        </w:tc>
        <w:tc>
          <w:tcPr>
            <w:tcW w:w="346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5" w:hRule="atLeast"/>
        </w:trPr>
        <w:tc>
          <w:tcPr>
            <w:tcW w:w="1259"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施工期</w:t>
            </w:r>
          </w:p>
        </w:tc>
        <w:tc>
          <w:tcPr>
            <w:tcW w:w="126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环境空气</w:t>
            </w:r>
          </w:p>
        </w:tc>
        <w:tc>
          <w:tcPr>
            <w:tcW w:w="232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施工营地附近敏感点2处</w:t>
            </w:r>
          </w:p>
        </w:tc>
        <w:tc>
          <w:tcPr>
            <w:tcW w:w="202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TSP</w:t>
            </w:r>
          </w:p>
        </w:tc>
        <w:tc>
          <w:tcPr>
            <w:tcW w:w="174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2次/年或随机抽样监测</w:t>
            </w:r>
          </w:p>
        </w:tc>
        <w:tc>
          <w:tcPr>
            <w:tcW w:w="20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1天，施工时间上、下午各1次</w:t>
            </w:r>
          </w:p>
        </w:tc>
        <w:tc>
          <w:tcPr>
            <w:tcW w:w="346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未监测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3" w:hRule="atLeast"/>
        </w:trPr>
        <w:tc>
          <w:tcPr>
            <w:tcW w:w="1259"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4"/>
                <w:szCs w:val="24"/>
                <w:vertAlign w:val="baseline"/>
                <w:lang w:val="en-US" w:eastAsia="zh-CN"/>
              </w:rPr>
            </w:pPr>
          </w:p>
        </w:tc>
        <w:tc>
          <w:tcPr>
            <w:tcW w:w="126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声环境</w:t>
            </w:r>
          </w:p>
        </w:tc>
        <w:tc>
          <w:tcPr>
            <w:tcW w:w="232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村庄、学校</w:t>
            </w:r>
          </w:p>
        </w:tc>
        <w:tc>
          <w:tcPr>
            <w:tcW w:w="202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等效连续A声级</w:t>
            </w:r>
          </w:p>
        </w:tc>
        <w:tc>
          <w:tcPr>
            <w:tcW w:w="174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2天/年</w:t>
            </w:r>
          </w:p>
        </w:tc>
        <w:tc>
          <w:tcPr>
            <w:tcW w:w="20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昼间、夜间各1次</w:t>
            </w:r>
          </w:p>
        </w:tc>
        <w:tc>
          <w:tcPr>
            <w:tcW w:w="346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未监测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5" w:hRule="atLeast"/>
        </w:trPr>
        <w:tc>
          <w:tcPr>
            <w:tcW w:w="1259"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4"/>
                <w:szCs w:val="24"/>
                <w:vertAlign w:val="baseline"/>
                <w:lang w:val="en-US" w:eastAsia="zh-CN"/>
              </w:rPr>
            </w:pPr>
          </w:p>
        </w:tc>
        <w:tc>
          <w:tcPr>
            <w:tcW w:w="1260"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水环境</w:t>
            </w:r>
          </w:p>
        </w:tc>
        <w:tc>
          <w:tcPr>
            <w:tcW w:w="232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金苏大道桥下游500m</w:t>
            </w:r>
          </w:p>
        </w:tc>
        <w:tc>
          <w:tcPr>
            <w:tcW w:w="202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SS、COD、石油类、BOD</w:t>
            </w:r>
            <w:r>
              <w:rPr>
                <w:rFonts w:hint="eastAsia" w:ascii="Times New Roman" w:hAnsi="Times New Roman" w:eastAsia="宋体" w:cs="Times New Roman"/>
                <w:sz w:val="24"/>
                <w:szCs w:val="24"/>
                <w:vertAlign w:val="subscript"/>
                <w:lang w:val="en-US" w:eastAsia="zh-CN"/>
              </w:rPr>
              <w:t>5</w:t>
            </w:r>
          </w:p>
        </w:tc>
        <w:tc>
          <w:tcPr>
            <w:tcW w:w="174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施工期间，4次/年</w:t>
            </w:r>
          </w:p>
        </w:tc>
        <w:tc>
          <w:tcPr>
            <w:tcW w:w="20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采样1次，2天</w:t>
            </w:r>
          </w:p>
        </w:tc>
        <w:tc>
          <w:tcPr>
            <w:tcW w:w="346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未监测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5" w:hRule="atLeast"/>
        </w:trPr>
        <w:tc>
          <w:tcPr>
            <w:tcW w:w="1259"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4"/>
                <w:szCs w:val="24"/>
                <w:vertAlign w:val="baseline"/>
                <w:lang w:val="en-US" w:eastAsia="zh-CN"/>
              </w:rPr>
            </w:pPr>
          </w:p>
        </w:tc>
        <w:tc>
          <w:tcPr>
            <w:tcW w:w="126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4"/>
                <w:szCs w:val="24"/>
                <w:vertAlign w:val="baseline"/>
                <w:lang w:val="en-US" w:eastAsia="zh-CN"/>
              </w:rPr>
            </w:pPr>
          </w:p>
        </w:tc>
        <w:tc>
          <w:tcPr>
            <w:tcW w:w="232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董家堰水井</w:t>
            </w:r>
          </w:p>
        </w:tc>
        <w:tc>
          <w:tcPr>
            <w:tcW w:w="202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高锰酸盐指数、氨氮、总大肠菌群</w:t>
            </w:r>
          </w:p>
        </w:tc>
        <w:tc>
          <w:tcPr>
            <w:tcW w:w="174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每年随机抽查2次</w:t>
            </w:r>
          </w:p>
        </w:tc>
        <w:tc>
          <w:tcPr>
            <w:tcW w:w="20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采样1次</w:t>
            </w:r>
          </w:p>
        </w:tc>
        <w:tc>
          <w:tcPr>
            <w:tcW w:w="346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未监测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6" w:hRule="atLeast"/>
        </w:trPr>
        <w:tc>
          <w:tcPr>
            <w:tcW w:w="1259"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运营期</w:t>
            </w:r>
          </w:p>
        </w:tc>
        <w:tc>
          <w:tcPr>
            <w:tcW w:w="126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环境空气</w:t>
            </w:r>
          </w:p>
        </w:tc>
        <w:tc>
          <w:tcPr>
            <w:tcW w:w="232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4"/>
                <w:szCs w:val="24"/>
                <w:vertAlign w:val="baseline"/>
                <w:lang w:val="en-US" w:eastAsia="zh-CN" w:bidi="ar-SA"/>
              </w:rPr>
            </w:pPr>
            <w:r>
              <w:rPr>
                <w:rFonts w:hint="eastAsia" w:ascii="Times New Roman" w:hAnsi="Times New Roman" w:eastAsia="宋体" w:cs="Times New Roman"/>
                <w:sz w:val="24"/>
                <w:szCs w:val="24"/>
                <w:vertAlign w:val="baseline"/>
                <w:lang w:val="en-US" w:eastAsia="zh-CN"/>
              </w:rPr>
              <w:t>白云一中、麻堡组</w:t>
            </w:r>
          </w:p>
        </w:tc>
        <w:tc>
          <w:tcPr>
            <w:tcW w:w="202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NO</w:t>
            </w:r>
            <w:r>
              <w:rPr>
                <w:rFonts w:hint="eastAsia" w:ascii="Times New Roman" w:hAnsi="Times New Roman" w:eastAsia="宋体" w:cs="Times New Roman"/>
                <w:sz w:val="24"/>
                <w:szCs w:val="24"/>
                <w:vertAlign w:val="subscript"/>
                <w:lang w:val="en-US" w:eastAsia="zh-CN"/>
              </w:rPr>
              <w:t>2</w:t>
            </w:r>
          </w:p>
        </w:tc>
        <w:tc>
          <w:tcPr>
            <w:tcW w:w="174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vertAlign w:val="baseline"/>
                <w:lang w:val="en-US" w:eastAsia="zh-CN" w:bidi="ar-SA"/>
              </w:rPr>
            </w:pPr>
            <w:r>
              <w:rPr>
                <w:rFonts w:hint="eastAsia" w:ascii="Times New Roman" w:hAnsi="Times New Roman" w:eastAsia="宋体" w:cs="Times New Roman"/>
                <w:sz w:val="24"/>
                <w:szCs w:val="24"/>
                <w:vertAlign w:val="baseline"/>
                <w:lang w:val="en-US" w:eastAsia="zh-CN"/>
              </w:rPr>
              <w:t>2次/年（春季和冬季）</w:t>
            </w:r>
          </w:p>
        </w:tc>
        <w:tc>
          <w:tcPr>
            <w:tcW w:w="20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4"/>
                <w:szCs w:val="24"/>
                <w:vertAlign w:val="baseline"/>
                <w:lang w:val="en-US" w:eastAsia="zh-CN" w:bidi="ar-SA"/>
              </w:rPr>
            </w:pPr>
            <w:r>
              <w:rPr>
                <w:rFonts w:hint="eastAsia" w:ascii="Times New Roman" w:hAnsi="Times New Roman" w:eastAsia="宋体" w:cs="Times New Roman"/>
                <w:sz w:val="24"/>
                <w:szCs w:val="24"/>
                <w:vertAlign w:val="baseline"/>
                <w:lang w:val="en-US" w:eastAsia="zh-CN"/>
              </w:rPr>
              <w:t>3~5天/次，24小时连续监测</w:t>
            </w:r>
          </w:p>
        </w:tc>
        <w:tc>
          <w:tcPr>
            <w:tcW w:w="346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未监测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9" w:hRule="atLeast"/>
        </w:trPr>
        <w:tc>
          <w:tcPr>
            <w:tcW w:w="1259"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4"/>
                <w:szCs w:val="24"/>
                <w:vertAlign w:val="baseline"/>
                <w:lang w:val="en-US" w:eastAsia="zh-CN"/>
              </w:rPr>
            </w:pPr>
          </w:p>
        </w:tc>
        <w:tc>
          <w:tcPr>
            <w:tcW w:w="126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声环境</w:t>
            </w:r>
          </w:p>
        </w:tc>
        <w:tc>
          <w:tcPr>
            <w:tcW w:w="232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艳山红小学、贵铝生活区、麻堡组、新寨</w:t>
            </w:r>
          </w:p>
        </w:tc>
        <w:tc>
          <w:tcPr>
            <w:tcW w:w="202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4"/>
                <w:szCs w:val="24"/>
                <w:vertAlign w:val="baseline"/>
                <w:lang w:val="en-US" w:eastAsia="zh-CN" w:bidi="ar-SA"/>
              </w:rPr>
            </w:pPr>
            <w:r>
              <w:rPr>
                <w:rFonts w:hint="eastAsia" w:ascii="Times New Roman" w:hAnsi="Times New Roman" w:eastAsia="宋体" w:cs="Times New Roman"/>
                <w:sz w:val="24"/>
                <w:szCs w:val="24"/>
                <w:vertAlign w:val="baseline"/>
                <w:lang w:val="en-US" w:eastAsia="zh-CN"/>
              </w:rPr>
              <w:t>等效连续A声级</w:t>
            </w:r>
          </w:p>
        </w:tc>
        <w:tc>
          <w:tcPr>
            <w:tcW w:w="174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4"/>
                <w:szCs w:val="24"/>
                <w:vertAlign w:val="baseline"/>
                <w:lang w:val="en-US" w:eastAsia="zh-CN" w:bidi="ar-SA"/>
              </w:rPr>
            </w:pPr>
            <w:r>
              <w:rPr>
                <w:rFonts w:hint="eastAsia" w:ascii="Times New Roman" w:hAnsi="Times New Roman" w:eastAsia="宋体" w:cs="Times New Roman"/>
                <w:sz w:val="24"/>
                <w:szCs w:val="24"/>
                <w:vertAlign w:val="baseline"/>
                <w:lang w:val="en-US" w:eastAsia="zh-CN"/>
              </w:rPr>
              <w:t>1天/年</w:t>
            </w:r>
          </w:p>
        </w:tc>
        <w:tc>
          <w:tcPr>
            <w:tcW w:w="20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4"/>
                <w:szCs w:val="24"/>
                <w:vertAlign w:val="baseline"/>
                <w:lang w:val="en-US" w:eastAsia="zh-CN" w:bidi="ar-SA"/>
              </w:rPr>
            </w:pPr>
            <w:r>
              <w:rPr>
                <w:rFonts w:hint="eastAsia" w:ascii="Times New Roman" w:hAnsi="Times New Roman" w:eastAsia="宋体" w:cs="Times New Roman"/>
                <w:sz w:val="24"/>
                <w:szCs w:val="24"/>
                <w:vertAlign w:val="baseline"/>
                <w:lang w:val="en-US" w:eastAsia="zh-CN"/>
              </w:rPr>
              <w:t>昼间、夜间各1次</w:t>
            </w:r>
          </w:p>
        </w:tc>
        <w:tc>
          <w:tcPr>
            <w:tcW w:w="346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vertAlign w:val="baseline"/>
                <w:lang w:val="en-US" w:eastAsia="zh-CN" w:bidi="ar-SA"/>
              </w:rPr>
            </w:pPr>
            <w:r>
              <w:rPr>
                <w:rFonts w:hint="eastAsia" w:ascii="Times New Roman" w:hAnsi="Times New Roman" w:eastAsia="宋体" w:cs="Times New Roman"/>
                <w:sz w:val="24"/>
                <w:szCs w:val="24"/>
                <w:vertAlign w:val="baseline"/>
                <w:lang w:val="en-US" w:eastAsia="zh-CN"/>
              </w:rPr>
              <w:t>未监测（新寨已完成搬迁）</w:t>
            </w:r>
          </w:p>
        </w:tc>
      </w:tr>
    </w:tbl>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sz w:val="24"/>
          <w:szCs w:val="24"/>
          <w:lang w:val="en-US" w:eastAsia="zh-CN"/>
        </w:rPr>
        <w:sectPr>
          <w:pgSz w:w="16838" w:h="11906" w:orient="landscape"/>
          <w:pgMar w:top="1800" w:right="1440" w:bottom="1800" w:left="1440" w:header="850" w:footer="992" w:gutter="0"/>
          <w:pgNumType w:fmt="decimal"/>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经过走访，本工程环评所列环境监测计划虽未得到完全实施，但由于施工期和运营期建设单位均严格按照环境管理程序执行，完善相关环保措施，均未有扰民、投诉等现象发生。</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为了解本工程项目运营期道路沿线噪声、环境空气、地表水等现状情况，贵州明德工程咨询有限公司于2020年07月6日~2020年07月12日对本工程项目进行现场监测，监测报告详见附件三。</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outlineLvl w:val="0"/>
        <w:rPr>
          <w:rFonts w:hint="eastAsia" w:ascii="Times New Roman" w:hAnsi="Times New Roman" w:eastAsia="宋体" w:cs="Times New Roman"/>
          <w:b/>
          <w:bCs/>
          <w:sz w:val="24"/>
          <w:szCs w:val="24"/>
          <w:lang w:val="en-US" w:eastAsia="zh-CN"/>
        </w:rPr>
      </w:pPr>
      <w:bookmarkStart w:id="71" w:name="_Toc24447"/>
      <w:r>
        <w:rPr>
          <w:rFonts w:hint="eastAsia" w:ascii="Times New Roman" w:hAnsi="Times New Roman" w:eastAsia="宋体" w:cs="Times New Roman"/>
          <w:b/>
          <w:bCs/>
          <w:sz w:val="24"/>
          <w:szCs w:val="24"/>
          <w:lang w:val="en-US" w:eastAsia="zh-CN"/>
        </w:rPr>
        <w:t>8 公众意见调查</w:t>
      </w:r>
      <w:bookmarkEnd w:id="71"/>
    </w:p>
    <w:p>
      <w:pPr>
        <w:keepNext w:val="0"/>
        <w:keepLines w:val="0"/>
        <w:pageBreakBefore w:val="0"/>
        <w:widowControl w:val="0"/>
        <w:kinsoku/>
        <w:wordWrap/>
        <w:overflowPunct/>
        <w:topLinePunct w:val="0"/>
        <w:autoSpaceDE/>
        <w:autoSpaceDN/>
        <w:bidi w:val="0"/>
        <w:adjustRightInd/>
        <w:snapToGrid/>
        <w:spacing w:line="360" w:lineRule="auto"/>
        <w:jc w:val="left"/>
        <w:textAlignment w:val="auto"/>
        <w:outlineLvl w:val="1"/>
        <w:rPr>
          <w:rFonts w:hint="eastAsia" w:ascii="Times New Roman" w:hAnsi="Times New Roman" w:eastAsia="宋体" w:cs="Times New Roman"/>
          <w:sz w:val="24"/>
          <w:szCs w:val="24"/>
          <w:lang w:val="en-US" w:eastAsia="zh-CN"/>
        </w:rPr>
      </w:pPr>
      <w:bookmarkStart w:id="72" w:name="_Toc22922"/>
      <w:r>
        <w:rPr>
          <w:rFonts w:hint="eastAsia" w:ascii="Times New Roman" w:hAnsi="Times New Roman" w:eastAsia="宋体" w:cs="Times New Roman"/>
          <w:sz w:val="24"/>
          <w:szCs w:val="24"/>
          <w:lang w:val="en-US" w:eastAsia="zh-CN"/>
        </w:rPr>
        <w:t>8.1调查的目的、对象、方法</w:t>
      </w:r>
      <w:bookmarkEnd w:id="72"/>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2"/>
        <w:rPr>
          <w:rFonts w:hint="default" w:ascii="Times New Roman" w:hAnsi="Times New Roman" w:eastAsia="宋体" w:cs="Times New Roman"/>
          <w:sz w:val="24"/>
          <w:szCs w:val="24"/>
          <w:lang w:val="en-US" w:eastAsia="zh-CN"/>
        </w:rPr>
      </w:pPr>
      <w:bookmarkStart w:id="73" w:name="_Toc27578"/>
      <w:r>
        <w:rPr>
          <w:rFonts w:hint="eastAsia" w:ascii="Times New Roman" w:hAnsi="Times New Roman" w:eastAsia="宋体" w:cs="Times New Roman"/>
          <w:sz w:val="24"/>
          <w:szCs w:val="24"/>
          <w:lang w:val="en-US" w:eastAsia="zh-CN"/>
        </w:rPr>
        <w:t>8.1.1调查的目的</w:t>
      </w:r>
      <w:bookmarkEnd w:id="73"/>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通过对公众意见调查，了解本工程影响区域公众、途经人员和沿线有关行政管理部门的意见和要求，以核查设计、环评及批复中提出的环保措施落实情况，必要时为改进已有环保措施和提出补救措施提供有效途径。</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2"/>
        <w:rPr>
          <w:rFonts w:hint="eastAsia" w:ascii="Times New Roman" w:hAnsi="Times New Roman" w:eastAsia="宋体" w:cs="Times New Roman"/>
          <w:sz w:val="24"/>
          <w:szCs w:val="24"/>
          <w:lang w:val="en-US" w:eastAsia="zh-CN"/>
        </w:rPr>
      </w:pPr>
      <w:bookmarkStart w:id="74" w:name="_Toc6374"/>
      <w:r>
        <w:rPr>
          <w:rFonts w:hint="eastAsia" w:ascii="Times New Roman" w:hAnsi="Times New Roman" w:eastAsia="宋体" w:cs="Times New Roman"/>
          <w:sz w:val="24"/>
          <w:szCs w:val="24"/>
          <w:lang w:val="en-US" w:eastAsia="zh-CN"/>
        </w:rPr>
        <w:t>8.1.2调查的对象</w:t>
      </w:r>
      <w:bookmarkEnd w:id="74"/>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本次公众意见调查主要在公路沿线的影响区域内进行，调查对象为直接受影响的公众个人、公路上来往的司乘人员。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2"/>
        <w:rPr>
          <w:rFonts w:hint="eastAsia" w:ascii="Times New Roman" w:hAnsi="Times New Roman" w:eastAsia="宋体" w:cs="Times New Roman"/>
          <w:sz w:val="24"/>
          <w:szCs w:val="24"/>
          <w:lang w:val="en-US" w:eastAsia="zh-CN"/>
        </w:rPr>
      </w:pPr>
      <w:bookmarkStart w:id="75" w:name="_Toc30750"/>
      <w:r>
        <w:rPr>
          <w:rFonts w:hint="eastAsia" w:ascii="Times New Roman" w:hAnsi="Times New Roman" w:eastAsia="宋体" w:cs="Times New Roman"/>
          <w:sz w:val="24"/>
          <w:szCs w:val="24"/>
          <w:lang w:val="en-US" w:eastAsia="zh-CN"/>
        </w:rPr>
        <w:t>8.1.3调查的方式</w:t>
      </w:r>
      <w:bookmarkEnd w:id="75"/>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本次</w:t>
      </w:r>
      <w:r>
        <w:rPr>
          <w:rFonts w:hint="default" w:ascii="Times New Roman" w:hAnsi="Times New Roman" w:eastAsia="宋体" w:cs="Times New Roman"/>
          <w:sz w:val="24"/>
          <w:szCs w:val="24"/>
          <w:lang w:val="en-US" w:eastAsia="zh-CN"/>
        </w:rPr>
        <w:t>公众意见调查采取</w:t>
      </w:r>
      <w:r>
        <w:rPr>
          <w:rFonts w:hint="eastAsia" w:ascii="Times New Roman" w:hAnsi="Times New Roman" w:eastAsia="宋体" w:cs="Times New Roman"/>
          <w:sz w:val="24"/>
          <w:szCs w:val="24"/>
          <w:lang w:val="en-US" w:eastAsia="zh-CN"/>
        </w:rPr>
        <w:t>以下两种</w:t>
      </w:r>
      <w:r>
        <w:rPr>
          <w:rFonts w:hint="default" w:ascii="Times New Roman" w:hAnsi="Times New Roman" w:eastAsia="宋体" w:cs="Times New Roman"/>
          <w:sz w:val="24"/>
          <w:szCs w:val="24"/>
          <w:lang w:val="en-US" w:eastAsia="zh-CN"/>
        </w:rPr>
        <w:t>方法：</w:t>
      </w:r>
    </w:p>
    <w:p>
      <w:pPr>
        <w:keepNext w:val="0"/>
        <w:keepLines w:val="0"/>
        <w:pageBreakBefore w:val="0"/>
        <w:widowControl w:val="0"/>
        <w:numPr>
          <w:ilvl w:val="0"/>
          <w:numId w:val="31"/>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咨询询问调查方式，重点对公路沿线直接受影响的居民</w:t>
      </w:r>
      <w:r>
        <w:rPr>
          <w:rFonts w:hint="eastAsia" w:ascii="Times New Roman" w:hAnsi="Times New Roman" w:eastAsia="宋体" w:cs="Times New Roman"/>
          <w:sz w:val="24"/>
          <w:szCs w:val="24"/>
          <w:lang w:val="en-US" w:eastAsia="zh-CN"/>
        </w:rPr>
        <w:t>及司乘人员</w:t>
      </w:r>
      <w:r>
        <w:rPr>
          <w:rFonts w:hint="default" w:ascii="Times New Roman" w:hAnsi="Times New Roman" w:eastAsia="宋体" w:cs="Times New Roman"/>
          <w:sz w:val="24"/>
          <w:szCs w:val="24"/>
          <w:lang w:val="en-US" w:eastAsia="zh-CN"/>
        </w:rPr>
        <w:t>以访问的形式进行调查；</w:t>
      </w:r>
    </w:p>
    <w:p>
      <w:pPr>
        <w:keepNext w:val="0"/>
        <w:keepLines w:val="0"/>
        <w:pageBreakBefore w:val="0"/>
        <w:widowControl w:val="0"/>
        <w:numPr>
          <w:ilvl w:val="0"/>
          <w:numId w:val="31"/>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咨询当地有关行政主管部门，了解工程施工期和试运营期对敏感目标的影响程度及有无环保投诉情况。</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1"/>
        <w:rPr>
          <w:rFonts w:hint="default" w:ascii="Times New Roman" w:hAnsi="Times New Roman" w:eastAsia="宋体" w:cs="Times New Roman"/>
          <w:sz w:val="24"/>
          <w:szCs w:val="24"/>
          <w:lang w:val="en-US" w:eastAsia="zh-CN"/>
        </w:rPr>
      </w:pPr>
      <w:bookmarkStart w:id="76" w:name="_Toc12398"/>
      <w:r>
        <w:rPr>
          <w:rFonts w:hint="eastAsia" w:ascii="Times New Roman" w:hAnsi="Times New Roman" w:eastAsia="宋体" w:cs="Times New Roman"/>
          <w:sz w:val="24"/>
          <w:szCs w:val="24"/>
          <w:lang w:val="en-US" w:eastAsia="zh-CN"/>
        </w:rPr>
        <w:t>8.2调查结果</w:t>
      </w:r>
      <w:bookmarkEnd w:id="76"/>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2"/>
        <w:rPr>
          <w:rFonts w:hint="default" w:ascii="Times New Roman" w:hAnsi="Times New Roman" w:eastAsia="宋体" w:cs="Times New Roman"/>
          <w:sz w:val="24"/>
          <w:szCs w:val="24"/>
          <w:lang w:val="en-US" w:eastAsia="zh-CN"/>
        </w:rPr>
      </w:pPr>
      <w:bookmarkStart w:id="77" w:name="_Toc9986"/>
      <w:r>
        <w:rPr>
          <w:rFonts w:hint="eastAsia" w:ascii="Times New Roman" w:hAnsi="Times New Roman" w:eastAsia="宋体" w:cs="Times New Roman"/>
          <w:sz w:val="24"/>
          <w:szCs w:val="24"/>
          <w:lang w:val="en-US" w:eastAsia="zh-CN"/>
        </w:rPr>
        <w:t>8.2.1司乘人员</w:t>
      </w:r>
      <w:bookmarkEnd w:id="77"/>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本次调查询问司乘人员50人，调查对象组成结构见表8.2.1-1.</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lang w:val="en-US" w:eastAsia="zh-CN"/>
        </w:rPr>
        <w:t>表8.2.1-1司乘人员调查对象组成</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2130"/>
        <w:gridCol w:w="2131"/>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tblHeader/>
        </w:trPr>
        <w:tc>
          <w:tcPr>
            <w:tcW w:w="4260"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sz w:val="24"/>
                <w:szCs w:val="24"/>
                <w:vertAlign w:val="baseline"/>
                <w:lang w:val="en-US" w:eastAsia="zh-CN"/>
              </w:rPr>
            </w:pPr>
            <w:r>
              <w:rPr>
                <w:rFonts w:hint="default" w:ascii="Times New Roman" w:hAnsi="Times New Roman" w:eastAsia="宋体" w:cs="Times New Roman"/>
                <w:b/>
                <w:bCs/>
                <w:sz w:val="24"/>
                <w:szCs w:val="24"/>
                <w:vertAlign w:val="baseline"/>
                <w:lang w:val="en-US" w:eastAsia="zh-CN"/>
              </w:rPr>
              <w:t>组成结构</w:t>
            </w: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sz w:val="24"/>
                <w:szCs w:val="24"/>
                <w:vertAlign w:val="baseline"/>
                <w:lang w:val="en-US" w:eastAsia="zh-CN"/>
              </w:rPr>
            </w:pPr>
            <w:r>
              <w:rPr>
                <w:rFonts w:hint="default" w:ascii="Times New Roman" w:hAnsi="Times New Roman" w:eastAsia="宋体" w:cs="Times New Roman"/>
                <w:b/>
                <w:bCs/>
                <w:sz w:val="24"/>
                <w:szCs w:val="24"/>
                <w:vertAlign w:val="baseline"/>
                <w:lang w:val="en-US" w:eastAsia="zh-CN"/>
              </w:rPr>
              <w:t>人数（人）</w:t>
            </w: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sz w:val="24"/>
                <w:szCs w:val="24"/>
                <w:vertAlign w:val="baseline"/>
                <w:lang w:val="en-US" w:eastAsia="zh-CN"/>
              </w:rPr>
            </w:pPr>
            <w:r>
              <w:rPr>
                <w:rFonts w:hint="default" w:ascii="Times New Roman" w:hAnsi="Times New Roman" w:eastAsia="宋体" w:cs="Times New Roman"/>
                <w:b/>
                <w:bCs/>
                <w:sz w:val="24"/>
                <w:szCs w:val="24"/>
                <w:vertAlign w:val="baseline"/>
                <w:lang w:val="en-US" w:eastAsia="zh-CN"/>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2130"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sz w:val="24"/>
                <w:szCs w:val="24"/>
                <w:vertAlign w:val="baseline"/>
                <w:lang w:val="en-US" w:eastAsia="zh-CN"/>
              </w:rPr>
              <w:t>性别</w:t>
            </w:r>
          </w:p>
        </w:tc>
        <w:tc>
          <w:tcPr>
            <w:tcW w:w="2130"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sz w:val="24"/>
                <w:szCs w:val="24"/>
                <w:vertAlign w:val="baseline"/>
                <w:lang w:val="en-US" w:eastAsia="zh-CN"/>
              </w:rPr>
              <w:t>男</w:t>
            </w: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32</w:t>
            </w: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213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p>
        </w:tc>
        <w:tc>
          <w:tcPr>
            <w:tcW w:w="2130"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sz w:val="24"/>
                <w:szCs w:val="24"/>
                <w:vertAlign w:val="baseline"/>
                <w:lang w:val="en-US" w:eastAsia="zh-CN"/>
              </w:rPr>
              <w:t>女</w:t>
            </w: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18</w:t>
            </w: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2130"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sz w:val="24"/>
                <w:szCs w:val="24"/>
                <w:vertAlign w:val="baseline"/>
                <w:lang w:val="en-US" w:eastAsia="zh-CN"/>
              </w:rPr>
              <w:t>年龄</w:t>
            </w:r>
          </w:p>
        </w:tc>
        <w:tc>
          <w:tcPr>
            <w:tcW w:w="2130"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kern w:val="2"/>
                <w:sz w:val="21"/>
                <w:szCs w:val="24"/>
                <w:lang w:val="en-US" w:eastAsia="zh-CN" w:bidi="zh-CN"/>
              </w:rPr>
            </w:pPr>
            <w:r>
              <w:rPr>
                <w:rFonts w:hint="default" w:ascii="Times New Roman" w:hAnsi="Times New Roman" w:eastAsia="宋体" w:cs="Times New Roman"/>
                <w:sz w:val="21"/>
              </w:rPr>
              <w:t>30 岁以下</w:t>
            </w: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21</w:t>
            </w: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213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p>
        </w:tc>
        <w:tc>
          <w:tcPr>
            <w:tcW w:w="2130"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kern w:val="2"/>
                <w:sz w:val="21"/>
                <w:szCs w:val="24"/>
                <w:lang w:val="en-US" w:eastAsia="zh-CN" w:bidi="zh-CN"/>
              </w:rPr>
            </w:pPr>
            <w:r>
              <w:rPr>
                <w:rFonts w:hint="default" w:ascii="Times New Roman" w:hAnsi="Times New Roman" w:eastAsia="宋体" w:cs="Times New Roman"/>
                <w:sz w:val="21"/>
              </w:rPr>
              <w:t>30-39 岁</w:t>
            </w: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13</w:t>
            </w: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213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p>
        </w:tc>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kern w:val="2"/>
                <w:sz w:val="21"/>
                <w:szCs w:val="24"/>
                <w:lang w:val="en-US" w:eastAsia="zh-CN" w:bidi="zh-CN"/>
              </w:rPr>
            </w:pPr>
            <w:r>
              <w:rPr>
                <w:rFonts w:hint="default" w:ascii="Times New Roman" w:hAnsi="Times New Roman" w:eastAsia="宋体" w:cs="Times New Roman"/>
                <w:sz w:val="21"/>
              </w:rPr>
              <w:t>40 岁以上</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16</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2130"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文化程度</w:t>
            </w:r>
          </w:p>
        </w:tc>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宋体" w:cs="Times New Roman"/>
                <w:sz w:val="21"/>
                <w:lang w:eastAsia="zh-CN"/>
              </w:rPr>
            </w:pPr>
            <w:r>
              <w:rPr>
                <w:rFonts w:hint="eastAsia" w:ascii="Times New Roman" w:hAnsi="Times New Roman" w:eastAsia="宋体" w:cs="Times New Roman"/>
                <w:sz w:val="21"/>
                <w:lang w:eastAsia="zh-CN"/>
              </w:rPr>
              <w:t>小学及以下</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8</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213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p>
        </w:tc>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宋体" w:cs="Times New Roman"/>
                <w:sz w:val="21"/>
                <w:lang w:eastAsia="zh-CN"/>
              </w:rPr>
            </w:pPr>
            <w:r>
              <w:rPr>
                <w:rFonts w:hint="eastAsia" w:ascii="Times New Roman" w:hAnsi="Times New Roman" w:eastAsia="宋体" w:cs="Times New Roman"/>
                <w:sz w:val="21"/>
                <w:lang w:eastAsia="zh-CN"/>
              </w:rPr>
              <w:t>中学</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19</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213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p>
        </w:tc>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宋体" w:cs="Times New Roman"/>
                <w:sz w:val="21"/>
                <w:lang w:eastAsia="zh-CN"/>
              </w:rPr>
            </w:pPr>
            <w:r>
              <w:rPr>
                <w:rFonts w:hint="eastAsia" w:ascii="Times New Roman" w:hAnsi="Times New Roman" w:eastAsia="宋体" w:cs="Times New Roman"/>
                <w:sz w:val="21"/>
                <w:lang w:eastAsia="zh-CN"/>
              </w:rPr>
              <w:t>大学及以上</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23</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46</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从上表可以看出，本次司乘人员调查对象多为男性，文化程度大学及以上，年龄在30岁以下。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调查结果统计详见表8.2.1-2。</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表8.2.1-2司乘人员调查统计结果</w:t>
      </w:r>
    </w:p>
    <w:tbl>
      <w:tblPr>
        <w:tblStyle w:val="9"/>
        <w:tblW w:w="899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43"/>
        <w:gridCol w:w="2822"/>
        <w:gridCol w:w="1744"/>
        <w:gridCol w:w="2125"/>
        <w:gridCol w:w="166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1" w:hRule="atLeast"/>
          <w:tblHeader/>
          <w:jc w:val="center"/>
        </w:trPr>
        <w:tc>
          <w:tcPr>
            <w:tcW w:w="64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sz w:val="21"/>
              </w:rPr>
            </w:pPr>
            <w:r>
              <w:rPr>
                <w:rFonts w:hint="eastAsia" w:ascii="宋体" w:eastAsia="宋体"/>
                <w:b/>
                <w:sz w:val="21"/>
              </w:rPr>
              <w:t>序号</w:t>
            </w:r>
          </w:p>
        </w:tc>
        <w:tc>
          <w:tcPr>
            <w:tcW w:w="2822"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sz w:val="21"/>
              </w:rPr>
            </w:pPr>
            <w:r>
              <w:rPr>
                <w:rFonts w:hint="eastAsia" w:ascii="宋体" w:eastAsia="宋体"/>
                <w:b/>
                <w:sz w:val="21"/>
              </w:rPr>
              <w:t>调查内容</w:t>
            </w: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sz w:val="21"/>
              </w:rPr>
            </w:pPr>
            <w:r>
              <w:rPr>
                <w:rFonts w:hint="eastAsia" w:ascii="宋体" w:eastAsia="宋体"/>
                <w:b/>
                <w:sz w:val="21"/>
              </w:rPr>
              <w:t>态度</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sz w:val="21"/>
              </w:rPr>
            </w:pPr>
            <w:r>
              <w:rPr>
                <w:rFonts w:hint="eastAsia" w:ascii="宋体" w:eastAsia="宋体"/>
                <w:b/>
                <w:sz w:val="21"/>
              </w:rPr>
              <w:t>人数</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sz w:val="21"/>
              </w:rPr>
            </w:pPr>
            <w:r>
              <w:rPr>
                <w:rFonts w:hint="eastAsia" w:ascii="宋体" w:eastAsia="宋体"/>
                <w:b/>
                <w:sz w:val="21"/>
              </w:rPr>
              <w:t>比例（</w:t>
            </w:r>
            <w:r>
              <w:rPr>
                <w:b/>
                <w:sz w:val="21"/>
              </w:rPr>
              <w:t>%</w:t>
            </w:r>
            <w:r>
              <w:rPr>
                <w:rFonts w:hint="eastAsia" w:ascii="宋体" w:eastAsia="宋体"/>
                <w:b/>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1"/>
              </w:rPr>
            </w:pPr>
            <w:r>
              <w:rPr>
                <w:w w:val="99"/>
                <w:sz w:val="21"/>
              </w:rPr>
              <w:t>1</w:t>
            </w:r>
          </w:p>
        </w:tc>
        <w:tc>
          <w:tcPr>
            <w:tcW w:w="2822"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修建该公路是否有利于本地区的经济发展</w:t>
            </w: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有利</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48</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96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2822"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不利</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1</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2822"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不知道</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1</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1"/>
              </w:rPr>
            </w:pPr>
            <w:r>
              <w:rPr>
                <w:w w:val="99"/>
                <w:sz w:val="21"/>
              </w:rPr>
              <w:t>2</w:t>
            </w:r>
          </w:p>
        </w:tc>
        <w:tc>
          <w:tcPr>
            <w:tcW w:w="2822"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对沿线公路绿化情况的感觉</w:t>
            </w: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满意</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42</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84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2822"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基本满意</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8</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16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2822"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不满意</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0</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2822"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无所谓</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0</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1"/>
              </w:rPr>
            </w:pPr>
            <w:r>
              <w:rPr>
                <w:w w:val="99"/>
                <w:sz w:val="21"/>
              </w:rPr>
              <w:t>3</w:t>
            </w:r>
          </w:p>
        </w:tc>
        <w:tc>
          <w:tcPr>
            <w:tcW w:w="2822"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公路汽车尾气排放</w:t>
            </w: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严重</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0</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2822"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一般</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3</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2822"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不严重</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47</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94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1"/>
              </w:rPr>
            </w:pPr>
            <w:r>
              <w:rPr>
                <w:w w:val="99"/>
                <w:sz w:val="21"/>
              </w:rPr>
              <w:t>4</w:t>
            </w:r>
          </w:p>
        </w:tc>
        <w:tc>
          <w:tcPr>
            <w:tcW w:w="2822"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公路运行车辆堵塞情况</w:t>
            </w: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严重</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10</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2822"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一般</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6</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2822"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不严重</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34</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68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1"/>
              </w:rPr>
            </w:pPr>
            <w:r>
              <w:rPr>
                <w:w w:val="99"/>
                <w:sz w:val="21"/>
              </w:rPr>
              <w:t>5</w:t>
            </w:r>
          </w:p>
        </w:tc>
        <w:tc>
          <w:tcPr>
            <w:tcW w:w="2822"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公路上噪声影响的感觉情况</w:t>
            </w: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严重</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1</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2822"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一般</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13</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26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2822"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不严重</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36</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72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1"/>
              </w:rPr>
            </w:pPr>
            <w:r>
              <w:rPr>
                <w:w w:val="99"/>
                <w:sz w:val="21"/>
              </w:rPr>
              <w:t>6</w:t>
            </w:r>
          </w:p>
        </w:tc>
        <w:tc>
          <w:tcPr>
            <w:tcW w:w="2822"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局部路段是否有限速标志</w:t>
            </w: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w w:val="99"/>
                <w:sz w:val="21"/>
              </w:rPr>
              <w:t>有</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39</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78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2822"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没有</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6</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2822"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没注意</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5</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1"/>
              </w:rPr>
            </w:pPr>
            <w:r>
              <w:rPr>
                <w:w w:val="99"/>
                <w:sz w:val="21"/>
              </w:rPr>
              <w:t>7</w:t>
            </w:r>
          </w:p>
        </w:tc>
        <w:tc>
          <w:tcPr>
            <w:tcW w:w="2822"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学校或居民区附近是否有禁鸣标志</w:t>
            </w: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w w:val="99"/>
                <w:sz w:val="21"/>
              </w:rPr>
              <w:t>有</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31</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62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2822"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没有</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15</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2822"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没注意</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4</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0" w:hRule="atLeast"/>
          <w:jc w:val="center"/>
        </w:trPr>
        <w:tc>
          <w:tcPr>
            <w:tcW w:w="643"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1"/>
              </w:rPr>
            </w:pPr>
            <w:r>
              <w:rPr>
                <w:w w:val="99"/>
                <w:sz w:val="21"/>
              </w:rPr>
              <w:t>8</w:t>
            </w:r>
          </w:p>
        </w:tc>
        <w:tc>
          <w:tcPr>
            <w:tcW w:w="2822"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建议采取何种措施减轻噪声</w:t>
            </w:r>
          </w:p>
          <w:p>
            <w:pPr>
              <w:pStyle w:val="15"/>
              <w:spacing w:before="2"/>
              <w:ind w:left="106" w:leftChars="0"/>
              <w:jc w:val="center"/>
              <w:rPr>
                <w:rFonts w:hint="eastAsia" w:ascii="宋体" w:hAnsi="Times New Roman" w:eastAsia="宋体" w:cs="Times New Roman"/>
                <w:kern w:val="2"/>
                <w:sz w:val="21"/>
                <w:szCs w:val="24"/>
                <w:lang w:val="zh-CN" w:eastAsia="zh-CN" w:bidi="zh-CN"/>
              </w:rPr>
            </w:pPr>
            <w:r>
              <w:rPr>
                <w:rFonts w:hint="eastAsia" w:ascii="宋体" w:eastAsia="宋体"/>
                <w:sz w:val="21"/>
              </w:rPr>
              <w:t>影响</w:t>
            </w: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声屏障</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10</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0" w:hRule="atLeast"/>
          <w:jc w:val="center"/>
        </w:trPr>
        <w:tc>
          <w:tcPr>
            <w:tcW w:w="643"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w w:val="99"/>
                <w:sz w:val="21"/>
              </w:rPr>
            </w:pPr>
          </w:p>
        </w:tc>
        <w:tc>
          <w:tcPr>
            <w:tcW w:w="2822" w:type="dxa"/>
            <w:vMerge w:val="continue"/>
            <w:vAlign w:val="center"/>
          </w:tcPr>
          <w:p>
            <w:pPr>
              <w:pStyle w:val="15"/>
              <w:spacing w:before="2"/>
              <w:ind w:left="106" w:leftChars="0"/>
              <w:jc w:val="center"/>
              <w:rPr>
                <w:rFonts w:hint="eastAsia" w:ascii="宋体" w:hAnsi="Times New Roman" w:eastAsia="宋体" w:cs="Times New Roman"/>
                <w:kern w:val="2"/>
                <w:sz w:val="21"/>
                <w:szCs w:val="24"/>
                <w:lang w:val="zh-CN" w:eastAsia="zh-CN" w:bidi="zh-CN"/>
              </w:rPr>
            </w:pPr>
          </w:p>
        </w:tc>
        <w:tc>
          <w:tcPr>
            <w:tcW w:w="1744" w:type="dxa"/>
            <w:vAlign w:val="center"/>
          </w:tcPr>
          <w:p>
            <w:pPr>
              <w:pStyle w:val="15"/>
              <w:spacing w:before="6" w:line="258" w:lineRule="exact"/>
              <w:ind w:left="430" w:leftChars="0" w:right="422" w:rightChars="0"/>
              <w:jc w:val="center"/>
              <w:rPr>
                <w:rFonts w:hint="eastAsia" w:ascii="宋体" w:hAnsi="Times New Roman" w:eastAsia="宋体" w:cs="Times New Roman"/>
                <w:kern w:val="2"/>
                <w:sz w:val="21"/>
                <w:szCs w:val="24"/>
                <w:lang w:val="zh-CN" w:eastAsia="zh-CN" w:bidi="zh-CN"/>
              </w:rPr>
            </w:pPr>
            <w:r>
              <w:rPr>
                <w:rFonts w:hint="eastAsia" w:ascii="宋体" w:eastAsia="宋体"/>
                <w:sz w:val="21"/>
              </w:rPr>
              <w:t>绿化</w:t>
            </w:r>
          </w:p>
        </w:tc>
        <w:tc>
          <w:tcPr>
            <w:tcW w:w="2125" w:type="dxa"/>
            <w:vAlign w:val="center"/>
          </w:tcPr>
          <w:p>
            <w:pPr>
              <w:pStyle w:val="15"/>
              <w:spacing w:before="20"/>
              <w:ind w:left="832" w:leftChars="0" w:right="822" w:righ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30</w:t>
            </w:r>
          </w:p>
        </w:tc>
        <w:tc>
          <w:tcPr>
            <w:tcW w:w="1663" w:type="dxa"/>
            <w:vAlign w:val="center"/>
          </w:tcPr>
          <w:p>
            <w:pPr>
              <w:pStyle w:val="15"/>
              <w:spacing w:before="20"/>
              <w:ind w:left="285" w:leftChars="0" w:right="273" w:righ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0" w:hRule="atLeast"/>
          <w:jc w:val="center"/>
        </w:trPr>
        <w:tc>
          <w:tcPr>
            <w:tcW w:w="643"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w w:val="99"/>
                <w:sz w:val="21"/>
              </w:rPr>
            </w:pPr>
          </w:p>
        </w:tc>
        <w:tc>
          <w:tcPr>
            <w:tcW w:w="2822"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p>
        </w:tc>
        <w:tc>
          <w:tcPr>
            <w:tcW w:w="1744" w:type="dxa"/>
            <w:vAlign w:val="center"/>
          </w:tcPr>
          <w:p>
            <w:pPr>
              <w:pStyle w:val="15"/>
              <w:spacing w:before="7" w:line="258" w:lineRule="exact"/>
              <w:ind w:left="430" w:leftChars="0" w:right="422" w:rightChars="0"/>
              <w:jc w:val="center"/>
              <w:rPr>
                <w:rFonts w:hint="eastAsia" w:ascii="宋体" w:hAnsi="Times New Roman" w:eastAsia="宋体" w:cs="Times New Roman"/>
                <w:kern w:val="2"/>
                <w:sz w:val="21"/>
                <w:szCs w:val="24"/>
                <w:lang w:val="zh-CN" w:eastAsia="zh-CN" w:bidi="zh-CN"/>
              </w:rPr>
            </w:pPr>
            <w:r>
              <w:rPr>
                <w:rFonts w:hint="eastAsia" w:ascii="宋体" w:eastAsia="宋体"/>
                <w:sz w:val="21"/>
              </w:rPr>
              <w:t>拆迁</w:t>
            </w:r>
          </w:p>
        </w:tc>
        <w:tc>
          <w:tcPr>
            <w:tcW w:w="2125" w:type="dxa"/>
            <w:vAlign w:val="center"/>
          </w:tcPr>
          <w:p>
            <w:pPr>
              <w:pStyle w:val="15"/>
              <w:spacing w:before="21"/>
              <w:ind w:left="9" w:lef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10</w:t>
            </w:r>
          </w:p>
        </w:tc>
        <w:tc>
          <w:tcPr>
            <w:tcW w:w="1663" w:type="dxa"/>
            <w:vAlign w:val="center"/>
          </w:tcPr>
          <w:p>
            <w:pPr>
              <w:pStyle w:val="15"/>
              <w:spacing w:before="21"/>
              <w:ind w:left="6" w:lef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0" w:hRule="atLeast"/>
          <w:jc w:val="center"/>
        </w:trPr>
        <w:tc>
          <w:tcPr>
            <w:tcW w:w="643"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w w:val="99"/>
                <w:sz w:val="21"/>
                <w:lang w:val="en-US" w:eastAsia="zh-CN"/>
              </w:rPr>
            </w:pPr>
            <w:r>
              <w:rPr>
                <w:rFonts w:hint="eastAsia" w:eastAsia="宋体"/>
                <w:w w:val="99"/>
                <w:sz w:val="21"/>
                <w:lang w:val="en-US" w:eastAsia="zh-CN"/>
              </w:rPr>
              <w:t>9</w:t>
            </w:r>
          </w:p>
        </w:tc>
        <w:tc>
          <w:tcPr>
            <w:tcW w:w="2822" w:type="dxa"/>
            <w:vMerge w:val="restart"/>
            <w:vAlign w:val="center"/>
          </w:tcPr>
          <w:p>
            <w:pPr>
              <w:pStyle w:val="15"/>
              <w:spacing w:before="165" w:line="244" w:lineRule="auto"/>
              <w:ind w:left="106" w:leftChars="0" w:right="186" w:rightChars="0"/>
              <w:jc w:val="center"/>
              <w:rPr>
                <w:rFonts w:hint="eastAsia" w:ascii="宋体" w:hAnsi="Times New Roman" w:eastAsia="宋体" w:cs="Times New Roman"/>
                <w:kern w:val="2"/>
                <w:sz w:val="21"/>
                <w:szCs w:val="24"/>
                <w:lang w:val="zh-CN" w:eastAsia="zh-CN" w:bidi="zh-CN"/>
              </w:rPr>
            </w:pPr>
            <w:r>
              <w:rPr>
                <w:rFonts w:hint="eastAsia" w:ascii="宋体" w:eastAsia="宋体"/>
                <w:sz w:val="21"/>
              </w:rPr>
              <w:t>对公路建成后的通行情况的感觉</w:t>
            </w:r>
          </w:p>
        </w:tc>
        <w:tc>
          <w:tcPr>
            <w:tcW w:w="1744" w:type="dxa"/>
            <w:vAlign w:val="center"/>
          </w:tcPr>
          <w:p>
            <w:pPr>
              <w:pStyle w:val="15"/>
              <w:spacing w:before="7" w:line="258" w:lineRule="exact"/>
              <w:ind w:left="373" w:leftChars="0" w:right="425" w:rightChars="0"/>
              <w:jc w:val="center"/>
              <w:rPr>
                <w:rFonts w:hint="eastAsia" w:ascii="宋体" w:hAnsi="Times New Roman" w:eastAsia="宋体" w:cs="Times New Roman"/>
                <w:kern w:val="2"/>
                <w:sz w:val="21"/>
                <w:szCs w:val="24"/>
                <w:lang w:val="zh-CN" w:eastAsia="zh-CN" w:bidi="zh-CN"/>
              </w:rPr>
            </w:pPr>
            <w:r>
              <w:rPr>
                <w:rFonts w:hint="eastAsia" w:ascii="宋体" w:eastAsia="宋体"/>
                <w:sz w:val="21"/>
              </w:rPr>
              <w:t>满意</w:t>
            </w:r>
          </w:p>
        </w:tc>
        <w:tc>
          <w:tcPr>
            <w:tcW w:w="2125" w:type="dxa"/>
            <w:vAlign w:val="center"/>
          </w:tcPr>
          <w:p>
            <w:pPr>
              <w:pStyle w:val="15"/>
              <w:spacing w:before="21"/>
              <w:ind w:left="832" w:leftChars="0" w:right="822" w:righ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33</w:t>
            </w:r>
          </w:p>
        </w:tc>
        <w:tc>
          <w:tcPr>
            <w:tcW w:w="1663" w:type="dxa"/>
            <w:vAlign w:val="center"/>
          </w:tcPr>
          <w:p>
            <w:pPr>
              <w:pStyle w:val="15"/>
              <w:spacing w:before="21"/>
              <w:ind w:left="285" w:leftChars="0" w:right="273" w:righ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66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0" w:hRule="atLeast"/>
          <w:jc w:val="center"/>
        </w:trPr>
        <w:tc>
          <w:tcPr>
            <w:tcW w:w="643"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w w:val="99"/>
                <w:sz w:val="21"/>
              </w:rPr>
            </w:pPr>
          </w:p>
        </w:tc>
        <w:tc>
          <w:tcPr>
            <w:tcW w:w="2822"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p>
        </w:tc>
        <w:tc>
          <w:tcPr>
            <w:tcW w:w="0" w:type="auto"/>
            <w:vAlign w:val="center"/>
          </w:tcPr>
          <w:p>
            <w:pPr>
              <w:pStyle w:val="15"/>
              <w:spacing w:before="7" w:line="258" w:lineRule="exact"/>
              <w:ind w:left="430" w:leftChars="0" w:right="425" w:rightChars="0"/>
              <w:jc w:val="center"/>
              <w:rPr>
                <w:rFonts w:hint="eastAsia" w:ascii="宋体" w:hAnsi="Times New Roman" w:eastAsia="宋体" w:cs="Times New Roman"/>
                <w:kern w:val="2"/>
                <w:sz w:val="21"/>
                <w:szCs w:val="24"/>
                <w:lang w:val="zh-CN" w:eastAsia="zh-CN" w:bidi="zh-CN"/>
              </w:rPr>
            </w:pPr>
            <w:r>
              <w:rPr>
                <w:rFonts w:hint="eastAsia" w:ascii="宋体" w:eastAsia="宋体"/>
                <w:sz w:val="21"/>
              </w:rPr>
              <w:t>基本满意</w:t>
            </w:r>
          </w:p>
        </w:tc>
        <w:tc>
          <w:tcPr>
            <w:tcW w:w="0" w:type="auto"/>
            <w:vAlign w:val="center"/>
          </w:tcPr>
          <w:p>
            <w:pPr>
              <w:pStyle w:val="15"/>
              <w:spacing w:before="21"/>
              <w:ind w:left="9" w:lef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9</w:t>
            </w:r>
          </w:p>
        </w:tc>
        <w:tc>
          <w:tcPr>
            <w:tcW w:w="0" w:type="auto"/>
            <w:vAlign w:val="center"/>
          </w:tcPr>
          <w:p>
            <w:pPr>
              <w:pStyle w:val="15"/>
              <w:spacing w:before="21"/>
              <w:ind w:left="285" w:leftChars="0" w:right="273" w:righ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18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0" w:hRule="atLeast"/>
          <w:jc w:val="center"/>
        </w:trPr>
        <w:tc>
          <w:tcPr>
            <w:tcW w:w="643"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w w:val="99"/>
                <w:sz w:val="21"/>
              </w:rPr>
            </w:pPr>
          </w:p>
        </w:tc>
        <w:tc>
          <w:tcPr>
            <w:tcW w:w="2822"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p>
        </w:tc>
        <w:tc>
          <w:tcPr>
            <w:tcW w:w="0" w:type="auto"/>
            <w:vAlign w:val="center"/>
          </w:tcPr>
          <w:p>
            <w:pPr>
              <w:pStyle w:val="15"/>
              <w:spacing w:before="7" w:line="257" w:lineRule="exact"/>
              <w:ind w:left="430" w:leftChars="0" w:right="422" w:rightChars="0"/>
              <w:jc w:val="center"/>
              <w:rPr>
                <w:rFonts w:hint="eastAsia" w:ascii="宋体" w:hAnsi="Times New Roman" w:eastAsia="宋体" w:cs="Times New Roman"/>
                <w:kern w:val="2"/>
                <w:sz w:val="21"/>
                <w:szCs w:val="24"/>
                <w:lang w:val="zh-CN" w:eastAsia="zh-CN" w:bidi="zh-CN"/>
              </w:rPr>
            </w:pPr>
            <w:r>
              <w:rPr>
                <w:rFonts w:hint="eastAsia" w:ascii="宋体" w:eastAsia="宋体"/>
                <w:sz w:val="21"/>
              </w:rPr>
              <w:t>不满意</w:t>
            </w:r>
          </w:p>
        </w:tc>
        <w:tc>
          <w:tcPr>
            <w:tcW w:w="0" w:type="auto"/>
            <w:vAlign w:val="center"/>
          </w:tcPr>
          <w:p>
            <w:pPr>
              <w:pStyle w:val="15"/>
              <w:spacing w:before="21"/>
              <w:ind w:left="9" w:lef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8</w:t>
            </w:r>
          </w:p>
        </w:tc>
        <w:tc>
          <w:tcPr>
            <w:tcW w:w="0" w:type="auto"/>
            <w:vAlign w:val="center"/>
          </w:tcPr>
          <w:p>
            <w:pPr>
              <w:pStyle w:val="15"/>
              <w:spacing w:before="21"/>
              <w:ind w:left="6" w:lef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16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0" w:hRule="atLeast"/>
          <w:jc w:val="center"/>
        </w:trPr>
        <w:tc>
          <w:tcPr>
            <w:tcW w:w="643"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w w:val="99"/>
                <w:sz w:val="21"/>
                <w:lang w:val="en-US" w:eastAsia="zh-CN"/>
              </w:rPr>
            </w:pPr>
            <w:r>
              <w:rPr>
                <w:rFonts w:hint="eastAsia" w:eastAsia="宋体"/>
                <w:w w:val="99"/>
                <w:sz w:val="21"/>
                <w:lang w:val="en-US" w:eastAsia="zh-CN"/>
              </w:rPr>
              <w:t>10</w:t>
            </w:r>
          </w:p>
        </w:tc>
        <w:tc>
          <w:tcPr>
            <w:tcW w:w="2822" w:type="dxa"/>
            <w:vMerge w:val="restart"/>
            <w:vAlign w:val="center"/>
          </w:tcPr>
          <w:p>
            <w:pPr>
              <w:pStyle w:val="15"/>
              <w:spacing w:before="29" w:line="242" w:lineRule="auto"/>
              <w:ind w:left="106" w:leftChars="0" w:right="186" w:rightChars="0"/>
              <w:jc w:val="center"/>
              <w:rPr>
                <w:rFonts w:hint="eastAsia" w:ascii="宋体" w:hAnsi="Times New Roman" w:eastAsia="宋体" w:cs="Times New Roman"/>
                <w:kern w:val="2"/>
                <w:sz w:val="21"/>
                <w:szCs w:val="24"/>
                <w:lang w:val="zh-CN" w:eastAsia="zh-CN" w:bidi="zh-CN"/>
              </w:rPr>
            </w:pPr>
            <w:r>
              <w:rPr>
                <w:rFonts w:hint="eastAsia" w:ascii="宋体" w:eastAsia="宋体"/>
                <w:sz w:val="21"/>
              </w:rPr>
              <w:t>运输危险品时，公路管理部门和其它部门是否对您有限制或要求</w:t>
            </w:r>
          </w:p>
        </w:tc>
        <w:tc>
          <w:tcPr>
            <w:tcW w:w="0" w:type="auto"/>
            <w:vAlign w:val="center"/>
          </w:tcPr>
          <w:p>
            <w:pPr>
              <w:pStyle w:val="15"/>
              <w:spacing w:before="8" w:line="257" w:lineRule="exact"/>
              <w:ind w:left="5" w:leftChars="0"/>
              <w:jc w:val="center"/>
              <w:rPr>
                <w:rFonts w:hint="eastAsia" w:ascii="宋体" w:hAnsi="Times New Roman" w:eastAsia="宋体" w:cs="Times New Roman"/>
                <w:kern w:val="2"/>
                <w:sz w:val="21"/>
                <w:szCs w:val="24"/>
                <w:lang w:val="zh-CN" w:eastAsia="zh-CN" w:bidi="zh-CN"/>
              </w:rPr>
            </w:pPr>
            <w:r>
              <w:rPr>
                <w:rFonts w:hint="eastAsia" w:ascii="宋体" w:eastAsia="宋体"/>
                <w:w w:val="99"/>
                <w:sz w:val="21"/>
              </w:rPr>
              <w:t>有</w:t>
            </w:r>
          </w:p>
        </w:tc>
        <w:tc>
          <w:tcPr>
            <w:tcW w:w="0" w:type="auto"/>
            <w:vAlign w:val="center"/>
          </w:tcPr>
          <w:p>
            <w:pPr>
              <w:pStyle w:val="15"/>
              <w:spacing w:before="21"/>
              <w:ind w:left="832" w:leftChars="0" w:right="822" w:righ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0</w:t>
            </w:r>
          </w:p>
        </w:tc>
        <w:tc>
          <w:tcPr>
            <w:tcW w:w="0" w:type="auto"/>
            <w:vAlign w:val="center"/>
          </w:tcPr>
          <w:p>
            <w:pPr>
              <w:pStyle w:val="15"/>
              <w:spacing w:before="21"/>
              <w:ind w:left="285" w:leftChars="0" w:right="273" w:righ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0" w:hRule="atLeast"/>
          <w:jc w:val="center"/>
        </w:trPr>
        <w:tc>
          <w:tcPr>
            <w:tcW w:w="643"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w w:val="99"/>
                <w:sz w:val="21"/>
              </w:rPr>
            </w:pPr>
          </w:p>
        </w:tc>
        <w:tc>
          <w:tcPr>
            <w:tcW w:w="2822"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p>
        </w:tc>
        <w:tc>
          <w:tcPr>
            <w:tcW w:w="0" w:type="auto"/>
            <w:vAlign w:val="center"/>
          </w:tcPr>
          <w:p>
            <w:pPr>
              <w:pStyle w:val="15"/>
              <w:spacing w:before="8" w:line="257" w:lineRule="exact"/>
              <w:ind w:left="430" w:leftChars="0" w:right="422" w:rightChars="0"/>
              <w:jc w:val="center"/>
              <w:rPr>
                <w:rFonts w:hint="eastAsia" w:ascii="宋体" w:hAnsi="Times New Roman" w:eastAsia="宋体" w:cs="Times New Roman"/>
                <w:kern w:val="2"/>
                <w:sz w:val="21"/>
                <w:szCs w:val="24"/>
                <w:lang w:val="zh-CN" w:eastAsia="zh-CN" w:bidi="zh-CN"/>
              </w:rPr>
            </w:pPr>
            <w:r>
              <w:rPr>
                <w:rFonts w:hint="eastAsia" w:ascii="宋体" w:eastAsia="宋体"/>
                <w:sz w:val="21"/>
              </w:rPr>
              <w:t>没有</w:t>
            </w:r>
          </w:p>
        </w:tc>
        <w:tc>
          <w:tcPr>
            <w:tcW w:w="0" w:type="auto"/>
            <w:vAlign w:val="center"/>
          </w:tcPr>
          <w:p>
            <w:pPr>
              <w:pStyle w:val="15"/>
              <w:spacing w:before="22"/>
              <w:ind w:left="9" w:lef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0</w:t>
            </w:r>
          </w:p>
        </w:tc>
        <w:tc>
          <w:tcPr>
            <w:tcW w:w="0" w:type="auto"/>
            <w:vAlign w:val="center"/>
          </w:tcPr>
          <w:p>
            <w:pPr>
              <w:pStyle w:val="15"/>
              <w:spacing w:before="22"/>
              <w:ind w:left="6" w:lef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0" w:hRule="atLeast"/>
          <w:jc w:val="center"/>
        </w:trPr>
        <w:tc>
          <w:tcPr>
            <w:tcW w:w="643"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w w:val="99"/>
                <w:sz w:val="21"/>
              </w:rPr>
            </w:pPr>
          </w:p>
        </w:tc>
        <w:tc>
          <w:tcPr>
            <w:tcW w:w="2822"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p>
        </w:tc>
        <w:tc>
          <w:tcPr>
            <w:tcW w:w="0" w:type="auto"/>
            <w:vAlign w:val="center"/>
          </w:tcPr>
          <w:p>
            <w:pPr>
              <w:pStyle w:val="15"/>
              <w:spacing w:before="8" w:line="257" w:lineRule="exact"/>
              <w:ind w:left="430" w:leftChars="0" w:right="422" w:rightChars="0"/>
              <w:jc w:val="center"/>
              <w:rPr>
                <w:rFonts w:hint="eastAsia" w:ascii="宋体" w:hAnsi="Times New Roman" w:eastAsia="宋体" w:cs="Times New Roman"/>
                <w:kern w:val="2"/>
                <w:sz w:val="21"/>
                <w:szCs w:val="24"/>
                <w:lang w:val="zh-CN" w:eastAsia="zh-CN" w:bidi="zh-CN"/>
              </w:rPr>
            </w:pPr>
            <w:r>
              <w:rPr>
                <w:rFonts w:hint="eastAsia" w:ascii="宋体" w:eastAsia="宋体"/>
                <w:sz w:val="21"/>
              </w:rPr>
              <w:t>不知道</w:t>
            </w:r>
          </w:p>
        </w:tc>
        <w:tc>
          <w:tcPr>
            <w:tcW w:w="0" w:type="auto"/>
            <w:vAlign w:val="center"/>
          </w:tcPr>
          <w:p>
            <w:pPr>
              <w:pStyle w:val="15"/>
              <w:spacing w:before="22"/>
              <w:ind w:left="832" w:leftChars="0" w:right="822" w:righ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50</w:t>
            </w:r>
          </w:p>
        </w:tc>
        <w:tc>
          <w:tcPr>
            <w:tcW w:w="0" w:type="auto"/>
            <w:vAlign w:val="center"/>
          </w:tcPr>
          <w:p>
            <w:pPr>
              <w:pStyle w:val="15"/>
              <w:spacing w:before="22"/>
              <w:ind w:left="285" w:leftChars="0" w:right="273" w:righ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0" w:hRule="atLeast"/>
          <w:jc w:val="center"/>
        </w:trPr>
        <w:tc>
          <w:tcPr>
            <w:tcW w:w="643"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w w:val="99"/>
                <w:sz w:val="21"/>
                <w:lang w:val="en-US" w:eastAsia="zh-CN"/>
              </w:rPr>
            </w:pPr>
            <w:r>
              <w:rPr>
                <w:rFonts w:hint="eastAsia" w:eastAsia="宋体"/>
                <w:w w:val="99"/>
                <w:sz w:val="21"/>
                <w:lang w:val="en-US" w:eastAsia="zh-CN"/>
              </w:rPr>
              <w:t>11</w:t>
            </w:r>
          </w:p>
        </w:tc>
        <w:tc>
          <w:tcPr>
            <w:tcW w:w="2822" w:type="dxa"/>
            <w:vMerge w:val="restart"/>
            <w:vAlign w:val="center"/>
          </w:tcPr>
          <w:p>
            <w:pPr>
              <w:pStyle w:val="15"/>
              <w:spacing w:before="166" w:line="242" w:lineRule="auto"/>
              <w:ind w:left="106" w:leftChars="0" w:right="186" w:rightChars="0"/>
              <w:jc w:val="center"/>
              <w:rPr>
                <w:rFonts w:hint="eastAsia" w:ascii="宋体" w:hAnsi="Times New Roman" w:eastAsia="宋体" w:cs="Times New Roman"/>
                <w:kern w:val="2"/>
                <w:sz w:val="21"/>
                <w:szCs w:val="24"/>
                <w:lang w:val="zh-CN" w:eastAsia="zh-CN" w:bidi="zh-CN"/>
              </w:rPr>
            </w:pPr>
            <w:r>
              <w:rPr>
                <w:rFonts w:hint="eastAsia" w:ascii="宋体" w:eastAsia="宋体"/>
                <w:sz w:val="21"/>
              </w:rPr>
              <w:t>对公路工程基本设施满意度如何</w:t>
            </w:r>
          </w:p>
        </w:tc>
        <w:tc>
          <w:tcPr>
            <w:tcW w:w="0" w:type="auto"/>
            <w:vAlign w:val="center"/>
          </w:tcPr>
          <w:p>
            <w:pPr>
              <w:pStyle w:val="15"/>
              <w:spacing w:before="6" w:line="259" w:lineRule="exact"/>
              <w:ind w:left="430" w:leftChars="0" w:right="422" w:rightChars="0"/>
              <w:jc w:val="center"/>
              <w:rPr>
                <w:rFonts w:hint="eastAsia" w:ascii="宋体" w:hAnsi="Times New Roman" w:eastAsia="宋体" w:cs="Times New Roman"/>
                <w:kern w:val="2"/>
                <w:sz w:val="21"/>
                <w:szCs w:val="24"/>
                <w:lang w:val="zh-CN" w:eastAsia="zh-CN" w:bidi="zh-CN"/>
              </w:rPr>
            </w:pPr>
            <w:r>
              <w:rPr>
                <w:rFonts w:hint="eastAsia" w:ascii="宋体" w:eastAsia="宋体"/>
                <w:sz w:val="21"/>
              </w:rPr>
              <w:t>满意</w:t>
            </w:r>
          </w:p>
        </w:tc>
        <w:tc>
          <w:tcPr>
            <w:tcW w:w="0" w:type="auto"/>
            <w:vAlign w:val="center"/>
          </w:tcPr>
          <w:p>
            <w:pPr>
              <w:pStyle w:val="15"/>
              <w:spacing w:before="20"/>
              <w:ind w:left="832" w:leftChars="0" w:right="822" w:righ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36</w:t>
            </w:r>
          </w:p>
        </w:tc>
        <w:tc>
          <w:tcPr>
            <w:tcW w:w="0" w:type="auto"/>
            <w:vAlign w:val="center"/>
          </w:tcPr>
          <w:p>
            <w:pPr>
              <w:pStyle w:val="15"/>
              <w:spacing w:before="20"/>
              <w:ind w:left="285" w:leftChars="0" w:right="273" w:righ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72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0" w:hRule="atLeast"/>
          <w:jc w:val="center"/>
        </w:trPr>
        <w:tc>
          <w:tcPr>
            <w:tcW w:w="643"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w w:val="99"/>
                <w:sz w:val="21"/>
              </w:rPr>
            </w:pPr>
          </w:p>
        </w:tc>
        <w:tc>
          <w:tcPr>
            <w:tcW w:w="2822"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p>
        </w:tc>
        <w:tc>
          <w:tcPr>
            <w:tcW w:w="0" w:type="auto"/>
            <w:vAlign w:val="center"/>
          </w:tcPr>
          <w:p>
            <w:pPr>
              <w:pStyle w:val="15"/>
              <w:spacing w:before="6" w:line="259" w:lineRule="exact"/>
              <w:ind w:left="430" w:leftChars="0" w:right="425" w:rightChars="0"/>
              <w:jc w:val="center"/>
              <w:rPr>
                <w:rFonts w:hint="eastAsia" w:ascii="宋体" w:hAnsi="Times New Roman" w:eastAsia="宋体" w:cs="Times New Roman"/>
                <w:kern w:val="2"/>
                <w:sz w:val="21"/>
                <w:szCs w:val="24"/>
                <w:lang w:val="zh-CN" w:eastAsia="zh-CN" w:bidi="zh-CN"/>
              </w:rPr>
            </w:pPr>
            <w:r>
              <w:rPr>
                <w:rFonts w:hint="eastAsia" w:ascii="宋体" w:eastAsia="宋体"/>
                <w:sz w:val="21"/>
              </w:rPr>
              <w:t>基本满意</w:t>
            </w:r>
          </w:p>
        </w:tc>
        <w:tc>
          <w:tcPr>
            <w:tcW w:w="0" w:type="auto"/>
            <w:vAlign w:val="center"/>
          </w:tcPr>
          <w:p>
            <w:pPr>
              <w:pStyle w:val="15"/>
              <w:spacing w:before="20"/>
              <w:ind w:left="9" w:lef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9</w:t>
            </w:r>
          </w:p>
        </w:tc>
        <w:tc>
          <w:tcPr>
            <w:tcW w:w="0" w:type="auto"/>
            <w:vAlign w:val="center"/>
          </w:tcPr>
          <w:p>
            <w:pPr>
              <w:pStyle w:val="15"/>
              <w:spacing w:before="20"/>
              <w:ind w:left="6" w:lef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18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0" w:hRule="atLeast"/>
          <w:jc w:val="center"/>
        </w:trPr>
        <w:tc>
          <w:tcPr>
            <w:tcW w:w="643"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w w:val="99"/>
                <w:sz w:val="21"/>
              </w:rPr>
            </w:pPr>
          </w:p>
        </w:tc>
        <w:tc>
          <w:tcPr>
            <w:tcW w:w="2822"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p>
        </w:tc>
        <w:tc>
          <w:tcPr>
            <w:tcW w:w="0" w:type="auto"/>
            <w:vAlign w:val="center"/>
          </w:tcPr>
          <w:p>
            <w:pPr>
              <w:pStyle w:val="15"/>
              <w:spacing w:before="6" w:line="259" w:lineRule="exact"/>
              <w:ind w:left="430" w:leftChars="0" w:right="422" w:rightChars="0"/>
              <w:jc w:val="center"/>
              <w:rPr>
                <w:rFonts w:hint="eastAsia" w:ascii="宋体" w:hAnsi="Times New Roman" w:eastAsia="宋体" w:cs="Times New Roman"/>
                <w:kern w:val="2"/>
                <w:sz w:val="21"/>
                <w:szCs w:val="24"/>
                <w:lang w:val="zh-CN" w:eastAsia="zh-CN" w:bidi="zh-CN"/>
              </w:rPr>
            </w:pPr>
            <w:r>
              <w:rPr>
                <w:rFonts w:hint="eastAsia" w:ascii="宋体" w:eastAsia="宋体"/>
                <w:sz w:val="21"/>
              </w:rPr>
              <w:t>不满意</w:t>
            </w:r>
          </w:p>
        </w:tc>
        <w:tc>
          <w:tcPr>
            <w:tcW w:w="0" w:type="auto"/>
            <w:vAlign w:val="center"/>
          </w:tcPr>
          <w:p>
            <w:pPr>
              <w:pStyle w:val="15"/>
              <w:spacing w:before="20"/>
              <w:ind w:left="9" w:lef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5</w:t>
            </w:r>
          </w:p>
        </w:tc>
        <w:tc>
          <w:tcPr>
            <w:tcW w:w="0" w:type="auto"/>
            <w:vAlign w:val="center"/>
          </w:tcPr>
          <w:p>
            <w:pPr>
              <w:pStyle w:val="15"/>
              <w:spacing w:before="20"/>
              <w:ind w:left="6" w:lef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0" w:hRule="atLeast"/>
          <w:jc w:val="center"/>
        </w:trPr>
        <w:tc>
          <w:tcPr>
            <w:tcW w:w="643"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w w:val="99"/>
                <w:sz w:val="21"/>
                <w:lang w:val="en-US" w:eastAsia="zh-CN"/>
              </w:rPr>
            </w:pPr>
            <w:r>
              <w:rPr>
                <w:rFonts w:hint="eastAsia" w:eastAsia="宋体"/>
                <w:w w:val="99"/>
                <w:sz w:val="21"/>
                <w:lang w:val="en-US" w:eastAsia="zh-CN"/>
              </w:rPr>
              <w:t>12</w:t>
            </w:r>
          </w:p>
        </w:tc>
        <w:tc>
          <w:tcPr>
            <w:tcW w:w="2822" w:type="dxa"/>
            <w:vMerge w:val="restart"/>
            <w:vAlign w:val="center"/>
          </w:tcPr>
          <w:p>
            <w:pPr>
              <w:pStyle w:val="15"/>
              <w:spacing w:line="242" w:lineRule="auto"/>
              <w:ind w:left="106" w:leftChars="0" w:right="186" w:rightChars="0"/>
              <w:jc w:val="center"/>
              <w:rPr>
                <w:rFonts w:hint="eastAsia" w:ascii="宋体" w:hAnsi="Times New Roman" w:eastAsia="宋体" w:cs="Times New Roman"/>
                <w:kern w:val="2"/>
                <w:sz w:val="21"/>
                <w:szCs w:val="24"/>
                <w:lang w:val="zh-CN" w:eastAsia="zh-CN" w:bidi="zh-CN"/>
              </w:rPr>
            </w:pPr>
            <w:r>
              <w:rPr>
                <w:rFonts w:hint="eastAsia" w:ascii="宋体" w:eastAsia="宋体"/>
                <w:sz w:val="21"/>
              </w:rPr>
              <w:t>您对本公路工程环境保护工作的总体评价</w:t>
            </w:r>
          </w:p>
        </w:tc>
        <w:tc>
          <w:tcPr>
            <w:tcW w:w="0" w:type="auto"/>
            <w:vAlign w:val="center"/>
          </w:tcPr>
          <w:p>
            <w:pPr>
              <w:pStyle w:val="15"/>
              <w:spacing w:before="6" w:line="258" w:lineRule="exact"/>
              <w:ind w:left="430" w:leftChars="0" w:right="422" w:rightChars="0"/>
              <w:jc w:val="center"/>
              <w:rPr>
                <w:rFonts w:hint="eastAsia" w:ascii="宋体" w:hAnsi="Times New Roman" w:eastAsia="宋体" w:cs="Times New Roman"/>
                <w:kern w:val="2"/>
                <w:sz w:val="21"/>
                <w:szCs w:val="24"/>
                <w:lang w:val="zh-CN" w:eastAsia="zh-CN" w:bidi="zh-CN"/>
              </w:rPr>
            </w:pPr>
            <w:r>
              <w:rPr>
                <w:rFonts w:hint="eastAsia" w:ascii="宋体" w:eastAsia="宋体"/>
                <w:sz w:val="21"/>
              </w:rPr>
              <w:t>满意</w:t>
            </w:r>
          </w:p>
        </w:tc>
        <w:tc>
          <w:tcPr>
            <w:tcW w:w="0" w:type="auto"/>
            <w:vAlign w:val="center"/>
          </w:tcPr>
          <w:p>
            <w:pPr>
              <w:pStyle w:val="15"/>
              <w:spacing w:before="20"/>
              <w:ind w:left="832" w:leftChars="0" w:right="822" w:righ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39</w:t>
            </w:r>
          </w:p>
        </w:tc>
        <w:tc>
          <w:tcPr>
            <w:tcW w:w="0" w:type="auto"/>
            <w:vAlign w:val="center"/>
          </w:tcPr>
          <w:p>
            <w:pPr>
              <w:pStyle w:val="15"/>
              <w:spacing w:before="20"/>
              <w:ind w:left="285" w:leftChars="0" w:right="273" w:righ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78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0" w:hRule="atLeast"/>
          <w:jc w:val="center"/>
        </w:trPr>
        <w:tc>
          <w:tcPr>
            <w:tcW w:w="643"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w w:val="99"/>
                <w:sz w:val="21"/>
              </w:rPr>
            </w:pPr>
          </w:p>
        </w:tc>
        <w:tc>
          <w:tcPr>
            <w:tcW w:w="2822"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p>
        </w:tc>
        <w:tc>
          <w:tcPr>
            <w:tcW w:w="0" w:type="auto"/>
            <w:vAlign w:val="center"/>
          </w:tcPr>
          <w:p>
            <w:pPr>
              <w:pStyle w:val="15"/>
              <w:spacing w:before="6" w:line="258" w:lineRule="exact"/>
              <w:ind w:left="430" w:leftChars="0" w:right="425" w:rightChars="0"/>
              <w:jc w:val="center"/>
              <w:rPr>
                <w:rFonts w:hint="eastAsia" w:ascii="宋体" w:hAnsi="Times New Roman" w:eastAsia="宋体" w:cs="Times New Roman"/>
                <w:kern w:val="2"/>
                <w:sz w:val="21"/>
                <w:szCs w:val="24"/>
                <w:lang w:val="zh-CN" w:eastAsia="zh-CN" w:bidi="zh-CN"/>
              </w:rPr>
            </w:pPr>
            <w:r>
              <w:rPr>
                <w:rFonts w:hint="eastAsia" w:ascii="宋体" w:eastAsia="宋体"/>
                <w:sz w:val="21"/>
              </w:rPr>
              <w:t>基本满意</w:t>
            </w:r>
          </w:p>
        </w:tc>
        <w:tc>
          <w:tcPr>
            <w:tcW w:w="0" w:type="auto"/>
            <w:vAlign w:val="center"/>
          </w:tcPr>
          <w:p>
            <w:pPr>
              <w:pStyle w:val="15"/>
              <w:spacing w:before="20"/>
              <w:ind w:left="9" w:lef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11</w:t>
            </w:r>
          </w:p>
        </w:tc>
        <w:tc>
          <w:tcPr>
            <w:tcW w:w="0" w:type="auto"/>
            <w:vAlign w:val="center"/>
          </w:tcPr>
          <w:p>
            <w:pPr>
              <w:pStyle w:val="15"/>
              <w:spacing w:before="20"/>
              <w:ind w:left="6" w:lef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22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0" w:hRule="atLeast"/>
          <w:jc w:val="center"/>
        </w:trPr>
        <w:tc>
          <w:tcPr>
            <w:tcW w:w="643"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w w:val="99"/>
                <w:sz w:val="21"/>
              </w:rPr>
            </w:pPr>
          </w:p>
        </w:tc>
        <w:tc>
          <w:tcPr>
            <w:tcW w:w="2822"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p>
        </w:tc>
        <w:tc>
          <w:tcPr>
            <w:tcW w:w="0" w:type="auto"/>
            <w:vAlign w:val="center"/>
          </w:tcPr>
          <w:p>
            <w:pPr>
              <w:pStyle w:val="15"/>
              <w:spacing w:before="7" w:line="258" w:lineRule="exact"/>
              <w:ind w:left="430" w:leftChars="0" w:right="422" w:rightChars="0"/>
              <w:jc w:val="center"/>
              <w:rPr>
                <w:rFonts w:hint="eastAsia" w:ascii="宋体" w:hAnsi="Times New Roman" w:eastAsia="宋体" w:cs="Times New Roman"/>
                <w:kern w:val="2"/>
                <w:sz w:val="21"/>
                <w:szCs w:val="24"/>
                <w:lang w:val="zh-CN" w:eastAsia="zh-CN" w:bidi="zh-CN"/>
              </w:rPr>
            </w:pPr>
            <w:r>
              <w:rPr>
                <w:rFonts w:hint="eastAsia" w:ascii="宋体" w:eastAsia="宋体"/>
                <w:sz w:val="21"/>
              </w:rPr>
              <w:t>不满意</w:t>
            </w:r>
          </w:p>
        </w:tc>
        <w:tc>
          <w:tcPr>
            <w:tcW w:w="0" w:type="auto"/>
            <w:vAlign w:val="center"/>
          </w:tcPr>
          <w:p>
            <w:pPr>
              <w:pStyle w:val="15"/>
              <w:spacing w:before="21"/>
              <w:ind w:left="9" w:lef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0</w:t>
            </w:r>
          </w:p>
        </w:tc>
        <w:tc>
          <w:tcPr>
            <w:tcW w:w="0" w:type="auto"/>
            <w:vAlign w:val="center"/>
          </w:tcPr>
          <w:p>
            <w:pPr>
              <w:pStyle w:val="15"/>
              <w:spacing w:before="21"/>
              <w:ind w:left="6" w:lef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0" w:hRule="atLeast"/>
          <w:jc w:val="center"/>
        </w:trPr>
        <w:tc>
          <w:tcPr>
            <w:tcW w:w="643"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w w:val="99"/>
                <w:sz w:val="21"/>
              </w:rPr>
            </w:pPr>
          </w:p>
        </w:tc>
        <w:tc>
          <w:tcPr>
            <w:tcW w:w="2822"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p>
        </w:tc>
        <w:tc>
          <w:tcPr>
            <w:tcW w:w="0" w:type="auto"/>
            <w:vAlign w:val="center"/>
          </w:tcPr>
          <w:p>
            <w:pPr>
              <w:pStyle w:val="15"/>
              <w:spacing w:before="7" w:line="258" w:lineRule="exact"/>
              <w:ind w:left="430" w:leftChars="0" w:right="422" w:rightChars="0"/>
              <w:jc w:val="center"/>
              <w:rPr>
                <w:rFonts w:hint="eastAsia" w:ascii="宋体" w:hAnsi="Times New Roman" w:eastAsia="宋体" w:cs="Times New Roman"/>
                <w:kern w:val="2"/>
                <w:sz w:val="21"/>
                <w:szCs w:val="24"/>
                <w:lang w:val="zh-CN" w:eastAsia="zh-CN" w:bidi="zh-CN"/>
              </w:rPr>
            </w:pPr>
            <w:r>
              <w:rPr>
                <w:rFonts w:hint="eastAsia" w:ascii="宋体" w:eastAsia="宋体"/>
                <w:sz w:val="21"/>
              </w:rPr>
              <w:t>无所谓</w:t>
            </w:r>
          </w:p>
        </w:tc>
        <w:tc>
          <w:tcPr>
            <w:tcW w:w="0" w:type="auto"/>
            <w:vAlign w:val="center"/>
          </w:tcPr>
          <w:p>
            <w:pPr>
              <w:pStyle w:val="15"/>
              <w:spacing w:before="21"/>
              <w:ind w:left="9" w:lef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0</w:t>
            </w:r>
          </w:p>
        </w:tc>
        <w:tc>
          <w:tcPr>
            <w:tcW w:w="0" w:type="auto"/>
            <w:vAlign w:val="center"/>
          </w:tcPr>
          <w:p>
            <w:pPr>
              <w:pStyle w:val="15"/>
              <w:spacing w:before="21"/>
              <w:ind w:left="6" w:lef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0</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经过对司乘人员调查意见的统计分析可知：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1、96%的司乘人员认为公路的修建有利于本地区的经济发展。</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3、100%的司乘人员表示对沿线公路绿化情况满意或基本满意。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4、94%的司乘人员认为公路汽车尾气排放不严重，6%认为一般。</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5、68%的司乘人员认为公路运行车辆堵塞情况不严重，2%认为一般严重有20%的任务严重。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6、72%的司乘人员认为公路上噪声影响的感觉情况不严重，26%认为一般，2%认为严重。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7、78%的司乘人员认为有限速标志意，12%认为没有，10%表示没有注意到。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8、8%的司乘人员没有注意到学校或居民区附近是否有禁鸣标志，30%表示没有，62%认为有禁鸣标志。</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9、60%的司乘人员建议加强沿线绿化减轻噪声影响，20%的建议安装声屏障减轻噪声影响，20%认为应予以搬迁。</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10、84%的司乘人员对公路建成后的通行情况表示满意或基本满意，16%表示不满意。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11、100%的司乘人员表示公路管理部门和其它部门对运输危险品有限制或要求不知道。</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12、90%的司乘人员对本工程基本设施表示满意或基本满意，10%认为不满意。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13、100%的司乘人员对本工程环境保护工作的总体评价为满意或基本满意。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2"/>
        <w:rPr>
          <w:rFonts w:hint="default" w:ascii="Times New Roman" w:hAnsi="Times New Roman" w:eastAsia="宋体" w:cs="Times New Roman"/>
          <w:sz w:val="24"/>
          <w:szCs w:val="24"/>
          <w:lang w:val="en-US" w:eastAsia="zh-CN"/>
        </w:rPr>
      </w:pPr>
      <w:bookmarkStart w:id="78" w:name="_Toc16493"/>
      <w:r>
        <w:rPr>
          <w:rFonts w:hint="eastAsia" w:ascii="Times New Roman" w:hAnsi="Times New Roman" w:eastAsia="宋体" w:cs="Times New Roman"/>
          <w:sz w:val="24"/>
          <w:szCs w:val="24"/>
          <w:lang w:val="en-US" w:eastAsia="zh-CN"/>
        </w:rPr>
        <w:t>8.2.2道路沿线公众</w:t>
      </w:r>
      <w:bookmarkEnd w:id="78"/>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本次调查询问道路沿线公众人员80人，调查范围涵盖沿线居民点，被调查对象全部为受本工程直接影响的沿线居民。</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调查对象组成结构见表8.2.2-1.</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lang w:val="en-US" w:eastAsia="zh-CN"/>
        </w:rPr>
        <w:t>表8.2.2-1司乘人员调查对象组成</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4"/>
        <w:gridCol w:w="2125"/>
        <w:gridCol w:w="2125"/>
        <w:gridCol w:w="21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5" w:hRule="atLeast"/>
          <w:tblHeader/>
        </w:trPr>
        <w:tc>
          <w:tcPr>
            <w:tcW w:w="4249"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sz w:val="24"/>
                <w:szCs w:val="24"/>
                <w:vertAlign w:val="baseline"/>
                <w:lang w:val="en-US" w:eastAsia="zh-CN"/>
              </w:rPr>
            </w:pPr>
            <w:r>
              <w:rPr>
                <w:rFonts w:hint="default" w:ascii="Times New Roman" w:hAnsi="Times New Roman" w:eastAsia="宋体" w:cs="Times New Roman"/>
                <w:b/>
                <w:bCs/>
                <w:sz w:val="24"/>
                <w:szCs w:val="24"/>
                <w:vertAlign w:val="baseline"/>
                <w:lang w:val="en-US" w:eastAsia="zh-CN"/>
              </w:rPr>
              <w:t>组成结构</w:t>
            </w:r>
          </w:p>
        </w:tc>
        <w:tc>
          <w:tcPr>
            <w:tcW w:w="212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sz w:val="24"/>
                <w:szCs w:val="24"/>
                <w:vertAlign w:val="baseline"/>
                <w:lang w:val="en-US" w:eastAsia="zh-CN"/>
              </w:rPr>
            </w:pPr>
            <w:r>
              <w:rPr>
                <w:rFonts w:hint="default" w:ascii="Times New Roman" w:hAnsi="Times New Roman" w:eastAsia="宋体" w:cs="Times New Roman"/>
                <w:b/>
                <w:bCs/>
                <w:sz w:val="24"/>
                <w:szCs w:val="24"/>
                <w:vertAlign w:val="baseline"/>
                <w:lang w:val="en-US" w:eastAsia="zh-CN"/>
              </w:rPr>
              <w:t>人数（人）</w:t>
            </w:r>
          </w:p>
        </w:tc>
        <w:tc>
          <w:tcPr>
            <w:tcW w:w="212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sz w:val="24"/>
                <w:szCs w:val="24"/>
                <w:vertAlign w:val="baseline"/>
                <w:lang w:val="en-US" w:eastAsia="zh-CN"/>
              </w:rPr>
            </w:pPr>
            <w:r>
              <w:rPr>
                <w:rFonts w:hint="default" w:ascii="Times New Roman" w:hAnsi="Times New Roman" w:eastAsia="宋体" w:cs="Times New Roman"/>
                <w:b/>
                <w:bCs/>
                <w:sz w:val="24"/>
                <w:szCs w:val="24"/>
                <w:vertAlign w:val="baseline"/>
                <w:lang w:val="en-US" w:eastAsia="zh-CN"/>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exact"/>
        </w:trPr>
        <w:tc>
          <w:tcPr>
            <w:tcW w:w="2124"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sz w:val="24"/>
                <w:szCs w:val="24"/>
                <w:vertAlign w:val="baseline"/>
                <w:lang w:val="en-US" w:eastAsia="zh-CN"/>
              </w:rPr>
              <w:t>性别</w:t>
            </w:r>
          </w:p>
        </w:tc>
        <w:tc>
          <w:tcPr>
            <w:tcW w:w="212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sz w:val="24"/>
                <w:szCs w:val="24"/>
                <w:vertAlign w:val="baseline"/>
                <w:lang w:val="en-US" w:eastAsia="zh-CN"/>
              </w:rPr>
              <w:t>男</w:t>
            </w:r>
          </w:p>
        </w:tc>
        <w:tc>
          <w:tcPr>
            <w:tcW w:w="212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51</w:t>
            </w:r>
          </w:p>
        </w:tc>
        <w:tc>
          <w:tcPr>
            <w:tcW w:w="212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 xml:space="preserve">63.75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exact"/>
        </w:trPr>
        <w:tc>
          <w:tcPr>
            <w:tcW w:w="212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p>
        </w:tc>
        <w:tc>
          <w:tcPr>
            <w:tcW w:w="212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sz w:val="24"/>
                <w:szCs w:val="24"/>
                <w:vertAlign w:val="baseline"/>
                <w:lang w:val="en-US" w:eastAsia="zh-CN"/>
              </w:rPr>
              <w:t>女</w:t>
            </w:r>
          </w:p>
        </w:tc>
        <w:tc>
          <w:tcPr>
            <w:tcW w:w="212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29</w:t>
            </w:r>
          </w:p>
        </w:tc>
        <w:tc>
          <w:tcPr>
            <w:tcW w:w="212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 xml:space="preserve">36.25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exact"/>
        </w:trPr>
        <w:tc>
          <w:tcPr>
            <w:tcW w:w="2124"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sz w:val="24"/>
                <w:szCs w:val="24"/>
                <w:vertAlign w:val="baseline"/>
                <w:lang w:val="en-US" w:eastAsia="zh-CN"/>
              </w:rPr>
              <w:t>年龄</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kern w:val="2"/>
                <w:sz w:val="21"/>
                <w:szCs w:val="24"/>
                <w:lang w:val="en-US" w:eastAsia="zh-CN" w:bidi="zh-CN"/>
              </w:rPr>
            </w:pPr>
            <w:r>
              <w:rPr>
                <w:rFonts w:hint="default" w:ascii="Times New Roman" w:hAnsi="Times New Roman" w:eastAsia="宋体" w:cs="Times New Roman"/>
                <w:sz w:val="21"/>
              </w:rPr>
              <w:t>30 岁以下</w:t>
            </w:r>
          </w:p>
        </w:tc>
        <w:tc>
          <w:tcPr>
            <w:tcW w:w="212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19</w:t>
            </w:r>
          </w:p>
        </w:tc>
        <w:tc>
          <w:tcPr>
            <w:tcW w:w="212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 xml:space="preserve">23.75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exact"/>
        </w:trPr>
        <w:tc>
          <w:tcPr>
            <w:tcW w:w="212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kern w:val="2"/>
                <w:sz w:val="21"/>
                <w:szCs w:val="24"/>
                <w:lang w:val="en-US" w:eastAsia="zh-CN" w:bidi="zh-CN"/>
              </w:rPr>
            </w:pPr>
            <w:r>
              <w:rPr>
                <w:rFonts w:hint="default" w:ascii="Times New Roman" w:hAnsi="Times New Roman" w:eastAsia="宋体" w:cs="Times New Roman"/>
                <w:sz w:val="21"/>
              </w:rPr>
              <w:t>30-39 岁</w:t>
            </w:r>
          </w:p>
        </w:tc>
        <w:tc>
          <w:tcPr>
            <w:tcW w:w="212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32</w:t>
            </w:r>
          </w:p>
        </w:tc>
        <w:tc>
          <w:tcPr>
            <w:tcW w:w="212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 xml:space="preserve">40.00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exact"/>
        </w:trPr>
        <w:tc>
          <w:tcPr>
            <w:tcW w:w="212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p>
        </w:tc>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kern w:val="2"/>
                <w:sz w:val="21"/>
                <w:szCs w:val="24"/>
                <w:lang w:val="en-US" w:eastAsia="zh-CN" w:bidi="zh-CN"/>
              </w:rPr>
            </w:pPr>
            <w:r>
              <w:rPr>
                <w:rFonts w:hint="default" w:ascii="Times New Roman" w:hAnsi="Times New Roman" w:eastAsia="宋体" w:cs="Times New Roman"/>
                <w:sz w:val="21"/>
              </w:rPr>
              <w:t>40 岁以上</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29</w:t>
            </w:r>
          </w:p>
        </w:tc>
        <w:tc>
          <w:tcPr>
            <w:tcW w:w="212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 xml:space="preserve">36.25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exact"/>
        </w:trPr>
        <w:tc>
          <w:tcPr>
            <w:tcW w:w="2124"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文化程度</w:t>
            </w:r>
          </w:p>
        </w:tc>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宋体" w:cs="Times New Roman"/>
                <w:sz w:val="21"/>
                <w:lang w:eastAsia="zh-CN"/>
              </w:rPr>
            </w:pPr>
            <w:r>
              <w:rPr>
                <w:rFonts w:hint="eastAsia" w:ascii="Times New Roman" w:hAnsi="Times New Roman" w:eastAsia="宋体" w:cs="Times New Roman"/>
                <w:sz w:val="21"/>
                <w:lang w:eastAsia="zh-CN"/>
              </w:rPr>
              <w:t>小学及以下</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19</w:t>
            </w:r>
          </w:p>
        </w:tc>
        <w:tc>
          <w:tcPr>
            <w:tcW w:w="212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 xml:space="preserve">23.75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exact"/>
        </w:trPr>
        <w:tc>
          <w:tcPr>
            <w:tcW w:w="212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p>
        </w:tc>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宋体" w:cs="Times New Roman"/>
                <w:sz w:val="21"/>
                <w:lang w:eastAsia="zh-CN"/>
              </w:rPr>
            </w:pPr>
            <w:r>
              <w:rPr>
                <w:rFonts w:hint="eastAsia" w:ascii="Times New Roman" w:hAnsi="Times New Roman" w:eastAsia="宋体" w:cs="Times New Roman"/>
                <w:sz w:val="21"/>
                <w:lang w:eastAsia="zh-CN"/>
              </w:rPr>
              <w:t>中学</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30</w:t>
            </w:r>
          </w:p>
        </w:tc>
        <w:tc>
          <w:tcPr>
            <w:tcW w:w="212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 xml:space="preserve">37.50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5" w:hRule="exact"/>
        </w:trPr>
        <w:tc>
          <w:tcPr>
            <w:tcW w:w="212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p>
        </w:tc>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宋体" w:cs="Times New Roman"/>
                <w:sz w:val="21"/>
                <w:lang w:eastAsia="zh-CN"/>
              </w:rPr>
            </w:pPr>
            <w:r>
              <w:rPr>
                <w:rFonts w:hint="eastAsia" w:ascii="Times New Roman" w:hAnsi="Times New Roman" w:eastAsia="宋体" w:cs="Times New Roman"/>
                <w:sz w:val="21"/>
                <w:lang w:eastAsia="zh-CN"/>
              </w:rPr>
              <w:t>大学及以上</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31</w:t>
            </w:r>
          </w:p>
        </w:tc>
        <w:tc>
          <w:tcPr>
            <w:tcW w:w="212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 xml:space="preserve">38.75 </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从上表可以看出，本次沿线居民调查对象多为男性，文化程度为中小学，年多在30~39岁之间。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调查结果统计详见表8.2.2-2。</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表8.2.2-2沿线居民调查统计表</w:t>
      </w:r>
    </w:p>
    <w:tbl>
      <w:tblPr>
        <w:tblStyle w:val="9"/>
        <w:tblW w:w="829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89"/>
        <w:gridCol w:w="2346"/>
        <w:gridCol w:w="1818"/>
        <w:gridCol w:w="1730"/>
        <w:gridCol w:w="170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3" w:hRule="atLeast"/>
          <w:jc w:val="center"/>
        </w:trPr>
        <w:tc>
          <w:tcPr>
            <w:tcW w:w="689"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w w:val="99"/>
                <w:sz w:val="21"/>
                <w:szCs w:val="21"/>
              </w:rPr>
              <w:t>序号</w:t>
            </w:r>
          </w:p>
        </w:tc>
        <w:tc>
          <w:tcPr>
            <w:tcW w:w="234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调查内容</w:t>
            </w:r>
          </w:p>
        </w:tc>
        <w:tc>
          <w:tcPr>
            <w:tcW w:w="1818"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态度</w:t>
            </w:r>
          </w:p>
        </w:tc>
        <w:tc>
          <w:tcPr>
            <w:tcW w:w="1730"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人数</w:t>
            </w:r>
          </w:p>
        </w:tc>
        <w:tc>
          <w:tcPr>
            <w:tcW w:w="1709"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比例（%）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7" w:hRule="atLeast"/>
          <w:jc w:val="center"/>
        </w:trPr>
        <w:tc>
          <w:tcPr>
            <w:tcW w:w="689"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w w:val="99"/>
                <w:sz w:val="21"/>
                <w:szCs w:val="21"/>
              </w:rPr>
              <w:t>1</w:t>
            </w:r>
          </w:p>
        </w:tc>
        <w:tc>
          <w:tcPr>
            <w:tcW w:w="2346"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修建该公路是否有利于本地区的经济发展</w:t>
            </w:r>
          </w:p>
        </w:tc>
        <w:tc>
          <w:tcPr>
            <w:tcW w:w="1818"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有利</w:t>
            </w:r>
          </w:p>
        </w:tc>
        <w:tc>
          <w:tcPr>
            <w:tcW w:w="1730"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51</w:t>
            </w:r>
          </w:p>
        </w:tc>
        <w:tc>
          <w:tcPr>
            <w:tcW w:w="1709"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 xml:space="preserve">63.75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7" w:hRule="atLeast"/>
          <w:jc w:val="center"/>
        </w:trPr>
        <w:tc>
          <w:tcPr>
            <w:tcW w:w="689"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2346"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1818"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不利</w:t>
            </w:r>
          </w:p>
        </w:tc>
        <w:tc>
          <w:tcPr>
            <w:tcW w:w="1730"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15</w:t>
            </w:r>
          </w:p>
        </w:tc>
        <w:tc>
          <w:tcPr>
            <w:tcW w:w="1709"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 xml:space="preserve">18.75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7" w:hRule="atLeast"/>
          <w:jc w:val="center"/>
        </w:trPr>
        <w:tc>
          <w:tcPr>
            <w:tcW w:w="689"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2346"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1818"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不知道</w:t>
            </w:r>
          </w:p>
        </w:tc>
        <w:tc>
          <w:tcPr>
            <w:tcW w:w="1730"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14</w:t>
            </w:r>
          </w:p>
        </w:tc>
        <w:tc>
          <w:tcPr>
            <w:tcW w:w="1709"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 xml:space="preserve">17.50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6" w:hRule="atLeast"/>
          <w:jc w:val="center"/>
        </w:trPr>
        <w:tc>
          <w:tcPr>
            <w:tcW w:w="689"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w w:val="99"/>
                <w:sz w:val="21"/>
                <w:szCs w:val="21"/>
              </w:rPr>
              <w:t>2</w:t>
            </w:r>
          </w:p>
        </w:tc>
        <w:tc>
          <w:tcPr>
            <w:tcW w:w="2346"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施工期对您影响最大的方面是什么</w:t>
            </w:r>
          </w:p>
        </w:tc>
        <w:tc>
          <w:tcPr>
            <w:tcW w:w="1818"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噪声</w:t>
            </w:r>
          </w:p>
        </w:tc>
        <w:tc>
          <w:tcPr>
            <w:tcW w:w="1730"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41</w:t>
            </w:r>
          </w:p>
        </w:tc>
        <w:tc>
          <w:tcPr>
            <w:tcW w:w="1709"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 xml:space="preserve">51.25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7" w:hRule="atLeast"/>
          <w:jc w:val="center"/>
        </w:trPr>
        <w:tc>
          <w:tcPr>
            <w:tcW w:w="689"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2346"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1818"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粉尘</w:t>
            </w:r>
          </w:p>
        </w:tc>
        <w:tc>
          <w:tcPr>
            <w:tcW w:w="1730"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25</w:t>
            </w:r>
          </w:p>
        </w:tc>
        <w:tc>
          <w:tcPr>
            <w:tcW w:w="1709"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 xml:space="preserve">31.25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7" w:hRule="atLeast"/>
          <w:jc w:val="center"/>
        </w:trPr>
        <w:tc>
          <w:tcPr>
            <w:tcW w:w="689"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2346"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1818"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灌溉泄洪</w:t>
            </w:r>
          </w:p>
        </w:tc>
        <w:tc>
          <w:tcPr>
            <w:tcW w:w="1730"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0</w:t>
            </w:r>
          </w:p>
        </w:tc>
        <w:tc>
          <w:tcPr>
            <w:tcW w:w="1709"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 xml:space="preserve">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7" w:hRule="atLeast"/>
          <w:jc w:val="center"/>
        </w:trPr>
        <w:tc>
          <w:tcPr>
            <w:tcW w:w="689"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2346"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1818" w:type="dxa"/>
            <w:vAlign w:val="center"/>
          </w:tcPr>
          <w:p>
            <w:pPr>
              <w:pStyle w:val="15"/>
              <w:spacing w:line="252" w:lineRule="exact"/>
              <w:ind w:left="119" w:leftChars="0" w:right="113" w:right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其它</w:t>
            </w:r>
          </w:p>
        </w:tc>
        <w:tc>
          <w:tcPr>
            <w:tcW w:w="1730"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14</w:t>
            </w:r>
          </w:p>
        </w:tc>
        <w:tc>
          <w:tcPr>
            <w:tcW w:w="1709"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 xml:space="preserve">17.50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7" w:hRule="atLeast"/>
          <w:jc w:val="center"/>
        </w:trPr>
        <w:tc>
          <w:tcPr>
            <w:tcW w:w="689"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w w:val="99"/>
                <w:sz w:val="21"/>
                <w:szCs w:val="21"/>
              </w:rPr>
              <w:t>3</w:t>
            </w:r>
          </w:p>
        </w:tc>
        <w:tc>
          <w:tcPr>
            <w:tcW w:w="2346"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居民区附近150m内是否曾设有料场或搅拌站</w:t>
            </w:r>
          </w:p>
        </w:tc>
        <w:tc>
          <w:tcPr>
            <w:tcW w:w="1818" w:type="dxa"/>
            <w:vAlign w:val="center"/>
          </w:tcPr>
          <w:p>
            <w:pPr>
              <w:pStyle w:val="15"/>
              <w:spacing w:line="252" w:lineRule="exact"/>
              <w:ind w:left="119" w:leftChars="0" w:right="113" w:right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有</w:t>
            </w:r>
          </w:p>
        </w:tc>
        <w:tc>
          <w:tcPr>
            <w:tcW w:w="1730"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2</w:t>
            </w:r>
          </w:p>
        </w:tc>
        <w:tc>
          <w:tcPr>
            <w:tcW w:w="1709"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 xml:space="preserve">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7" w:hRule="atLeast"/>
          <w:jc w:val="center"/>
        </w:trPr>
        <w:tc>
          <w:tcPr>
            <w:tcW w:w="689"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2346"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1818" w:type="dxa"/>
            <w:vAlign w:val="center"/>
          </w:tcPr>
          <w:p>
            <w:pPr>
              <w:pStyle w:val="15"/>
              <w:spacing w:line="252" w:lineRule="exact"/>
              <w:ind w:left="119" w:leftChars="0" w:right="113" w:right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没有</w:t>
            </w:r>
          </w:p>
        </w:tc>
        <w:tc>
          <w:tcPr>
            <w:tcW w:w="1730"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67</w:t>
            </w:r>
          </w:p>
        </w:tc>
        <w:tc>
          <w:tcPr>
            <w:tcW w:w="1709"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 xml:space="preserve">83.75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7" w:hRule="atLeast"/>
          <w:jc w:val="center"/>
        </w:trPr>
        <w:tc>
          <w:tcPr>
            <w:tcW w:w="689"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2346"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1818"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没注意</w:t>
            </w:r>
          </w:p>
        </w:tc>
        <w:tc>
          <w:tcPr>
            <w:tcW w:w="1730"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11</w:t>
            </w:r>
          </w:p>
        </w:tc>
        <w:tc>
          <w:tcPr>
            <w:tcW w:w="1709"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 xml:space="preserve">13.75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7" w:hRule="atLeast"/>
          <w:jc w:val="center"/>
        </w:trPr>
        <w:tc>
          <w:tcPr>
            <w:tcW w:w="689"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w w:val="99"/>
                <w:sz w:val="21"/>
                <w:szCs w:val="21"/>
              </w:rPr>
              <w:t>4</w:t>
            </w:r>
          </w:p>
        </w:tc>
        <w:tc>
          <w:tcPr>
            <w:tcW w:w="2346"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14"/>
                <w:sz w:val="21"/>
                <w:szCs w:val="21"/>
              </w:rPr>
              <w:t>居民区</w:t>
            </w:r>
            <w:r>
              <w:rPr>
                <w:rFonts w:hint="default" w:ascii="Times New Roman" w:hAnsi="Times New Roman" w:eastAsia="宋体" w:cs="Times New Roman"/>
                <w:sz w:val="21"/>
                <w:szCs w:val="21"/>
              </w:rPr>
              <w:t>22:00</w:t>
            </w:r>
            <w:r>
              <w:rPr>
                <w:rFonts w:hint="default" w:ascii="Times New Roman" w:hAnsi="Times New Roman" w:eastAsia="宋体" w:cs="Times New Roman"/>
                <w:spacing w:val="-13"/>
                <w:sz w:val="21"/>
                <w:szCs w:val="21"/>
              </w:rPr>
              <w:t>至早晨</w:t>
            </w:r>
            <w:r>
              <w:rPr>
                <w:rFonts w:hint="default" w:ascii="Times New Roman" w:hAnsi="Times New Roman" w:eastAsia="宋体" w:cs="Times New Roman"/>
                <w:sz w:val="21"/>
                <w:szCs w:val="21"/>
              </w:rPr>
              <w:t>6:00</w:t>
            </w:r>
            <w:r>
              <w:rPr>
                <w:rFonts w:hint="default" w:ascii="Times New Roman" w:hAnsi="Times New Roman" w:eastAsia="宋体" w:cs="Times New Roman"/>
                <w:spacing w:val="-1"/>
                <w:sz w:val="21"/>
                <w:szCs w:val="21"/>
              </w:rPr>
              <w:t>时段内，是否有使用高噪</w:t>
            </w:r>
            <w:r>
              <w:rPr>
                <w:rFonts w:hint="default" w:ascii="Times New Roman" w:hAnsi="Times New Roman" w:eastAsia="宋体" w:cs="Times New Roman"/>
                <w:sz w:val="21"/>
                <w:szCs w:val="21"/>
              </w:rPr>
              <w:t>声机械施工现象</w:t>
            </w:r>
          </w:p>
        </w:tc>
        <w:tc>
          <w:tcPr>
            <w:tcW w:w="1818"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常有</w:t>
            </w:r>
          </w:p>
        </w:tc>
        <w:tc>
          <w:tcPr>
            <w:tcW w:w="1730"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1</w:t>
            </w:r>
          </w:p>
        </w:tc>
        <w:tc>
          <w:tcPr>
            <w:tcW w:w="1709"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 xml:space="preserve">1.25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7" w:hRule="atLeast"/>
          <w:jc w:val="center"/>
        </w:trPr>
        <w:tc>
          <w:tcPr>
            <w:tcW w:w="689"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2346"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1818"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偶尔有</w:t>
            </w:r>
          </w:p>
        </w:tc>
        <w:tc>
          <w:tcPr>
            <w:tcW w:w="1730"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18</w:t>
            </w:r>
          </w:p>
        </w:tc>
        <w:tc>
          <w:tcPr>
            <w:tcW w:w="1709"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 xml:space="preserve">22.50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7" w:hRule="atLeast"/>
          <w:jc w:val="center"/>
        </w:trPr>
        <w:tc>
          <w:tcPr>
            <w:tcW w:w="689"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2346"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1818"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没有</w:t>
            </w:r>
          </w:p>
        </w:tc>
        <w:tc>
          <w:tcPr>
            <w:tcW w:w="1730"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61</w:t>
            </w:r>
          </w:p>
        </w:tc>
        <w:tc>
          <w:tcPr>
            <w:tcW w:w="1709"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 xml:space="preserve">76.25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7" w:hRule="atLeast"/>
          <w:jc w:val="center"/>
        </w:trPr>
        <w:tc>
          <w:tcPr>
            <w:tcW w:w="689"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w w:val="99"/>
                <w:sz w:val="21"/>
                <w:szCs w:val="21"/>
              </w:rPr>
              <w:t>5</w:t>
            </w:r>
          </w:p>
        </w:tc>
        <w:tc>
          <w:tcPr>
            <w:tcW w:w="2346"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公路临时占地是否采取了复垦、恢复等措施</w:t>
            </w:r>
          </w:p>
        </w:tc>
        <w:tc>
          <w:tcPr>
            <w:tcW w:w="1818" w:type="dxa"/>
            <w:vAlign w:val="center"/>
          </w:tcPr>
          <w:p>
            <w:pPr>
              <w:pStyle w:val="15"/>
              <w:spacing w:line="252" w:lineRule="exact"/>
              <w:ind w:left="119" w:leftChars="0" w:right="113" w:right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c>
          <w:tcPr>
            <w:tcW w:w="1730"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65</w:t>
            </w:r>
          </w:p>
        </w:tc>
        <w:tc>
          <w:tcPr>
            <w:tcW w:w="1709"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 xml:space="preserve">81.25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7" w:hRule="atLeast"/>
          <w:jc w:val="center"/>
        </w:trPr>
        <w:tc>
          <w:tcPr>
            <w:tcW w:w="689"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2346"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1818" w:type="dxa"/>
            <w:vAlign w:val="center"/>
          </w:tcPr>
          <w:p>
            <w:pPr>
              <w:pStyle w:val="15"/>
              <w:spacing w:line="252" w:lineRule="exact"/>
              <w:ind w:left="119" w:leftChars="0" w:right="113" w:right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否</w:t>
            </w:r>
          </w:p>
        </w:tc>
        <w:tc>
          <w:tcPr>
            <w:tcW w:w="1730"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15</w:t>
            </w:r>
          </w:p>
        </w:tc>
        <w:tc>
          <w:tcPr>
            <w:tcW w:w="1709"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 xml:space="preserve">18.75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7" w:hRule="atLeast"/>
          <w:jc w:val="center"/>
        </w:trPr>
        <w:tc>
          <w:tcPr>
            <w:tcW w:w="689"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w w:val="99"/>
                <w:sz w:val="21"/>
                <w:szCs w:val="21"/>
              </w:rPr>
              <w:t>6</w:t>
            </w:r>
          </w:p>
        </w:tc>
        <w:tc>
          <w:tcPr>
            <w:tcW w:w="2346"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占压农业水利设施时，是否采取了临时应急措施</w:t>
            </w:r>
          </w:p>
        </w:tc>
        <w:tc>
          <w:tcPr>
            <w:tcW w:w="1818" w:type="dxa"/>
            <w:vAlign w:val="center"/>
          </w:tcPr>
          <w:p>
            <w:pPr>
              <w:pStyle w:val="15"/>
              <w:spacing w:line="252" w:lineRule="exact"/>
              <w:ind w:left="119" w:leftChars="0" w:right="113" w:right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c>
          <w:tcPr>
            <w:tcW w:w="1730"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59</w:t>
            </w:r>
          </w:p>
        </w:tc>
        <w:tc>
          <w:tcPr>
            <w:tcW w:w="1709"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 xml:space="preserve">73.75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7" w:hRule="atLeast"/>
          <w:jc w:val="center"/>
        </w:trPr>
        <w:tc>
          <w:tcPr>
            <w:tcW w:w="689"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2346"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1818" w:type="dxa"/>
            <w:vAlign w:val="center"/>
          </w:tcPr>
          <w:p>
            <w:pPr>
              <w:pStyle w:val="15"/>
              <w:spacing w:line="252" w:lineRule="exact"/>
              <w:ind w:left="119" w:leftChars="0" w:right="113" w:right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否</w:t>
            </w:r>
          </w:p>
        </w:tc>
        <w:tc>
          <w:tcPr>
            <w:tcW w:w="1730"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21</w:t>
            </w:r>
          </w:p>
        </w:tc>
        <w:tc>
          <w:tcPr>
            <w:tcW w:w="1709"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 xml:space="preserve">26.25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6" w:hRule="atLeast"/>
          <w:jc w:val="center"/>
        </w:trPr>
        <w:tc>
          <w:tcPr>
            <w:tcW w:w="689"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w w:val="99"/>
                <w:sz w:val="21"/>
                <w:szCs w:val="21"/>
              </w:rPr>
              <w:t>7</w:t>
            </w:r>
          </w:p>
        </w:tc>
        <w:tc>
          <w:tcPr>
            <w:tcW w:w="2346"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取土场、弃土场是否采取了临时应急措施</w:t>
            </w:r>
          </w:p>
        </w:tc>
        <w:tc>
          <w:tcPr>
            <w:tcW w:w="1818" w:type="dxa"/>
            <w:vAlign w:val="center"/>
          </w:tcPr>
          <w:p>
            <w:pPr>
              <w:pStyle w:val="15"/>
              <w:spacing w:line="252" w:lineRule="exact"/>
              <w:ind w:left="119" w:leftChars="0" w:right="113" w:right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c>
          <w:tcPr>
            <w:tcW w:w="1730"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62</w:t>
            </w:r>
          </w:p>
        </w:tc>
        <w:tc>
          <w:tcPr>
            <w:tcW w:w="1709"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 xml:space="preserve">77.50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7" w:hRule="atLeast"/>
          <w:jc w:val="center"/>
        </w:trPr>
        <w:tc>
          <w:tcPr>
            <w:tcW w:w="689"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2346"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1818" w:type="dxa"/>
            <w:vAlign w:val="center"/>
          </w:tcPr>
          <w:p>
            <w:pPr>
              <w:pStyle w:val="15"/>
              <w:spacing w:line="252" w:lineRule="exact"/>
              <w:ind w:left="119" w:leftChars="0" w:right="113" w:right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否</w:t>
            </w:r>
          </w:p>
        </w:tc>
        <w:tc>
          <w:tcPr>
            <w:tcW w:w="1730"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18</w:t>
            </w:r>
          </w:p>
        </w:tc>
        <w:tc>
          <w:tcPr>
            <w:tcW w:w="1709"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 xml:space="preserve">22.50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7" w:hRule="atLeast"/>
          <w:jc w:val="center"/>
        </w:trPr>
        <w:tc>
          <w:tcPr>
            <w:tcW w:w="689"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w w:val="99"/>
                <w:sz w:val="21"/>
                <w:szCs w:val="21"/>
              </w:rPr>
              <w:t>8</w:t>
            </w:r>
          </w:p>
        </w:tc>
        <w:tc>
          <w:tcPr>
            <w:tcW w:w="2346" w:type="dxa"/>
            <w:vMerge w:val="restart"/>
            <w:vAlign w:val="center"/>
          </w:tcPr>
          <w:p>
            <w:pPr>
              <w:pStyle w:val="15"/>
              <w:spacing w:before="1"/>
              <w:ind w:left="107"/>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公路建成后对你影响较大的是</w:t>
            </w:r>
          </w:p>
        </w:tc>
        <w:tc>
          <w:tcPr>
            <w:tcW w:w="1818"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噪声</w:t>
            </w:r>
          </w:p>
        </w:tc>
        <w:tc>
          <w:tcPr>
            <w:tcW w:w="1730"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57</w:t>
            </w:r>
          </w:p>
        </w:tc>
        <w:tc>
          <w:tcPr>
            <w:tcW w:w="1709"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 xml:space="preserve">71.25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689"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w w:val="99"/>
                <w:sz w:val="21"/>
                <w:szCs w:val="21"/>
              </w:rPr>
            </w:pPr>
          </w:p>
        </w:tc>
        <w:tc>
          <w:tcPr>
            <w:tcW w:w="2346" w:type="dxa"/>
            <w:vMerge w:val="continue"/>
            <w:vAlign w:val="center"/>
          </w:tcPr>
          <w:p>
            <w:pPr>
              <w:pStyle w:val="15"/>
              <w:spacing w:before="1"/>
              <w:ind w:left="107"/>
              <w:jc w:val="center"/>
              <w:rPr>
                <w:rFonts w:hint="default" w:ascii="Times New Roman" w:hAnsi="Times New Roman" w:eastAsia="宋体" w:cs="Times New Roman"/>
                <w:sz w:val="21"/>
                <w:szCs w:val="21"/>
              </w:rPr>
            </w:pPr>
          </w:p>
        </w:tc>
        <w:tc>
          <w:tcPr>
            <w:tcW w:w="1818" w:type="dxa"/>
            <w:vAlign w:val="center"/>
          </w:tcPr>
          <w:p>
            <w:pPr>
              <w:pStyle w:val="15"/>
              <w:spacing w:before="6" w:line="259" w:lineRule="exact"/>
              <w:ind w:left="119" w:leftChars="0" w:right="115" w:rightChars="0"/>
              <w:jc w:val="center"/>
              <w:rPr>
                <w:rFonts w:hint="default" w:ascii="Times New Roman" w:hAnsi="Times New Roman" w:eastAsia="宋体" w:cs="Times New Roman"/>
                <w:kern w:val="2"/>
                <w:sz w:val="21"/>
                <w:szCs w:val="21"/>
                <w:lang w:val="zh-CN" w:eastAsia="zh-CN" w:bidi="zh-CN"/>
              </w:rPr>
            </w:pPr>
            <w:r>
              <w:rPr>
                <w:rFonts w:hint="default" w:ascii="Times New Roman" w:hAnsi="Times New Roman" w:eastAsia="宋体" w:cs="Times New Roman"/>
                <w:sz w:val="21"/>
                <w:szCs w:val="21"/>
              </w:rPr>
              <w:t>汽车尾气</w:t>
            </w:r>
          </w:p>
        </w:tc>
        <w:tc>
          <w:tcPr>
            <w:tcW w:w="1730" w:type="dxa"/>
            <w:vAlign w:val="center"/>
          </w:tcPr>
          <w:p>
            <w:pPr>
              <w:keepNext w:val="0"/>
              <w:keepLines w:val="0"/>
              <w:widowControl/>
              <w:suppressLineNumbers w:val="0"/>
              <w:jc w:val="center"/>
              <w:textAlignment w:val="center"/>
              <w:rPr>
                <w:rFonts w:hint="default" w:ascii="Times New Roman" w:hAnsi="Times New Roman" w:eastAsia="宋体" w:cs="Times New Roman"/>
                <w:kern w:val="2"/>
                <w:sz w:val="21"/>
                <w:szCs w:val="21"/>
                <w:lang w:val="en-US" w:eastAsia="zh-CN" w:bidi="zh-CN"/>
              </w:rPr>
            </w:pPr>
            <w:r>
              <w:rPr>
                <w:rFonts w:hint="default" w:ascii="Times New Roman" w:hAnsi="Times New Roman" w:eastAsia="宋体" w:cs="Times New Roman"/>
                <w:i w:val="0"/>
                <w:color w:val="000000"/>
                <w:kern w:val="0"/>
                <w:sz w:val="21"/>
                <w:szCs w:val="21"/>
                <w:u w:val="none"/>
                <w:lang w:val="en-US" w:eastAsia="zh-CN" w:bidi="ar"/>
              </w:rPr>
              <w:t>2</w:t>
            </w:r>
          </w:p>
        </w:tc>
        <w:tc>
          <w:tcPr>
            <w:tcW w:w="1709" w:type="dxa"/>
            <w:vAlign w:val="center"/>
          </w:tcPr>
          <w:p>
            <w:pPr>
              <w:keepNext w:val="0"/>
              <w:keepLines w:val="0"/>
              <w:widowControl/>
              <w:suppressLineNumbers w:val="0"/>
              <w:jc w:val="center"/>
              <w:textAlignment w:val="center"/>
              <w:rPr>
                <w:rFonts w:hint="default" w:ascii="Times New Roman" w:hAnsi="Times New Roman" w:eastAsia="宋体" w:cs="Times New Roman"/>
                <w:kern w:val="2"/>
                <w:sz w:val="21"/>
                <w:szCs w:val="21"/>
                <w:lang w:val="en-US" w:eastAsia="zh-CN" w:bidi="zh-CN"/>
              </w:rPr>
            </w:pPr>
            <w:r>
              <w:rPr>
                <w:rFonts w:hint="default" w:ascii="Times New Roman" w:hAnsi="Times New Roman" w:eastAsia="宋体" w:cs="Times New Roman"/>
                <w:i w:val="0"/>
                <w:color w:val="000000"/>
                <w:kern w:val="0"/>
                <w:sz w:val="21"/>
                <w:szCs w:val="21"/>
                <w:u w:val="none"/>
                <w:lang w:val="en-US" w:eastAsia="zh-CN" w:bidi="ar"/>
              </w:rPr>
              <w:t xml:space="preserve">2.50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5" w:hRule="atLeast"/>
          <w:jc w:val="center"/>
        </w:trPr>
        <w:tc>
          <w:tcPr>
            <w:tcW w:w="689"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w w:val="99"/>
                <w:sz w:val="21"/>
                <w:szCs w:val="21"/>
              </w:rPr>
            </w:pPr>
          </w:p>
        </w:tc>
        <w:tc>
          <w:tcPr>
            <w:tcW w:w="2346" w:type="dxa"/>
            <w:vMerge w:val="continue"/>
            <w:vAlign w:val="center"/>
          </w:tcPr>
          <w:p>
            <w:pPr>
              <w:pStyle w:val="15"/>
              <w:spacing w:before="1"/>
              <w:ind w:left="107"/>
              <w:jc w:val="center"/>
              <w:rPr>
                <w:rFonts w:hint="default" w:ascii="Times New Roman" w:hAnsi="Times New Roman" w:eastAsia="宋体" w:cs="Times New Roman"/>
                <w:sz w:val="21"/>
                <w:szCs w:val="21"/>
              </w:rPr>
            </w:pPr>
          </w:p>
        </w:tc>
        <w:tc>
          <w:tcPr>
            <w:tcW w:w="1818" w:type="dxa"/>
            <w:vAlign w:val="center"/>
          </w:tcPr>
          <w:p>
            <w:pPr>
              <w:pStyle w:val="15"/>
              <w:spacing w:line="252" w:lineRule="exact"/>
              <w:ind w:left="119" w:leftChars="0" w:right="113" w:rightChars="0"/>
              <w:jc w:val="center"/>
              <w:rPr>
                <w:rFonts w:hint="default" w:ascii="Times New Roman" w:hAnsi="Times New Roman" w:eastAsia="宋体" w:cs="Times New Roman"/>
                <w:kern w:val="2"/>
                <w:sz w:val="21"/>
                <w:szCs w:val="21"/>
                <w:lang w:val="zh-CN" w:eastAsia="zh-CN" w:bidi="zh-CN"/>
              </w:rPr>
            </w:pPr>
            <w:r>
              <w:rPr>
                <w:rFonts w:hint="default" w:ascii="Times New Roman" w:hAnsi="Times New Roman" w:eastAsia="宋体" w:cs="Times New Roman"/>
                <w:sz w:val="21"/>
                <w:szCs w:val="21"/>
              </w:rPr>
              <w:t>灰尘</w:t>
            </w:r>
          </w:p>
        </w:tc>
        <w:tc>
          <w:tcPr>
            <w:tcW w:w="1730" w:type="dxa"/>
            <w:vAlign w:val="center"/>
          </w:tcPr>
          <w:p>
            <w:pPr>
              <w:keepNext w:val="0"/>
              <w:keepLines w:val="0"/>
              <w:widowControl/>
              <w:suppressLineNumbers w:val="0"/>
              <w:jc w:val="center"/>
              <w:textAlignment w:val="center"/>
              <w:rPr>
                <w:rFonts w:hint="default" w:ascii="Times New Roman" w:hAnsi="Times New Roman" w:eastAsia="宋体" w:cs="Times New Roman"/>
                <w:kern w:val="2"/>
                <w:sz w:val="21"/>
                <w:szCs w:val="21"/>
                <w:lang w:val="en-US" w:eastAsia="zh-CN" w:bidi="zh-CN"/>
              </w:rPr>
            </w:pPr>
            <w:r>
              <w:rPr>
                <w:rFonts w:hint="default" w:ascii="Times New Roman" w:hAnsi="Times New Roman" w:eastAsia="宋体" w:cs="Times New Roman"/>
                <w:i w:val="0"/>
                <w:color w:val="000000"/>
                <w:kern w:val="0"/>
                <w:sz w:val="21"/>
                <w:szCs w:val="21"/>
                <w:u w:val="none"/>
                <w:lang w:val="en-US" w:eastAsia="zh-CN" w:bidi="ar"/>
              </w:rPr>
              <w:t>13</w:t>
            </w:r>
          </w:p>
        </w:tc>
        <w:tc>
          <w:tcPr>
            <w:tcW w:w="1709" w:type="dxa"/>
            <w:vAlign w:val="center"/>
          </w:tcPr>
          <w:p>
            <w:pPr>
              <w:keepNext w:val="0"/>
              <w:keepLines w:val="0"/>
              <w:widowControl/>
              <w:suppressLineNumbers w:val="0"/>
              <w:jc w:val="center"/>
              <w:textAlignment w:val="center"/>
              <w:rPr>
                <w:rFonts w:hint="default" w:ascii="Times New Roman" w:hAnsi="Times New Roman" w:eastAsia="宋体" w:cs="Times New Roman"/>
                <w:kern w:val="2"/>
                <w:sz w:val="21"/>
                <w:szCs w:val="21"/>
                <w:lang w:val="en-US" w:eastAsia="zh-CN" w:bidi="zh-CN"/>
              </w:rPr>
            </w:pPr>
            <w:r>
              <w:rPr>
                <w:rFonts w:hint="default" w:ascii="Times New Roman" w:hAnsi="Times New Roman" w:eastAsia="宋体" w:cs="Times New Roman"/>
                <w:i w:val="0"/>
                <w:color w:val="000000"/>
                <w:kern w:val="0"/>
                <w:sz w:val="21"/>
                <w:szCs w:val="21"/>
                <w:u w:val="none"/>
                <w:lang w:val="en-US" w:eastAsia="zh-CN" w:bidi="ar"/>
              </w:rPr>
              <w:t xml:space="preserve">16.25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5" w:hRule="atLeast"/>
          <w:jc w:val="center"/>
        </w:trPr>
        <w:tc>
          <w:tcPr>
            <w:tcW w:w="689"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w w:val="99"/>
                <w:sz w:val="21"/>
                <w:szCs w:val="21"/>
              </w:rPr>
            </w:pPr>
          </w:p>
        </w:tc>
        <w:tc>
          <w:tcPr>
            <w:tcW w:w="2346" w:type="dxa"/>
            <w:vMerge w:val="continue"/>
            <w:vAlign w:val="center"/>
          </w:tcPr>
          <w:p>
            <w:pPr>
              <w:pStyle w:val="15"/>
              <w:spacing w:before="1"/>
              <w:ind w:left="107"/>
              <w:jc w:val="center"/>
              <w:rPr>
                <w:rFonts w:hint="default" w:ascii="Times New Roman" w:hAnsi="Times New Roman" w:eastAsia="宋体" w:cs="Times New Roman"/>
                <w:sz w:val="21"/>
                <w:szCs w:val="21"/>
              </w:rPr>
            </w:pPr>
          </w:p>
        </w:tc>
        <w:tc>
          <w:tcPr>
            <w:tcW w:w="1818" w:type="dxa"/>
            <w:vAlign w:val="center"/>
          </w:tcPr>
          <w:p>
            <w:pPr>
              <w:pStyle w:val="15"/>
              <w:spacing w:line="252" w:lineRule="exact"/>
              <w:ind w:left="119" w:leftChars="0" w:right="113" w:rightChars="0"/>
              <w:jc w:val="center"/>
              <w:rPr>
                <w:rFonts w:hint="default" w:ascii="Times New Roman" w:hAnsi="Times New Roman" w:eastAsia="宋体" w:cs="Times New Roman"/>
                <w:kern w:val="2"/>
                <w:sz w:val="21"/>
                <w:szCs w:val="21"/>
                <w:lang w:val="zh-CN" w:eastAsia="zh-CN" w:bidi="zh-CN"/>
              </w:rPr>
            </w:pPr>
            <w:r>
              <w:rPr>
                <w:rFonts w:hint="default" w:ascii="Times New Roman" w:hAnsi="Times New Roman" w:eastAsia="宋体" w:cs="Times New Roman"/>
                <w:sz w:val="21"/>
                <w:szCs w:val="21"/>
              </w:rPr>
              <w:t>其它</w:t>
            </w:r>
          </w:p>
        </w:tc>
        <w:tc>
          <w:tcPr>
            <w:tcW w:w="1730" w:type="dxa"/>
            <w:vAlign w:val="center"/>
          </w:tcPr>
          <w:p>
            <w:pPr>
              <w:keepNext w:val="0"/>
              <w:keepLines w:val="0"/>
              <w:widowControl/>
              <w:suppressLineNumbers w:val="0"/>
              <w:jc w:val="center"/>
              <w:textAlignment w:val="center"/>
              <w:rPr>
                <w:rFonts w:hint="default" w:ascii="Times New Roman" w:hAnsi="Times New Roman" w:eastAsia="宋体" w:cs="Times New Roman"/>
                <w:kern w:val="2"/>
                <w:sz w:val="21"/>
                <w:szCs w:val="21"/>
                <w:lang w:val="en-US" w:eastAsia="zh-CN" w:bidi="zh-CN"/>
              </w:rPr>
            </w:pPr>
            <w:r>
              <w:rPr>
                <w:rFonts w:hint="default" w:ascii="Times New Roman" w:hAnsi="Times New Roman" w:eastAsia="宋体" w:cs="Times New Roman"/>
                <w:i w:val="0"/>
                <w:color w:val="000000"/>
                <w:kern w:val="0"/>
                <w:sz w:val="21"/>
                <w:szCs w:val="21"/>
                <w:u w:val="none"/>
                <w:lang w:val="en-US" w:eastAsia="zh-CN" w:bidi="ar"/>
              </w:rPr>
              <w:t>8</w:t>
            </w:r>
          </w:p>
        </w:tc>
        <w:tc>
          <w:tcPr>
            <w:tcW w:w="1709" w:type="dxa"/>
            <w:vAlign w:val="center"/>
          </w:tcPr>
          <w:p>
            <w:pPr>
              <w:keepNext w:val="0"/>
              <w:keepLines w:val="0"/>
              <w:widowControl/>
              <w:suppressLineNumbers w:val="0"/>
              <w:jc w:val="center"/>
              <w:textAlignment w:val="center"/>
              <w:rPr>
                <w:rFonts w:hint="default" w:ascii="Times New Roman" w:hAnsi="Times New Roman" w:eastAsia="宋体" w:cs="Times New Roman"/>
                <w:kern w:val="2"/>
                <w:sz w:val="21"/>
                <w:szCs w:val="21"/>
                <w:lang w:val="en-US" w:eastAsia="zh-CN" w:bidi="zh-CN"/>
              </w:rPr>
            </w:pPr>
            <w:r>
              <w:rPr>
                <w:rFonts w:hint="default" w:ascii="Times New Roman" w:hAnsi="Times New Roman" w:eastAsia="宋体" w:cs="Times New Roman"/>
                <w:i w:val="0"/>
                <w:color w:val="000000"/>
                <w:kern w:val="0"/>
                <w:sz w:val="21"/>
                <w:szCs w:val="21"/>
                <w:u w:val="none"/>
                <w:lang w:val="en-US" w:eastAsia="zh-CN" w:bidi="ar"/>
              </w:rPr>
              <w:t xml:space="preserve">10.00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4" w:hRule="atLeast"/>
          <w:jc w:val="center"/>
        </w:trPr>
        <w:tc>
          <w:tcPr>
            <w:tcW w:w="689" w:type="dxa"/>
            <w:vMerge w:val="restart"/>
            <w:vAlign w:val="center"/>
          </w:tcPr>
          <w:p>
            <w:pPr>
              <w:pStyle w:val="15"/>
              <w:ind w:left="8"/>
              <w:jc w:val="center"/>
              <w:rPr>
                <w:rFonts w:hint="default" w:ascii="Times New Roman" w:hAnsi="Times New Roman" w:eastAsia="宋体" w:cs="Times New Roman"/>
                <w:sz w:val="21"/>
                <w:szCs w:val="21"/>
              </w:rPr>
            </w:pPr>
            <w:r>
              <w:rPr>
                <w:rFonts w:hint="default" w:ascii="Times New Roman" w:hAnsi="Times New Roman" w:eastAsia="宋体" w:cs="Times New Roman"/>
                <w:w w:val="99"/>
                <w:sz w:val="21"/>
                <w:szCs w:val="21"/>
              </w:rPr>
              <w:t>9</w:t>
            </w:r>
          </w:p>
        </w:tc>
        <w:tc>
          <w:tcPr>
            <w:tcW w:w="2346" w:type="dxa"/>
            <w:vMerge w:val="restart"/>
            <w:vAlign w:val="center"/>
          </w:tcPr>
          <w:p>
            <w:pPr>
              <w:pStyle w:val="15"/>
              <w:spacing w:before="147" w:line="242" w:lineRule="auto"/>
              <w:ind w:left="107" w:right="105"/>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公路建成后的通行是否满意</w:t>
            </w:r>
          </w:p>
        </w:tc>
        <w:tc>
          <w:tcPr>
            <w:tcW w:w="1818" w:type="dxa"/>
            <w:vAlign w:val="center"/>
          </w:tcPr>
          <w:p>
            <w:pPr>
              <w:pStyle w:val="15"/>
              <w:spacing w:before="1" w:line="252" w:lineRule="exact"/>
              <w:ind w:left="119" w:right="113"/>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满意</w:t>
            </w:r>
          </w:p>
        </w:tc>
        <w:tc>
          <w:tcPr>
            <w:tcW w:w="1730"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57</w:t>
            </w:r>
          </w:p>
        </w:tc>
        <w:tc>
          <w:tcPr>
            <w:tcW w:w="1709"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 xml:space="preserve">71.25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4" w:hRule="atLeast"/>
          <w:jc w:val="center"/>
        </w:trPr>
        <w:tc>
          <w:tcPr>
            <w:tcW w:w="689" w:type="dxa"/>
            <w:vMerge w:val="continue"/>
            <w:tcBorders>
              <w:top w:val="nil"/>
            </w:tcBorders>
            <w:vAlign w:val="center"/>
          </w:tcPr>
          <w:p>
            <w:pPr>
              <w:jc w:val="center"/>
              <w:rPr>
                <w:rFonts w:hint="default" w:ascii="Times New Roman" w:hAnsi="Times New Roman" w:eastAsia="宋体" w:cs="Times New Roman"/>
                <w:sz w:val="21"/>
                <w:szCs w:val="21"/>
              </w:rPr>
            </w:pPr>
          </w:p>
        </w:tc>
        <w:tc>
          <w:tcPr>
            <w:tcW w:w="2346" w:type="dxa"/>
            <w:vMerge w:val="continue"/>
            <w:tcBorders>
              <w:top w:val="nil"/>
            </w:tcBorders>
            <w:vAlign w:val="center"/>
          </w:tcPr>
          <w:p>
            <w:pPr>
              <w:jc w:val="center"/>
              <w:rPr>
                <w:rFonts w:hint="default" w:ascii="Times New Roman" w:hAnsi="Times New Roman" w:eastAsia="宋体" w:cs="Times New Roman"/>
                <w:sz w:val="21"/>
                <w:szCs w:val="21"/>
              </w:rPr>
            </w:pPr>
          </w:p>
        </w:tc>
        <w:tc>
          <w:tcPr>
            <w:tcW w:w="1818" w:type="dxa"/>
            <w:vAlign w:val="center"/>
          </w:tcPr>
          <w:p>
            <w:pPr>
              <w:pStyle w:val="15"/>
              <w:spacing w:line="252" w:lineRule="exact"/>
              <w:ind w:left="119" w:right="115"/>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基本满意</w:t>
            </w:r>
          </w:p>
        </w:tc>
        <w:tc>
          <w:tcPr>
            <w:tcW w:w="1730"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15</w:t>
            </w:r>
          </w:p>
        </w:tc>
        <w:tc>
          <w:tcPr>
            <w:tcW w:w="1709"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 xml:space="preserve">18.75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7" w:hRule="atLeast"/>
          <w:jc w:val="center"/>
        </w:trPr>
        <w:tc>
          <w:tcPr>
            <w:tcW w:w="689" w:type="dxa"/>
            <w:vMerge w:val="continue"/>
            <w:tcBorders>
              <w:top w:val="nil"/>
            </w:tcBorders>
            <w:vAlign w:val="center"/>
          </w:tcPr>
          <w:p>
            <w:pPr>
              <w:jc w:val="center"/>
              <w:rPr>
                <w:rFonts w:hint="default" w:ascii="Times New Roman" w:hAnsi="Times New Roman" w:eastAsia="宋体" w:cs="Times New Roman"/>
                <w:sz w:val="21"/>
                <w:szCs w:val="21"/>
              </w:rPr>
            </w:pPr>
          </w:p>
        </w:tc>
        <w:tc>
          <w:tcPr>
            <w:tcW w:w="2346" w:type="dxa"/>
            <w:vMerge w:val="continue"/>
            <w:tcBorders>
              <w:top w:val="nil"/>
            </w:tcBorders>
            <w:vAlign w:val="center"/>
          </w:tcPr>
          <w:p>
            <w:pPr>
              <w:jc w:val="center"/>
              <w:rPr>
                <w:rFonts w:hint="default" w:ascii="Times New Roman" w:hAnsi="Times New Roman" w:eastAsia="宋体" w:cs="Times New Roman"/>
                <w:sz w:val="21"/>
                <w:szCs w:val="21"/>
              </w:rPr>
            </w:pPr>
          </w:p>
        </w:tc>
        <w:tc>
          <w:tcPr>
            <w:tcW w:w="1818" w:type="dxa"/>
            <w:vAlign w:val="center"/>
          </w:tcPr>
          <w:p>
            <w:pPr>
              <w:pStyle w:val="15"/>
              <w:spacing w:line="252" w:lineRule="exact"/>
              <w:ind w:left="119" w:right="113"/>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不满意</w:t>
            </w:r>
          </w:p>
        </w:tc>
        <w:tc>
          <w:tcPr>
            <w:tcW w:w="1730"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8</w:t>
            </w:r>
          </w:p>
        </w:tc>
        <w:tc>
          <w:tcPr>
            <w:tcW w:w="1709"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 xml:space="preserve">10.00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4" w:hRule="atLeast"/>
          <w:jc w:val="center"/>
        </w:trPr>
        <w:tc>
          <w:tcPr>
            <w:tcW w:w="689" w:type="dxa"/>
            <w:vMerge w:val="restart"/>
            <w:vAlign w:val="center"/>
          </w:tcPr>
          <w:p>
            <w:pPr>
              <w:pStyle w:val="15"/>
              <w:ind w:left="116"/>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w:t>
            </w:r>
          </w:p>
        </w:tc>
        <w:tc>
          <w:tcPr>
            <w:tcW w:w="2346" w:type="dxa"/>
            <w:vMerge w:val="restart"/>
            <w:vAlign w:val="center"/>
          </w:tcPr>
          <w:p>
            <w:pPr>
              <w:pStyle w:val="15"/>
              <w:spacing w:before="148" w:line="242" w:lineRule="auto"/>
              <w:ind w:left="107" w:right="105"/>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附近通道内是否有积水现象</w:t>
            </w:r>
          </w:p>
        </w:tc>
        <w:tc>
          <w:tcPr>
            <w:tcW w:w="1818" w:type="dxa"/>
            <w:vAlign w:val="center"/>
          </w:tcPr>
          <w:p>
            <w:pPr>
              <w:pStyle w:val="15"/>
              <w:spacing w:before="1" w:line="251" w:lineRule="exact"/>
              <w:ind w:left="119" w:right="113"/>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经常有</w:t>
            </w:r>
          </w:p>
        </w:tc>
        <w:tc>
          <w:tcPr>
            <w:tcW w:w="1730"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9</w:t>
            </w:r>
          </w:p>
        </w:tc>
        <w:tc>
          <w:tcPr>
            <w:tcW w:w="1709"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 xml:space="preserve">11.25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4" w:hRule="atLeast"/>
          <w:jc w:val="center"/>
        </w:trPr>
        <w:tc>
          <w:tcPr>
            <w:tcW w:w="689" w:type="dxa"/>
            <w:vMerge w:val="continue"/>
            <w:tcBorders>
              <w:top w:val="nil"/>
            </w:tcBorders>
            <w:vAlign w:val="center"/>
          </w:tcPr>
          <w:p>
            <w:pPr>
              <w:jc w:val="center"/>
              <w:rPr>
                <w:rFonts w:hint="default" w:ascii="Times New Roman" w:hAnsi="Times New Roman" w:eastAsia="宋体" w:cs="Times New Roman"/>
                <w:sz w:val="21"/>
                <w:szCs w:val="21"/>
              </w:rPr>
            </w:pPr>
          </w:p>
        </w:tc>
        <w:tc>
          <w:tcPr>
            <w:tcW w:w="2346" w:type="dxa"/>
            <w:vMerge w:val="continue"/>
            <w:tcBorders>
              <w:top w:val="nil"/>
            </w:tcBorders>
            <w:vAlign w:val="center"/>
          </w:tcPr>
          <w:p>
            <w:pPr>
              <w:jc w:val="center"/>
              <w:rPr>
                <w:rFonts w:hint="default" w:ascii="Times New Roman" w:hAnsi="Times New Roman" w:eastAsia="宋体" w:cs="Times New Roman"/>
                <w:sz w:val="21"/>
                <w:szCs w:val="21"/>
              </w:rPr>
            </w:pPr>
          </w:p>
        </w:tc>
        <w:tc>
          <w:tcPr>
            <w:tcW w:w="1818" w:type="dxa"/>
            <w:vAlign w:val="center"/>
          </w:tcPr>
          <w:p>
            <w:pPr>
              <w:pStyle w:val="15"/>
              <w:spacing w:line="252" w:lineRule="exact"/>
              <w:ind w:left="119" w:right="113"/>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偶尔有</w:t>
            </w:r>
          </w:p>
        </w:tc>
        <w:tc>
          <w:tcPr>
            <w:tcW w:w="1730"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32</w:t>
            </w:r>
          </w:p>
        </w:tc>
        <w:tc>
          <w:tcPr>
            <w:tcW w:w="1709"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 xml:space="preserve">40.00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3" w:hRule="atLeast"/>
          <w:jc w:val="center"/>
        </w:trPr>
        <w:tc>
          <w:tcPr>
            <w:tcW w:w="689" w:type="dxa"/>
            <w:vMerge w:val="continue"/>
            <w:tcBorders>
              <w:top w:val="nil"/>
            </w:tcBorders>
            <w:vAlign w:val="center"/>
          </w:tcPr>
          <w:p>
            <w:pPr>
              <w:jc w:val="center"/>
              <w:rPr>
                <w:rFonts w:hint="default" w:ascii="Times New Roman" w:hAnsi="Times New Roman" w:eastAsia="宋体" w:cs="Times New Roman"/>
                <w:sz w:val="21"/>
                <w:szCs w:val="21"/>
              </w:rPr>
            </w:pPr>
          </w:p>
        </w:tc>
        <w:tc>
          <w:tcPr>
            <w:tcW w:w="2346" w:type="dxa"/>
            <w:vMerge w:val="continue"/>
            <w:tcBorders>
              <w:top w:val="nil"/>
            </w:tcBorders>
            <w:vAlign w:val="center"/>
          </w:tcPr>
          <w:p>
            <w:pPr>
              <w:jc w:val="center"/>
              <w:rPr>
                <w:rFonts w:hint="default" w:ascii="Times New Roman" w:hAnsi="Times New Roman" w:eastAsia="宋体" w:cs="Times New Roman"/>
                <w:sz w:val="21"/>
                <w:szCs w:val="21"/>
              </w:rPr>
            </w:pPr>
          </w:p>
        </w:tc>
        <w:tc>
          <w:tcPr>
            <w:tcW w:w="1818" w:type="dxa"/>
            <w:vAlign w:val="center"/>
          </w:tcPr>
          <w:p>
            <w:pPr>
              <w:pStyle w:val="15"/>
              <w:spacing w:line="251" w:lineRule="exact"/>
              <w:ind w:left="119" w:right="113"/>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没有</w:t>
            </w:r>
          </w:p>
        </w:tc>
        <w:tc>
          <w:tcPr>
            <w:tcW w:w="1730"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39</w:t>
            </w:r>
          </w:p>
        </w:tc>
        <w:tc>
          <w:tcPr>
            <w:tcW w:w="1709"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 xml:space="preserve">48.75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5" w:hRule="atLeast"/>
          <w:jc w:val="center"/>
        </w:trPr>
        <w:tc>
          <w:tcPr>
            <w:tcW w:w="689" w:type="dxa"/>
            <w:vMerge w:val="restart"/>
            <w:vAlign w:val="center"/>
          </w:tcPr>
          <w:p>
            <w:pPr>
              <w:pStyle w:val="15"/>
              <w:spacing w:before="156"/>
              <w:ind w:left="121"/>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w:t>
            </w:r>
          </w:p>
        </w:tc>
        <w:tc>
          <w:tcPr>
            <w:tcW w:w="2346" w:type="dxa"/>
            <w:vMerge w:val="restart"/>
            <w:vAlign w:val="center"/>
          </w:tcPr>
          <w:p>
            <w:pPr>
              <w:pStyle w:val="15"/>
              <w:spacing w:line="244" w:lineRule="auto"/>
              <w:ind w:left="107" w:right="105"/>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建议采取何种措施减轻影响</w:t>
            </w:r>
          </w:p>
        </w:tc>
        <w:tc>
          <w:tcPr>
            <w:tcW w:w="1818" w:type="dxa"/>
            <w:vAlign w:val="center"/>
          </w:tcPr>
          <w:p>
            <w:pPr>
              <w:pStyle w:val="15"/>
              <w:spacing w:before="2" w:line="251" w:lineRule="exact"/>
              <w:ind w:left="119" w:right="113"/>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绿化</w:t>
            </w:r>
          </w:p>
        </w:tc>
        <w:tc>
          <w:tcPr>
            <w:tcW w:w="1730"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55</w:t>
            </w:r>
          </w:p>
        </w:tc>
        <w:tc>
          <w:tcPr>
            <w:tcW w:w="1709"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 xml:space="preserve">68.75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3" w:hRule="atLeast"/>
          <w:jc w:val="center"/>
        </w:trPr>
        <w:tc>
          <w:tcPr>
            <w:tcW w:w="689" w:type="dxa"/>
            <w:vMerge w:val="continue"/>
            <w:tcBorders>
              <w:top w:val="nil"/>
            </w:tcBorders>
            <w:vAlign w:val="center"/>
          </w:tcPr>
          <w:p>
            <w:pPr>
              <w:jc w:val="center"/>
              <w:rPr>
                <w:rFonts w:hint="default" w:ascii="Times New Roman" w:hAnsi="Times New Roman" w:eastAsia="宋体" w:cs="Times New Roman"/>
                <w:sz w:val="21"/>
                <w:szCs w:val="21"/>
              </w:rPr>
            </w:pPr>
          </w:p>
        </w:tc>
        <w:tc>
          <w:tcPr>
            <w:tcW w:w="2346" w:type="dxa"/>
            <w:vMerge w:val="continue"/>
            <w:tcBorders>
              <w:top w:val="nil"/>
            </w:tcBorders>
            <w:vAlign w:val="center"/>
          </w:tcPr>
          <w:p>
            <w:pPr>
              <w:jc w:val="center"/>
              <w:rPr>
                <w:rFonts w:hint="default" w:ascii="Times New Roman" w:hAnsi="Times New Roman" w:eastAsia="宋体" w:cs="Times New Roman"/>
                <w:sz w:val="21"/>
                <w:szCs w:val="21"/>
              </w:rPr>
            </w:pPr>
          </w:p>
        </w:tc>
        <w:tc>
          <w:tcPr>
            <w:tcW w:w="1818" w:type="dxa"/>
            <w:vAlign w:val="center"/>
          </w:tcPr>
          <w:p>
            <w:pPr>
              <w:pStyle w:val="15"/>
              <w:spacing w:line="252" w:lineRule="exact"/>
              <w:ind w:left="119" w:right="113"/>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声屏障</w:t>
            </w:r>
          </w:p>
        </w:tc>
        <w:tc>
          <w:tcPr>
            <w:tcW w:w="1730"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20</w:t>
            </w:r>
          </w:p>
        </w:tc>
        <w:tc>
          <w:tcPr>
            <w:tcW w:w="1709"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 xml:space="preserve">25.00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4" w:hRule="atLeast"/>
          <w:jc w:val="center"/>
        </w:trPr>
        <w:tc>
          <w:tcPr>
            <w:tcW w:w="689" w:type="dxa"/>
            <w:vMerge w:val="continue"/>
            <w:tcBorders>
              <w:top w:val="nil"/>
            </w:tcBorders>
            <w:vAlign w:val="center"/>
          </w:tcPr>
          <w:p>
            <w:pPr>
              <w:jc w:val="center"/>
              <w:rPr>
                <w:rFonts w:hint="default" w:ascii="Times New Roman" w:hAnsi="Times New Roman" w:eastAsia="宋体" w:cs="Times New Roman"/>
                <w:sz w:val="21"/>
                <w:szCs w:val="21"/>
              </w:rPr>
            </w:pPr>
          </w:p>
        </w:tc>
        <w:tc>
          <w:tcPr>
            <w:tcW w:w="2346" w:type="dxa"/>
            <w:vMerge w:val="continue"/>
            <w:tcBorders>
              <w:top w:val="nil"/>
            </w:tcBorders>
            <w:vAlign w:val="center"/>
          </w:tcPr>
          <w:p>
            <w:pPr>
              <w:jc w:val="center"/>
              <w:rPr>
                <w:rFonts w:hint="default" w:ascii="Times New Roman" w:hAnsi="Times New Roman" w:eastAsia="宋体" w:cs="Times New Roman"/>
                <w:sz w:val="21"/>
                <w:szCs w:val="21"/>
              </w:rPr>
            </w:pPr>
          </w:p>
        </w:tc>
        <w:tc>
          <w:tcPr>
            <w:tcW w:w="1818" w:type="dxa"/>
            <w:vAlign w:val="center"/>
          </w:tcPr>
          <w:p>
            <w:pPr>
              <w:pStyle w:val="15"/>
              <w:spacing w:before="1" w:line="251" w:lineRule="exact"/>
              <w:ind w:left="119" w:right="113"/>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限速</w:t>
            </w:r>
          </w:p>
        </w:tc>
        <w:tc>
          <w:tcPr>
            <w:tcW w:w="1730"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5</w:t>
            </w:r>
          </w:p>
        </w:tc>
        <w:tc>
          <w:tcPr>
            <w:tcW w:w="1709"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 xml:space="preserve">6.25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5" w:hRule="atLeast"/>
          <w:jc w:val="center"/>
        </w:trPr>
        <w:tc>
          <w:tcPr>
            <w:tcW w:w="689" w:type="dxa"/>
            <w:vMerge w:val="continue"/>
            <w:tcBorders>
              <w:top w:val="nil"/>
            </w:tcBorders>
            <w:vAlign w:val="center"/>
          </w:tcPr>
          <w:p>
            <w:pPr>
              <w:jc w:val="center"/>
              <w:rPr>
                <w:rFonts w:hint="default" w:ascii="Times New Roman" w:hAnsi="Times New Roman" w:eastAsia="宋体" w:cs="Times New Roman"/>
                <w:sz w:val="21"/>
                <w:szCs w:val="21"/>
              </w:rPr>
            </w:pPr>
          </w:p>
        </w:tc>
        <w:tc>
          <w:tcPr>
            <w:tcW w:w="2346" w:type="dxa"/>
            <w:vMerge w:val="continue"/>
            <w:tcBorders>
              <w:top w:val="nil"/>
            </w:tcBorders>
            <w:vAlign w:val="center"/>
          </w:tcPr>
          <w:p>
            <w:pPr>
              <w:jc w:val="center"/>
              <w:rPr>
                <w:rFonts w:hint="default" w:ascii="Times New Roman" w:hAnsi="Times New Roman" w:eastAsia="宋体" w:cs="Times New Roman"/>
                <w:sz w:val="21"/>
                <w:szCs w:val="21"/>
              </w:rPr>
            </w:pPr>
          </w:p>
        </w:tc>
        <w:tc>
          <w:tcPr>
            <w:tcW w:w="1818" w:type="dxa"/>
            <w:vAlign w:val="center"/>
          </w:tcPr>
          <w:p>
            <w:pPr>
              <w:pStyle w:val="15"/>
              <w:spacing w:before="2" w:line="251" w:lineRule="exact"/>
              <w:ind w:left="119" w:right="113"/>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其它</w:t>
            </w:r>
          </w:p>
        </w:tc>
        <w:tc>
          <w:tcPr>
            <w:tcW w:w="1730"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0</w:t>
            </w:r>
          </w:p>
        </w:tc>
        <w:tc>
          <w:tcPr>
            <w:tcW w:w="1709"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 xml:space="preserve">0.00 </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从上表可知：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1、63.75%的公众表示修建该公路有利于本地区的经济发展，18.75%认为不利，17.50表示不知道。</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2、51.25%的公众表示施工期对自己影响最大的方面是噪声，31.25%表示是粉尘，17.50%表示是其它方面。</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3、83.25%的公众表示居民区附近150m内没有料场或搅拌站，2.50%表示有，13.75%表示没有注意。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4、22.50%的公众表示在居民区22:00至早晨6:00时段内，有使用高噪声机械施工现象，1.25%表示常有，76.25%表示没有。</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5、81.25%的公众表示公路临时占地采取了复垦、恢复等措施，18.75%表示未采取恢复措施。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6、73.75%的公众表示占压农业水利设施时采取了临时应急措施，26.25%表示没有采取相关措施。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7、77.50%的公众表示取土场、弃土场采取了利用、恢复措施，22.50%的公众表示没有。</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8、71.25%的公众表示公路建成后对自己影响较大的是噪声，2.50%表示是汽车尾气，16.25%表示是粉尘，2.50%表示是其它方面。</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9、90%的公众对公路建成后的通行表示满意或基本满意。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10、11.25%的公众表示附近通道内常有积水现象，40%表示偶尔有，,48.75%表示没有。</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11、68.75%的公众建议采取绿化措施减轻交通噪声的影响，25.00%认为安装声屏障有效果，6.25%认为应安装隔声窗。</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2"/>
        <w:rPr>
          <w:rFonts w:hint="default" w:ascii="Times New Roman" w:hAnsi="Times New Roman" w:eastAsia="宋体" w:cs="Times New Roman"/>
          <w:sz w:val="24"/>
          <w:szCs w:val="24"/>
          <w:lang w:val="en-US" w:eastAsia="zh-CN"/>
        </w:rPr>
      </w:pPr>
      <w:bookmarkStart w:id="79" w:name="_Toc10664"/>
      <w:r>
        <w:rPr>
          <w:rFonts w:hint="eastAsia" w:ascii="Times New Roman" w:hAnsi="Times New Roman" w:eastAsia="宋体" w:cs="Times New Roman"/>
          <w:sz w:val="24"/>
          <w:szCs w:val="24"/>
          <w:lang w:val="en-US" w:eastAsia="zh-CN"/>
        </w:rPr>
        <w:t>8.2.3小结与建议</w:t>
      </w:r>
      <w:bookmarkEnd w:id="79"/>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100%的司乘人员对本公路工程环境保护工作的总体评价为满意或基本满意；93.75%的公众对本公路工程环境保护工作的总体评价为满意或基本满意。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建议建设单位和有关部门重视公众提出的合理意见和建议，结合具体情况进一步采取有效措施，切实解决好与群众生活和切身利益息息相关的问题。</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outlineLvl w:val="0"/>
        <w:rPr>
          <w:rFonts w:hint="default" w:ascii="Times New Roman" w:hAnsi="Times New Roman" w:eastAsia="宋体" w:cs="Times New Roman"/>
          <w:b/>
          <w:bCs/>
          <w:sz w:val="24"/>
          <w:szCs w:val="24"/>
          <w:lang w:val="en-US" w:eastAsia="zh-CN"/>
        </w:rPr>
      </w:pPr>
      <w:bookmarkStart w:id="80" w:name="_Toc1714"/>
      <w:r>
        <w:rPr>
          <w:rFonts w:hint="eastAsia" w:ascii="Times New Roman" w:hAnsi="Times New Roman" w:eastAsia="宋体" w:cs="Times New Roman"/>
          <w:b/>
          <w:bCs/>
          <w:sz w:val="24"/>
          <w:szCs w:val="24"/>
          <w:lang w:val="en-US" w:eastAsia="zh-CN"/>
        </w:rPr>
        <w:t>9 风险事故防范与应急措施调查</w:t>
      </w:r>
      <w:bookmarkEnd w:id="80"/>
    </w:p>
    <w:p>
      <w:pPr>
        <w:keepNext w:val="0"/>
        <w:keepLines w:val="0"/>
        <w:pageBreakBefore w:val="0"/>
        <w:widowControl w:val="0"/>
        <w:kinsoku/>
        <w:wordWrap/>
        <w:overflowPunct/>
        <w:topLinePunct w:val="0"/>
        <w:autoSpaceDE/>
        <w:autoSpaceDN/>
        <w:bidi w:val="0"/>
        <w:adjustRightInd/>
        <w:snapToGrid/>
        <w:spacing w:line="360" w:lineRule="auto"/>
        <w:jc w:val="left"/>
        <w:textAlignment w:val="auto"/>
        <w:outlineLvl w:val="1"/>
        <w:rPr>
          <w:rFonts w:hint="default" w:ascii="Times New Roman" w:hAnsi="Times New Roman" w:eastAsia="宋体" w:cs="Times New Roman"/>
          <w:sz w:val="24"/>
          <w:szCs w:val="24"/>
          <w:lang w:val="en-US" w:eastAsia="zh-CN"/>
        </w:rPr>
      </w:pPr>
      <w:bookmarkStart w:id="81" w:name="_Toc14805"/>
      <w:r>
        <w:rPr>
          <w:rFonts w:hint="eastAsia" w:ascii="Times New Roman" w:hAnsi="Times New Roman" w:eastAsia="宋体" w:cs="Times New Roman"/>
          <w:sz w:val="24"/>
          <w:szCs w:val="24"/>
          <w:lang w:val="en-US" w:eastAsia="zh-CN"/>
        </w:rPr>
        <w:t>9.1风险因素调查</w:t>
      </w:r>
      <w:bookmarkEnd w:id="81"/>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在危险品运输过程中，如发生危险品燃烧、爆炸、溢漏、逸散，会给事故发生地甚至更广大地区的人民群众生命财产造成直接危害，对周围的水域、大气、生态环境也会造成严重的污染和破坏。</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outlineLvl w:val="1"/>
        <w:rPr>
          <w:rFonts w:hint="default" w:ascii="Times New Roman" w:hAnsi="Times New Roman" w:eastAsia="宋体" w:cs="Times New Roman"/>
          <w:sz w:val="24"/>
          <w:szCs w:val="24"/>
          <w:lang w:val="en-US" w:eastAsia="zh-CN"/>
        </w:rPr>
      </w:pPr>
      <w:bookmarkStart w:id="82" w:name="_Toc17497"/>
      <w:r>
        <w:rPr>
          <w:rFonts w:hint="eastAsia" w:ascii="Times New Roman" w:hAnsi="Times New Roman" w:eastAsia="宋体" w:cs="Times New Roman"/>
          <w:sz w:val="24"/>
          <w:szCs w:val="24"/>
          <w:lang w:val="en-US" w:eastAsia="zh-CN"/>
        </w:rPr>
        <w:t>9.2风险防范与预防措施</w:t>
      </w:r>
      <w:bookmarkEnd w:id="82"/>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本工程自竣工试运营以来，未发生过环境风险事故。</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2"/>
        <w:rPr>
          <w:rFonts w:hint="default" w:ascii="Times New Roman" w:hAnsi="Times New Roman" w:eastAsia="宋体" w:cs="Times New Roman"/>
          <w:sz w:val="24"/>
          <w:szCs w:val="24"/>
          <w:lang w:val="en-US" w:eastAsia="zh-CN"/>
        </w:rPr>
      </w:pPr>
      <w:bookmarkStart w:id="83" w:name="_Toc28918"/>
      <w:r>
        <w:rPr>
          <w:rFonts w:hint="eastAsia" w:ascii="Times New Roman" w:hAnsi="Times New Roman" w:eastAsia="宋体" w:cs="Times New Roman"/>
          <w:sz w:val="24"/>
          <w:szCs w:val="24"/>
          <w:lang w:val="en-US" w:eastAsia="zh-CN"/>
        </w:rPr>
        <w:t>9.2.1主要预防措施</w:t>
      </w:r>
      <w:bookmarkEnd w:id="83"/>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防范危险品运输风险事故的最主要措施是要严格执行国家和行业部门颁布的危险货物运输相关法规。相关法规有∶《危险化学品安全管理条例》、《道路危险货物运输管理规定》、《中华人民共和国民用爆炸物品管理条例》、《中华人民共和国放射性同位素与射线装置放射保护条例》等。结合道路运输实际，具体的措施如下∶</w:t>
      </w:r>
    </w:p>
    <w:p>
      <w:pPr>
        <w:keepNext w:val="0"/>
        <w:keepLines w:val="0"/>
        <w:pageBreakBefore w:val="0"/>
        <w:widowControl w:val="0"/>
        <w:numPr>
          <w:ilvl w:val="0"/>
          <w:numId w:val="32"/>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加强对从事危险货物运输业主、驾驶员及押运员的安全教育和运输车辆的安全检查，使从业人员具有高度责任感，使车辆处于完好的技术状态。</w:t>
      </w:r>
    </w:p>
    <w:p>
      <w:pPr>
        <w:keepNext w:val="0"/>
        <w:keepLines w:val="0"/>
        <w:pageBreakBefore w:val="0"/>
        <w:widowControl w:val="0"/>
        <w:numPr>
          <w:ilvl w:val="0"/>
          <w:numId w:val="32"/>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危险品运输车辆在进入道路前，应向当地道路运输管理部门领取申书表，并在入口处接受公安或交通管理部门的抽查，并提交申报表。申报表主要报告项目有危险货物运输执照号码、货物品种、等级和编号、收发货人姓名、装细地点、货物特性等。危险品运输车辆一般应安排在交通量较少时段（如夜间）通行，在气候不好的条件下应禁止其上路，从而加强对运输危险品的车辆进行有效管理</w:t>
      </w:r>
      <w:r>
        <w:rPr>
          <w:rFonts w:hint="eastAsia" w:ascii="Times New Roman" w:hAnsi="Times New Roman" w:eastAsia="宋体" w:cs="Times New Roman"/>
          <w:sz w:val="24"/>
          <w:szCs w:val="24"/>
          <w:lang w:val="en-US" w:eastAsia="zh-CN"/>
        </w:rPr>
        <w:t>。</w:t>
      </w:r>
    </w:p>
    <w:p>
      <w:pPr>
        <w:keepNext w:val="0"/>
        <w:keepLines w:val="0"/>
        <w:pageBreakBefore w:val="0"/>
        <w:widowControl w:val="0"/>
        <w:numPr>
          <w:ilvl w:val="0"/>
          <w:numId w:val="32"/>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实行危险品运输车辆的检查制度，在入口处的车道（一般为最外侧车重）设置危险品运输申报点。对申报运输危险品的车辆进行"准运证"、"驾驶员证"、"押运员证"和危险品运输行车路单（以下简称"三证一单"）检查，"三证一单"不全的车辆将不允许驶上道路。除证件检查外，必要时应对运输危险品的车辆进行安全检查。如《压力容器使用证》的有效性及检验合格证等，对有安全隐患的车辆进行安全检查，在未排除隐患前不允许进入道路。</w:t>
      </w:r>
    </w:p>
    <w:p>
      <w:pPr>
        <w:keepNext w:val="0"/>
        <w:keepLines w:val="0"/>
        <w:pageBreakBefore w:val="0"/>
        <w:widowControl w:val="0"/>
        <w:numPr>
          <w:ilvl w:val="0"/>
          <w:numId w:val="32"/>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制作道路危险货物运输事故汇报联系卡，公布各有关部门联系电话，通过入口处发放给过往车辆。如运输有毒、有害物质的危险品运输车辆在拟建道路，尤其是在跨河桥上发生事故导致水体或气体污染时，应及时利用道路上完善的紧急电话向当地公安交通管理部门或相关路段监控通信所（中心）汇报，并及时与所在市、区（镇）公安、消防和环保部门取得联系，以便采取紧急应救措施。</w:t>
      </w:r>
    </w:p>
    <w:p>
      <w:pPr>
        <w:keepNext w:val="0"/>
        <w:keepLines w:val="0"/>
        <w:pageBreakBefore w:val="0"/>
        <w:widowControl w:val="0"/>
        <w:numPr>
          <w:ilvl w:val="0"/>
          <w:numId w:val="32"/>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交通、公安、环保部门要相互配合，提高快速反应、处置能力，要改善和提高相应的装备水平。</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2"/>
        <w:rPr>
          <w:rFonts w:hint="default" w:ascii="Times New Roman" w:hAnsi="Times New Roman" w:eastAsia="宋体" w:cs="Times New Roman"/>
          <w:sz w:val="24"/>
          <w:szCs w:val="24"/>
          <w:lang w:val="en-US" w:eastAsia="zh-CN"/>
        </w:rPr>
      </w:pPr>
      <w:bookmarkStart w:id="84" w:name="_Toc7892"/>
      <w:r>
        <w:rPr>
          <w:rFonts w:hint="eastAsia" w:ascii="Times New Roman" w:hAnsi="Times New Roman" w:eastAsia="宋体" w:cs="Times New Roman"/>
          <w:sz w:val="24"/>
          <w:szCs w:val="24"/>
          <w:lang w:val="en-US" w:eastAsia="zh-CN"/>
        </w:rPr>
        <w:t>9.2.2</w:t>
      </w:r>
      <w:r>
        <w:rPr>
          <w:rFonts w:hint="default" w:ascii="Times New Roman" w:hAnsi="Times New Roman" w:eastAsia="宋体" w:cs="Times New Roman"/>
          <w:sz w:val="24"/>
          <w:szCs w:val="24"/>
          <w:lang w:val="en-US" w:eastAsia="zh-CN"/>
        </w:rPr>
        <w:t>主要应急措施</w:t>
      </w:r>
      <w:bookmarkEnd w:id="84"/>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鉴于本工程跨越高山河、麦架河，为保护水质，应对拟建道路高山河、麦架河河段的危险货物运输风险问题予以足够重视。为此，道路沿线各级地方政府将本道路跨河段运输风险的应急救援问题纳入到道路化学危险货物运输事故应急预案。该应急预案包括组织机构、工作职责和制度、应急工作规程和处置原则等。组织机构由该市（或区）交通局和公安局分管领导联合成立道路化学危险品运输事故协调小组，负责组织协调道路危险品运输事故的抢救和处理工作。</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工作职责主要有研究制订本市道路化学危险品运输安全措施和政策，建立辖区内化学危险品运输业户和车辆、人员档案，定期开展对道路化学危险品运输业户的安全检查，并定期召开协调领导小组成员会议，通报道路化学品运输事故情况，定期组织道路化学品运输业户负责人、驾驶员、押运员、装卸人员进行业务培训和开展应急预案的演练，积极开展各种形式的宣传活动，提高市民和从业人员的安全生产意识，做好道路化学危险品运输事故的统计与上报工作等。</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应急工作规程及处置原则有以下几点∶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①事故发生后，发现人员应及时通过路侧紧急电话或其它通讯方式向管理中心或沿线各区道路化学危险品运输事故协调小组报告。</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②通信中心或协调小组接到事故报告后，应立即通知就近的公路巡警前往事故地点控制现场。同时，通知就近的地方消防部门派消防车辆和人员前往救援。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③如果危险品为固态，可清扫处置，并对事故记录备案</w:t>
      </w:r>
      <w:r>
        <w:rPr>
          <w:rFonts w:hint="eastAsia" w:ascii="Times New Roman" w:hAnsi="Times New Roman" w:eastAsia="宋体" w:cs="Times New Roman"/>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④如果危险品为气态且有剧毒，消防人员应戴防毒面具进行处理</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在危险品逸漏无法避免的情况下，需立即通知环保部门、公安部门，必要时对沿线处于污染范围内的人员进行疏离，避免发生人员中毒伤亡。</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⑤如果危险品为液态，并已进入公共水体，应立即通知环保部门。环保部门接报后立即通知河流下游单位，或附近用水单位停止取用水，同时派环保专家和监测人员到现场进行监测分析，及时打捞掉入水体的危险品容器。</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在拟建道路跨河路段，运输危险货物的车辆如发生泄漏，会对水体产生不良影响。按危险品在水中的状态以及计算扩散模型得到的信息，可选择的水污染控制方法如下∶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①可形成气体或蒸汽的物质，如甲苯。预计受影响的范围，撤离有危险的人员，监控空气和水中的浓度通过大气或水消散或稀释到安全水平。</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②漂浮物质，若为挥发性的，如甲苯，可采用①的方法</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若为非挥发性的在接近和处理安全的条件下，可采用围护、回收、吸收、扩散、燃烧等方法处理。对可烧或有毒的化学品还必须采用限制措施相配合。</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③能溶解扩散的物质，如乙二醇等。稀释和扩散是常用方法，并且常通过自然运动和水混合来实现。但对毒性物质，会把毒性危险区域扩大。因此，必须采用限制性措施配合。</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在非跨河渠居民聚居路段，各危险货物泄漏及燃烧还会对沿线居民生产和健康带来危害，道路常运危险货物事故处置应急措施参见表</w:t>
      </w:r>
      <w:r>
        <w:rPr>
          <w:rFonts w:hint="eastAsia" w:ascii="Times New Roman" w:hAnsi="Times New Roman" w:eastAsia="宋体" w:cs="Times New Roman"/>
          <w:sz w:val="24"/>
          <w:szCs w:val="24"/>
          <w:lang w:val="en-US" w:eastAsia="zh-CN"/>
        </w:rPr>
        <w:t>9.2.2-1</w:t>
      </w:r>
      <w:r>
        <w:rPr>
          <w:rFonts w:hint="default" w:ascii="Times New Roman" w:hAnsi="Times New Roman" w:eastAsia="宋体" w:cs="Times New Roman"/>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lang w:val="en-US" w:eastAsia="zh-CN"/>
        </w:rPr>
        <w:t>表9.2.2-1泄漏处置应急措施</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4"/>
        <w:gridCol w:w="1215"/>
        <w:gridCol w:w="5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Header/>
        </w:trPr>
        <w:tc>
          <w:tcPr>
            <w:tcW w:w="131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名称</w:t>
            </w:r>
          </w:p>
        </w:tc>
        <w:tc>
          <w:tcPr>
            <w:tcW w:w="12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处置方式</w:t>
            </w:r>
          </w:p>
        </w:tc>
        <w:tc>
          <w:tcPr>
            <w:tcW w:w="599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具体措施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9" w:hRule="atLeast"/>
        </w:trPr>
        <w:tc>
          <w:tcPr>
            <w:tcW w:w="1314"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硫酸</w:t>
            </w:r>
          </w:p>
        </w:tc>
        <w:tc>
          <w:tcPr>
            <w:tcW w:w="12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泄露处置</w:t>
            </w:r>
          </w:p>
        </w:tc>
        <w:tc>
          <w:tcPr>
            <w:tcW w:w="5993"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散离危险区域，处理人员戴自给正压式呼吸器，穿防酸碱工作服∶切断泄漏源，防止进入下水道。可将泄漏液收集在可谜底容器中或用沙土、干燥石灰泄漏处置</w:t>
            </w:r>
            <w:r>
              <w:rPr>
                <w:rFonts w:hint="eastAsia" w:ascii="Times New Roman" w:hAnsi="Times New Roman" w:eastAsia="宋体" w:cs="Times New Roman"/>
                <w:sz w:val="21"/>
                <w:szCs w:val="21"/>
                <w:vertAlign w:val="baseline"/>
                <w:lang w:val="en-US" w:eastAsia="zh-CN"/>
              </w:rPr>
              <w:t>。可加入纯碱一消石灰溶液中和；大量泄漏应构筑围堤或挖坑收容，用泵转移至槽车内，残余物回收运至废物处理场 所安全处置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8" w:hRule="atLeast"/>
        </w:trPr>
        <w:tc>
          <w:tcPr>
            <w:tcW w:w="131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vertAlign w:val="baseline"/>
                <w:lang w:val="en-US" w:eastAsia="zh-CN"/>
              </w:rPr>
            </w:pPr>
          </w:p>
        </w:tc>
        <w:tc>
          <w:tcPr>
            <w:tcW w:w="12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消防方法</w:t>
            </w:r>
          </w:p>
        </w:tc>
        <w:tc>
          <w:tcPr>
            <w:tcW w:w="5993"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禁止用水，使用干粉、二氧化碳和沙土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7" w:hRule="atLeast"/>
        </w:trPr>
        <w:tc>
          <w:tcPr>
            <w:tcW w:w="1314"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甲苯</w:t>
            </w:r>
          </w:p>
        </w:tc>
        <w:tc>
          <w:tcPr>
            <w:tcW w:w="12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泄露处置</w:t>
            </w:r>
          </w:p>
        </w:tc>
        <w:tc>
          <w:tcPr>
            <w:tcW w:w="5993"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首先应切断所有火源，戴好防毒面具和手套，用不燃性分散剂制成乳液刷洗，泄漏处置 置也可以用沙土吸收，倒至空旷地掩埋。对污染地带进行通风，蒸发残余液体并排除蒸汽。含甲苯的废水可采用生物法、浓缩废水焚烧等方法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131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vertAlign w:val="baseline"/>
                <w:lang w:val="en-US" w:eastAsia="zh-CN"/>
              </w:rPr>
            </w:pPr>
          </w:p>
        </w:tc>
        <w:tc>
          <w:tcPr>
            <w:tcW w:w="12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消防方法</w:t>
            </w:r>
          </w:p>
        </w:tc>
        <w:tc>
          <w:tcPr>
            <w:tcW w:w="5993"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灭火∶泡沫、二氧化碳、干粉、沙</w:t>
            </w:r>
            <w:r>
              <w:rPr>
                <w:rFonts w:hint="eastAsia" w:ascii="Times New Roman" w:hAnsi="Times New Roman" w:eastAsia="宋体" w:cs="Times New Roman"/>
                <w:sz w:val="21"/>
                <w:szCs w:val="21"/>
                <w:vertAlign w:val="baseline"/>
                <w:lang w:val="en-US" w:eastAsia="zh-CN"/>
              </w:rPr>
              <w:t>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7" w:hRule="atLeast"/>
        </w:trPr>
        <w:tc>
          <w:tcPr>
            <w:tcW w:w="1314"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苯</w:t>
            </w:r>
          </w:p>
        </w:tc>
        <w:tc>
          <w:tcPr>
            <w:tcW w:w="12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泄露处置</w:t>
            </w:r>
          </w:p>
        </w:tc>
        <w:tc>
          <w:tcPr>
            <w:tcW w:w="5993"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迅速撤离泄漏污染区人员至安全区，禁止无关人员进入污染区，切断火源，应急处理人员戴防毒面具与手套，穿一般消防防护服，在确保安全情况下堵漏。可用雾状水扑灭小面积火灾，保持火场旁容器的冷却，驱散蒸气及溢出的液体，但不能降低泄漏物在受限制空间内的易燃性。用活性炭或其它惰性材料或沙土吸收，然后使用无火化工具收集运至废物处理场所。也可以用不燃性分散剂制成的乳液刷洗，经稀释后放入废水系统。或在保证安全情况下，就地焚烧。如大量泄漏，建围堤收容，然后收集、转移、回收或无害化处理</w:t>
            </w:r>
            <w:r>
              <w:rPr>
                <w:rFonts w:hint="eastAsia" w:ascii="Times New Roman" w:hAnsi="Times New Roman" w:eastAsia="宋体" w:cs="Times New Roman"/>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trPr>
        <w:tc>
          <w:tcPr>
            <w:tcW w:w="131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vertAlign w:val="baseline"/>
                <w:lang w:val="en-US" w:eastAsia="zh-CN"/>
              </w:rPr>
            </w:pPr>
          </w:p>
        </w:tc>
        <w:tc>
          <w:tcPr>
            <w:tcW w:w="12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消防方法</w:t>
            </w:r>
          </w:p>
        </w:tc>
        <w:tc>
          <w:tcPr>
            <w:tcW w:w="5993"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灭火∶泡沫、二氧化碳、干粉、沙土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4"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冰醋酸</w:t>
            </w:r>
          </w:p>
        </w:tc>
        <w:tc>
          <w:tcPr>
            <w:tcW w:w="12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泄露处置</w:t>
            </w:r>
          </w:p>
        </w:tc>
        <w:tc>
          <w:tcPr>
            <w:tcW w:w="5993"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疏散泄漏污染区人员至安全区，禁止无关人员进入污染区，切断火源。建议应急处理人员戴自给式呼吸器，穿化学防护服。不要直接接触泄漏物，在确保安全情况下堵漏。喷水雾能减少蒸发但不要使水进入储存容器内。用沙土、蛭石或其它惰性材料吸收，然后收集运至废物处理场所处置。也可以用大量水冲洗，经稀释的洗水放入废水系统。如大量泄漏，利用围堤收容，然后收集、转移、回收或无害处理后废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vertAlign w:val="baseline"/>
                <w:lang w:val="en-US" w:eastAsia="zh-CN"/>
              </w:rPr>
            </w:pPr>
          </w:p>
        </w:tc>
        <w:tc>
          <w:tcPr>
            <w:tcW w:w="12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消防方法</w:t>
            </w:r>
          </w:p>
        </w:tc>
        <w:tc>
          <w:tcPr>
            <w:tcW w:w="5993"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雾状水、泡沫、二氧化碳、砂土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4"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乙炔</w:t>
            </w:r>
          </w:p>
        </w:tc>
        <w:tc>
          <w:tcPr>
            <w:tcW w:w="12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泄露处置</w:t>
            </w:r>
          </w:p>
        </w:tc>
        <w:tc>
          <w:tcPr>
            <w:tcW w:w="5993"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首先切断一切火源，勿使其燃烧，同时关闭阀门，防止渗漏，并用雾状水保泄漏处置 护关闭阀门的人员。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vertAlign w:val="baseline"/>
                <w:lang w:val="en-US" w:eastAsia="zh-CN"/>
              </w:rPr>
            </w:pPr>
          </w:p>
        </w:tc>
        <w:tc>
          <w:tcPr>
            <w:tcW w:w="12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消防方法</w:t>
            </w:r>
          </w:p>
        </w:tc>
        <w:tc>
          <w:tcPr>
            <w:tcW w:w="5993"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有复燃危险，在气源为切断前可扑灭气源周围火势，防止扩大，但不得灭掉源渗漏处火源。用水冷却容器防止爆炸，并用水保护关闭阀门或堵漏的人员。如泄漏物未被点燃，可用雾状水直接射至易燃蒸气和空气的混合物，使其远离火源。如有可能应迅速将钢瓶转移至安全地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4"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甲醇</w:t>
            </w:r>
          </w:p>
        </w:tc>
        <w:tc>
          <w:tcPr>
            <w:tcW w:w="12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泄露处置</w:t>
            </w:r>
          </w:p>
        </w:tc>
        <w:tc>
          <w:tcPr>
            <w:tcW w:w="5993"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首先切断一切火源，带好防毒面具和手套，用水冲洗，经稀释的污水排入水系统。对污染地面进行通风排除残余蒸气，大面积泄漏周围应设雾状水幕抑爆。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vertAlign w:val="baseline"/>
                <w:lang w:val="en-US" w:eastAsia="zh-CN"/>
              </w:rPr>
            </w:pPr>
          </w:p>
        </w:tc>
        <w:tc>
          <w:tcPr>
            <w:tcW w:w="12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消防方法</w:t>
            </w:r>
          </w:p>
        </w:tc>
        <w:tc>
          <w:tcPr>
            <w:tcW w:w="5993"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穿戴好防护服和防毒面具。小火用二氧化碳、干粉、1211、抗溶性泡沫、雾状水灭火。用雾状水冷却火场中的容器并保护堵漏人员。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4"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氰化钾</w:t>
            </w:r>
          </w:p>
        </w:tc>
        <w:tc>
          <w:tcPr>
            <w:tcW w:w="12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泄露处置</w:t>
            </w:r>
          </w:p>
        </w:tc>
        <w:tc>
          <w:tcPr>
            <w:tcW w:w="5993"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必须戴好防毒面具和手套，扫起倒至大量水中，加入过量次氯酸钠，放置24小时，确认氢化物全部分解，稀释后放入废水系统。污染区用次氯酸钠溶液浸泡24小时后，用大量水冲洗，经稀释的污水放入废水系统。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vertAlign w:val="baseline"/>
                <w:lang w:val="en-US" w:eastAsia="zh-CN"/>
              </w:rPr>
            </w:pPr>
          </w:p>
        </w:tc>
        <w:tc>
          <w:tcPr>
            <w:tcW w:w="12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消防方法</w:t>
            </w:r>
          </w:p>
        </w:tc>
        <w:tc>
          <w:tcPr>
            <w:tcW w:w="5993"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氰化物不燃，大火时应尽量抢救商品，防止因包装破损引起环境污染。消防人员必须穿戴供氧式防毒面具及全身防护服。邻近地区火灾时可用雾状水灭火，禁止使用二氧化碳、酸碱灭火剂。</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2"/>
        <w:rPr>
          <w:rFonts w:hint="default" w:ascii="Times New Roman" w:hAnsi="Times New Roman" w:eastAsia="宋体" w:cs="Times New Roman"/>
          <w:sz w:val="24"/>
          <w:szCs w:val="24"/>
          <w:lang w:val="en-US" w:eastAsia="zh-CN"/>
        </w:rPr>
      </w:pPr>
      <w:bookmarkStart w:id="85" w:name="_Toc29062"/>
      <w:r>
        <w:rPr>
          <w:rFonts w:hint="eastAsia" w:ascii="Times New Roman" w:hAnsi="Times New Roman" w:eastAsia="宋体" w:cs="Times New Roman"/>
          <w:sz w:val="24"/>
          <w:szCs w:val="24"/>
          <w:lang w:val="en-US" w:eastAsia="zh-CN"/>
        </w:rPr>
        <w:t>9.2.3应急预案</w:t>
      </w:r>
      <w:bookmarkEnd w:id="85"/>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表9.2.3-1应急预案</w:t>
      </w:r>
    </w:p>
    <w:tbl>
      <w:tblPr>
        <w:tblStyle w:val="9"/>
        <w:tblW w:w="8418" w:type="dxa"/>
        <w:jc w:val="center"/>
        <w:shd w:val="clear" w:color="auto" w:fill="auto"/>
        <w:tblLayout w:type="fixed"/>
        <w:tblCellMar>
          <w:top w:w="0" w:type="dxa"/>
          <w:left w:w="0" w:type="dxa"/>
          <w:bottom w:w="0" w:type="dxa"/>
          <w:right w:w="0" w:type="dxa"/>
        </w:tblCellMar>
      </w:tblPr>
      <w:tblGrid>
        <w:gridCol w:w="668"/>
        <w:gridCol w:w="1704"/>
        <w:gridCol w:w="6046"/>
      </w:tblGrid>
      <w:tr>
        <w:tblPrEx>
          <w:shd w:val="clear" w:color="auto" w:fill="auto"/>
          <w:tblCellMar>
            <w:top w:w="0" w:type="dxa"/>
            <w:left w:w="0" w:type="dxa"/>
            <w:bottom w:w="0" w:type="dxa"/>
            <w:right w:w="0" w:type="dxa"/>
          </w:tblCellMar>
        </w:tblPrEx>
        <w:trPr>
          <w:trHeight w:val="561" w:hRule="atLeast"/>
          <w:tblHeader/>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bCs/>
                <w:i w:val="0"/>
                <w:color w:val="000000"/>
                <w:sz w:val="21"/>
                <w:szCs w:val="21"/>
                <w:u w:val="none"/>
              </w:rPr>
            </w:pPr>
            <w:r>
              <w:rPr>
                <w:rStyle w:val="21"/>
                <w:rFonts w:hint="eastAsia" w:ascii="宋体" w:hAnsi="宋体" w:eastAsia="宋体" w:cs="宋体"/>
                <w:b/>
                <w:bCs/>
                <w:sz w:val="21"/>
                <w:szCs w:val="21"/>
                <w:lang w:val="en-US" w:eastAsia="zh-CN" w:bidi="ar"/>
              </w:rPr>
              <w:t>序号</w:t>
            </w:r>
          </w:p>
        </w:tc>
        <w:tc>
          <w:tcPr>
            <w:tcW w:w="17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bCs/>
                <w:i w:val="0"/>
                <w:color w:val="000000"/>
                <w:sz w:val="21"/>
                <w:szCs w:val="21"/>
                <w:u w:val="none"/>
              </w:rPr>
            </w:pPr>
            <w:r>
              <w:rPr>
                <w:rStyle w:val="21"/>
                <w:rFonts w:hint="eastAsia" w:ascii="宋体" w:hAnsi="宋体" w:eastAsia="宋体" w:cs="宋体"/>
                <w:b/>
                <w:bCs/>
                <w:sz w:val="21"/>
                <w:szCs w:val="21"/>
                <w:lang w:val="en-US" w:eastAsia="zh-CN" w:bidi="ar"/>
              </w:rPr>
              <w:t>项目</w:t>
            </w:r>
          </w:p>
        </w:tc>
        <w:tc>
          <w:tcPr>
            <w:tcW w:w="60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bCs/>
                <w:i w:val="0"/>
                <w:color w:val="000000"/>
                <w:sz w:val="21"/>
                <w:szCs w:val="21"/>
                <w:u w:val="none"/>
              </w:rPr>
            </w:pPr>
            <w:r>
              <w:rPr>
                <w:rStyle w:val="21"/>
                <w:rFonts w:hint="eastAsia" w:ascii="宋体" w:hAnsi="宋体" w:eastAsia="宋体" w:cs="宋体"/>
                <w:b/>
                <w:bCs/>
                <w:sz w:val="21"/>
                <w:szCs w:val="21"/>
                <w:lang w:val="en-US" w:eastAsia="zh-CN" w:bidi="ar"/>
              </w:rPr>
              <w:t>内容</w:t>
            </w:r>
          </w:p>
        </w:tc>
      </w:tr>
      <w:tr>
        <w:tblPrEx>
          <w:tblCellMar>
            <w:top w:w="0" w:type="dxa"/>
            <w:left w:w="0" w:type="dxa"/>
            <w:bottom w:w="0" w:type="dxa"/>
            <w:right w:w="0" w:type="dxa"/>
          </w:tblCellMar>
        </w:tblPrEx>
        <w:trPr>
          <w:trHeight w:val="506"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1</w:t>
            </w:r>
          </w:p>
        </w:tc>
        <w:tc>
          <w:tcPr>
            <w:tcW w:w="17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1"/>
                <w:szCs w:val="21"/>
                <w:u w:val="none"/>
              </w:rPr>
            </w:pPr>
            <w:r>
              <w:rPr>
                <w:rFonts w:hint="eastAsia" w:ascii="Times New Roman" w:hAnsi="Times New Roman" w:eastAsia="宋体" w:cs="Times New Roman"/>
                <w:b w:val="0"/>
                <w:bCs w:val="0"/>
                <w:i w:val="0"/>
                <w:color w:val="000000"/>
                <w:kern w:val="0"/>
                <w:sz w:val="21"/>
                <w:szCs w:val="21"/>
                <w:u w:val="none"/>
                <w:lang w:val="en-US" w:eastAsia="zh-CN" w:bidi="ar"/>
              </w:rPr>
              <w:t>应急计划区</w:t>
            </w:r>
          </w:p>
        </w:tc>
        <w:tc>
          <w:tcPr>
            <w:tcW w:w="60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道</w:t>
            </w:r>
            <w:r>
              <w:rPr>
                <w:rFonts w:hint="default" w:ascii="Times New Roman" w:hAnsi="Times New Roman" w:eastAsia="宋体" w:cs="Times New Roman"/>
                <w:sz w:val="21"/>
                <w:szCs w:val="21"/>
                <w:vertAlign w:val="baseline"/>
                <w:lang w:val="en-US" w:eastAsia="zh-CN"/>
              </w:rPr>
              <w:t>路两侧200m以内区域</w:t>
            </w:r>
            <w:r>
              <w:rPr>
                <w:rFonts w:hint="eastAsia" w:ascii="Times New Roman" w:hAnsi="Times New Roman" w:eastAsia="宋体" w:cs="Times New Roman"/>
                <w:sz w:val="21"/>
                <w:szCs w:val="21"/>
                <w:vertAlign w:val="baseline"/>
                <w:lang w:val="en-US" w:eastAsia="zh-CN"/>
              </w:rPr>
              <w:t>，居民区、河流、森林植被、土壤</w:t>
            </w:r>
          </w:p>
        </w:tc>
      </w:tr>
      <w:tr>
        <w:tblPrEx>
          <w:tblCellMar>
            <w:top w:w="0" w:type="dxa"/>
            <w:left w:w="0" w:type="dxa"/>
            <w:bottom w:w="0" w:type="dxa"/>
            <w:right w:w="0" w:type="dxa"/>
          </w:tblCellMar>
        </w:tblPrEx>
        <w:trPr>
          <w:trHeight w:val="330"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2</w:t>
            </w:r>
          </w:p>
        </w:tc>
        <w:tc>
          <w:tcPr>
            <w:tcW w:w="17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应急组织机构、人员</w:t>
            </w:r>
          </w:p>
        </w:tc>
        <w:tc>
          <w:tcPr>
            <w:tcW w:w="60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地方环保、公安、卫生机构和其他应急人员</w:t>
            </w:r>
          </w:p>
        </w:tc>
      </w:tr>
      <w:tr>
        <w:tblPrEx>
          <w:tblCellMar>
            <w:top w:w="0" w:type="dxa"/>
            <w:left w:w="0" w:type="dxa"/>
            <w:bottom w:w="0" w:type="dxa"/>
            <w:right w:w="0" w:type="dxa"/>
          </w:tblCellMar>
        </w:tblPrEx>
        <w:trPr>
          <w:trHeight w:val="330"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3</w:t>
            </w:r>
          </w:p>
        </w:tc>
        <w:tc>
          <w:tcPr>
            <w:tcW w:w="17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应急救援保障</w:t>
            </w:r>
          </w:p>
        </w:tc>
        <w:tc>
          <w:tcPr>
            <w:tcW w:w="60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应急车辆、设施、装备等</w:t>
            </w:r>
          </w:p>
        </w:tc>
      </w:tr>
      <w:tr>
        <w:tblPrEx>
          <w:tblCellMar>
            <w:top w:w="0" w:type="dxa"/>
            <w:left w:w="0" w:type="dxa"/>
            <w:bottom w:w="0" w:type="dxa"/>
            <w:right w:w="0" w:type="dxa"/>
          </w:tblCellMar>
        </w:tblPrEx>
        <w:trPr>
          <w:trHeight w:val="330"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4</w:t>
            </w:r>
          </w:p>
        </w:tc>
        <w:tc>
          <w:tcPr>
            <w:tcW w:w="17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报警、通讯联络方式</w:t>
            </w:r>
          </w:p>
        </w:tc>
        <w:tc>
          <w:tcPr>
            <w:tcW w:w="60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应</w:t>
            </w:r>
            <w:r>
              <w:rPr>
                <w:rFonts w:hint="eastAsia" w:ascii="Times New Roman" w:hAnsi="Times New Roman" w:eastAsia="宋体" w:cs="Times New Roman"/>
                <w:sz w:val="21"/>
                <w:szCs w:val="21"/>
                <w:vertAlign w:val="baseline"/>
                <w:lang w:val="en-US" w:eastAsia="zh-CN"/>
              </w:rPr>
              <w:t>急</w:t>
            </w:r>
            <w:r>
              <w:rPr>
                <w:rFonts w:hint="default" w:ascii="Times New Roman" w:hAnsi="Times New Roman" w:eastAsia="宋体" w:cs="Times New Roman"/>
                <w:sz w:val="21"/>
                <w:szCs w:val="21"/>
                <w:vertAlign w:val="baseline"/>
                <w:lang w:val="en-US" w:eastAsia="zh-CN"/>
              </w:rPr>
              <w:t>电话、手机</w:t>
            </w:r>
          </w:p>
        </w:tc>
      </w:tr>
      <w:tr>
        <w:tblPrEx>
          <w:tblCellMar>
            <w:top w:w="0" w:type="dxa"/>
            <w:left w:w="0" w:type="dxa"/>
            <w:bottom w:w="0" w:type="dxa"/>
            <w:right w:w="0" w:type="dxa"/>
          </w:tblCellMar>
        </w:tblPrEx>
        <w:trPr>
          <w:trHeight w:val="661"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5</w:t>
            </w:r>
          </w:p>
        </w:tc>
        <w:tc>
          <w:tcPr>
            <w:tcW w:w="170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应急监测、抢险、救援及控制措施</w:t>
            </w:r>
          </w:p>
        </w:tc>
        <w:tc>
          <w:tcPr>
            <w:tcW w:w="60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由</w:t>
            </w:r>
            <w:r>
              <w:rPr>
                <w:rFonts w:hint="eastAsia" w:ascii="Times New Roman" w:hAnsi="Times New Roman" w:eastAsia="宋体" w:cs="Times New Roman"/>
                <w:sz w:val="21"/>
                <w:szCs w:val="21"/>
                <w:vertAlign w:val="baseline"/>
                <w:lang w:val="en-US" w:eastAsia="zh-CN"/>
              </w:rPr>
              <w:t>专</w:t>
            </w:r>
            <w:r>
              <w:rPr>
                <w:rFonts w:hint="default" w:ascii="Times New Roman" w:hAnsi="Times New Roman" w:eastAsia="宋体" w:cs="Times New Roman"/>
                <w:sz w:val="21"/>
                <w:szCs w:val="21"/>
                <w:vertAlign w:val="baseline"/>
                <w:lang w:val="en-US" w:eastAsia="zh-CN"/>
              </w:rPr>
              <w:t>业队伍对事故现场</w:t>
            </w:r>
            <w:r>
              <w:rPr>
                <w:rFonts w:hint="eastAsia" w:ascii="Times New Roman" w:hAnsi="Times New Roman" w:eastAsia="宋体" w:cs="Times New Roman"/>
                <w:sz w:val="21"/>
                <w:szCs w:val="21"/>
                <w:vertAlign w:val="baseline"/>
                <w:lang w:val="en-US" w:eastAsia="zh-CN"/>
              </w:rPr>
              <w:t>进行勘察监测，</w:t>
            </w:r>
            <w:r>
              <w:rPr>
                <w:rFonts w:hint="default" w:ascii="Times New Roman" w:hAnsi="Times New Roman" w:eastAsia="宋体" w:cs="Times New Roman"/>
                <w:sz w:val="21"/>
                <w:szCs w:val="21"/>
                <w:vertAlign w:val="baseline"/>
                <w:lang w:val="en-US" w:eastAsia="zh-CN"/>
              </w:rPr>
              <w:t>对事故性质、参数与后果</w:t>
            </w:r>
            <w:r>
              <w:rPr>
                <w:rFonts w:hint="eastAsia" w:ascii="Times New Roman" w:hAnsi="Times New Roman" w:eastAsia="宋体" w:cs="Times New Roman"/>
                <w:sz w:val="21"/>
                <w:szCs w:val="21"/>
                <w:vertAlign w:val="baseline"/>
                <w:lang w:val="en-US" w:eastAsia="zh-CN"/>
              </w:rPr>
              <w:t>进行评估，</w:t>
            </w:r>
            <w:r>
              <w:rPr>
                <w:rFonts w:hint="default" w:ascii="Times New Roman" w:hAnsi="Times New Roman" w:eastAsia="宋体" w:cs="Times New Roman"/>
                <w:sz w:val="21"/>
                <w:szCs w:val="21"/>
                <w:vertAlign w:val="baseline"/>
                <w:lang w:val="en-US" w:eastAsia="zh-CN"/>
              </w:rPr>
              <w:t>.为指</w:t>
            </w:r>
            <w:r>
              <w:rPr>
                <w:rFonts w:hint="eastAsia" w:ascii="Times New Roman" w:hAnsi="Times New Roman" w:eastAsia="宋体" w:cs="Times New Roman"/>
                <w:sz w:val="21"/>
                <w:szCs w:val="21"/>
                <w:vertAlign w:val="baseline"/>
                <w:lang w:val="en-US" w:eastAsia="zh-CN"/>
              </w:rPr>
              <w:t>挥</w:t>
            </w:r>
            <w:r>
              <w:rPr>
                <w:rFonts w:hint="default" w:ascii="Times New Roman" w:hAnsi="Times New Roman" w:eastAsia="宋体" w:cs="Times New Roman"/>
                <w:sz w:val="21"/>
                <w:szCs w:val="21"/>
                <w:vertAlign w:val="baseline"/>
                <w:lang w:val="en-US" w:eastAsia="zh-CN"/>
              </w:rPr>
              <w:t>部门</w:t>
            </w:r>
            <w:r>
              <w:rPr>
                <w:rFonts w:hint="eastAsia" w:ascii="Times New Roman" w:hAnsi="Times New Roman" w:eastAsia="宋体" w:cs="Times New Roman"/>
                <w:sz w:val="21"/>
                <w:szCs w:val="21"/>
                <w:vertAlign w:val="baseline"/>
                <w:lang w:val="en-US" w:eastAsia="zh-CN"/>
              </w:rPr>
              <w:t>提供决策依据。</w:t>
            </w:r>
          </w:p>
        </w:tc>
      </w:tr>
      <w:tr>
        <w:tblPrEx>
          <w:tblCellMar>
            <w:top w:w="0" w:type="dxa"/>
            <w:left w:w="0" w:type="dxa"/>
            <w:bottom w:w="0" w:type="dxa"/>
            <w:right w:w="0" w:type="dxa"/>
          </w:tblCellMar>
        </w:tblPrEx>
        <w:trPr>
          <w:trHeight w:val="661"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6</w:t>
            </w:r>
          </w:p>
        </w:tc>
        <w:tc>
          <w:tcPr>
            <w:tcW w:w="170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应急监测、防护措施、清除泄露措施和器材</w:t>
            </w:r>
          </w:p>
        </w:tc>
        <w:tc>
          <w:tcPr>
            <w:tcW w:w="60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事教现场，腔制事故、防止扩大、蔓延及连锁反应，很消除现场泄漏物，降低危害，相应的设施器材配备。附近区域∶控制污染区域，特别是污染水体，控制和清除污染措施及相应设备配备</w:t>
            </w:r>
            <w:r>
              <w:rPr>
                <w:rFonts w:hint="eastAsia" w:ascii="Times New Roman" w:hAnsi="Times New Roman" w:eastAsia="宋体" w:cs="Times New Roman"/>
                <w:sz w:val="21"/>
                <w:szCs w:val="21"/>
                <w:vertAlign w:val="baseline"/>
                <w:lang w:val="en-US" w:eastAsia="zh-CN"/>
              </w:rPr>
              <w:t>。</w:t>
            </w:r>
          </w:p>
        </w:tc>
      </w:tr>
      <w:tr>
        <w:tblPrEx>
          <w:tblCellMar>
            <w:top w:w="0" w:type="dxa"/>
            <w:left w:w="0" w:type="dxa"/>
            <w:bottom w:w="0" w:type="dxa"/>
            <w:right w:w="0" w:type="dxa"/>
          </w:tblCellMar>
        </w:tblPrEx>
        <w:trPr>
          <w:trHeight w:val="661"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7</w:t>
            </w:r>
          </w:p>
        </w:tc>
        <w:tc>
          <w:tcPr>
            <w:tcW w:w="170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人电紧急撤离、疏散、应急剂量控制、撤离组织计划</w:t>
            </w:r>
          </w:p>
        </w:tc>
        <w:tc>
          <w:tcPr>
            <w:tcW w:w="60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事故现场∶事故处现人员对毒物的应急剂量控制原定，现场及附近装置人员撒离组织计划及救护。</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附近区域：受事故影响区域人员及公众对毒物</w:t>
            </w:r>
            <w:r>
              <w:rPr>
                <w:rFonts w:hint="default" w:ascii="Times New Roman" w:hAnsi="Times New Roman" w:eastAsia="宋体" w:cs="Times New Roman"/>
                <w:sz w:val="21"/>
                <w:szCs w:val="21"/>
                <w:vertAlign w:val="baseline"/>
                <w:lang w:val="en-US" w:eastAsia="zh-CN"/>
              </w:rPr>
              <w:t>剂量控制规定，撒离组织计划及救护。受污染水体下游20km范围内紧急防护，禁止人畜饮用。</w:t>
            </w:r>
          </w:p>
        </w:tc>
      </w:tr>
      <w:tr>
        <w:tblPrEx>
          <w:tblCellMar>
            <w:top w:w="0" w:type="dxa"/>
            <w:left w:w="0" w:type="dxa"/>
            <w:bottom w:w="0" w:type="dxa"/>
            <w:right w:w="0" w:type="dxa"/>
          </w:tblCellMar>
        </w:tblPrEx>
        <w:trPr>
          <w:trHeight w:val="661"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8</w:t>
            </w:r>
          </w:p>
        </w:tc>
        <w:tc>
          <w:tcPr>
            <w:tcW w:w="170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事故应急救援关闭程序与恢复</w:t>
            </w:r>
          </w:p>
        </w:tc>
        <w:tc>
          <w:tcPr>
            <w:tcW w:w="60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规定应急状态终止程序</w:t>
            </w:r>
            <w:r>
              <w:rPr>
                <w:rFonts w:hint="eastAsia" w:ascii="Times New Roman" w:hAnsi="Times New Roman" w:eastAsia="宋体" w:cs="Times New Roman"/>
                <w:sz w:val="21"/>
                <w:szCs w:val="21"/>
                <w:vertAlign w:val="baseline"/>
                <w:lang w:val="en-US" w:eastAsia="zh-CN"/>
              </w:rPr>
              <w:t>。</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事故现场善后处理，恢复措施。</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临近区域解除事故警戒及善后恢复措施。</w:t>
            </w:r>
          </w:p>
        </w:tc>
      </w:tr>
      <w:tr>
        <w:tblPrEx>
          <w:tblCellMar>
            <w:top w:w="0" w:type="dxa"/>
            <w:left w:w="0" w:type="dxa"/>
            <w:bottom w:w="0" w:type="dxa"/>
            <w:right w:w="0" w:type="dxa"/>
          </w:tblCellMar>
        </w:tblPrEx>
        <w:trPr>
          <w:trHeight w:val="661"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9</w:t>
            </w:r>
          </w:p>
        </w:tc>
        <w:tc>
          <w:tcPr>
            <w:tcW w:w="170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应急培训计划、公众教育</w:t>
            </w:r>
          </w:p>
        </w:tc>
        <w:tc>
          <w:tcPr>
            <w:tcW w:w="60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应急计划定后，平时安准人员增训与孩练，对附近地区公众教育、培训和发布有关信息。</w:t>
            </w:r>
          </w:p>
        </w:tc>
      </w:tr>
    </w:tbl>
    <w:p>
      <w:pPr>
        <w:keepNext w:val="0"/>
        <w:keepLines w:val="0"/>
        <w:pageBreakBefore w:val="0"/>
        <w:widowControl w:val="0"/>
        <w:kinsoku/>
        <w:wordWrap/>
        <w:overflowPunct/>
        <w:topLinePunct w:val="0"/>
        <w:autoSpaceDE/>
        <w:autoSpaceDN/>
        <w:bidi w:val="0"/>
        <w:adjustRightInd/>
        <w:snapToGrid/>
        <w:spacing w:line="360" w:lineRule="auto"/>
        <w:jc w:val="left"/>
        <w:textAlignment w:val="auto"/>
        <w:outlineLvl w:val="0"/>
        <w:rPr>
          <w:rFonts w:hint="default" w:ascii="Times New Roman" w:hAnsi="Times New Roman" w:eastAsia="宋体" w:cs="Times New Roman"/>
          <w:sz w:val="24"/>
          <w:szCs w:val="24"/>
          <w:lang w:val="en-US" w:eastAsia="zh-CN"/>
        </w:rPr>
      </w:pPr>
      <w:bookmarkStart w:id="86" w:name="_Toc15935"/>
      <w:r>
        <w:rPr>
          <w:rFonts w:hint="eastAsia" w:ascii="Times New Roman" w:hAnsi="Times New Roman" w:eastAsia="宋体" w:cs="Times New Roman"/>
          <w:b/>
          <w:bCs/>
          <w:sz w:val="24"/>
          <w:szCs w:val="24"/>
          <w:lang w:val="en-US" w:eastAsia="zh-CN"/>
        </w:rPr>
        <w:t>10 调查结论及建议</w:t>
      </w:r>
      <w:bookmarkEnd w:id="86"/>
    </w:p>
    <w:p>
      <w:pPr>
        <w:keepNext w:val="0"/>
        <w:keepLines w:val="0"/>
        <w:pageBreakBefore w:val="0"/>
        <w:widowControl w:val="0"/>
        <w:kinsoku/>
        <w:wordWrap/>
        <w:overflowPunct/>
        <w:topLinePunct w:val="0"/>
        <w:autoSpaceDE/>
        <w:autoSpaceDN/>
        <w:bidi w:val="0"/>
        <w:adjustRightInd/>
        <w:snapToGrid/>
        <w:spacing w:line="360" w:lineRule="auto"/>
        <w:jc w:val="left"/>
        <w:textAlignment w:val="auto"/>
        <w:outlineLvl w:val="1"/>
        <w:rPr>
          <w:rFonts w:hint="default" w:ascii="Times New Roman" w:hAnsi="Times New Roman" w:eastAsia="宋体" w:cs="Times New Roman"/>
          <w:sz w:val="24"/>
          <w:szCs w:val="24"/>
          <w:lang w:val="en-US" w:eastAsia="zh-CN"/>
        </w:rPr>
      </w:pPr>
      <w:bookmarkStart w:id="87" w:name="_Toc15510"/>
      <w:r>
        <w:rPr>
          <w:rFonts w:hint="eastAsia" w:ascii="Times New Roman" w:hAnsi="Times New Roman" w:eastAsia="宋体" w:cs="Times New Roman"/>
          <w:sz w:val="24"/>
          <w:szCs w:val="24"/>
          <w:lang w:val="en-US" w:eastAsia="zh-CN"/>
        </w:rPr>
        <w:t>10.1调查结论</w:t>
      </w:r>
      <w:bookmarkEnd w:id="87"/>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2"/>
        <w:rPr>
          <w:rFonts w:hint="eastAsia" w:ascii="Times New Roman" w:hAnsi="Times New Roman" w:eastAsia="宋体" w:cs="Times New Roman"/>
          <w:sz w:val="24"/>
          <w:szCs w:val="24"/>
          <w:lang w:val="en-US" w:eastAsia="zh-CN"/>
        </w:rPr>
      </w:pPr>
      <w:bookmarkStart w:id="88" w:name="_Toc15167"/>
      <w:r>
        <w:rPr>
          <w:rFonts w:hint="eastAsia" w:ascii="Times New Roman" w:hAnsi="Times New Roman" w:eastAsia="宋体" w:cs="Times New Roman"/>
          <w:sz w:val="24"/>
          <w:szCs w:val="24"/>
          <w:lang w:val="en-US" w:eastAsia="zh-CN"/>
        </w:rPr>
        <w:t>10.1.1工程概况</w:t>
      </w:r>
      <w:bookmarkEnd w:id="88"/>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eastAsia="zh-CN"/>
        </w:rPr>
        <w:t>金苏大道</w:t>
      </w:r>
      <w:r>
        <w:rPr>
          <w:rFonts w:hint="default" w:ascii="Times New Roman" w:hAnsi="Times New Roman" w:eastAsia="宋体" w:cs="Times New Roman"/>
          <w:sz w:val="24"/>
          <w:szCs w:val="24"/>
        </w:rPr>
        <w:t>是麦架沙文高新产业发展用地</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一横一纵</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道路主骨架重要的</w:t>
      </w:r>
      <w:r>
        <w:rPr>
          <w:rFonts w:hint="eastAsia" w:ascii="Times New Roman" w:hAnsi="Times New Roman" w:eastAsia="宋体" w:cs="Times New Roman"/>
          <w:sz w:val="24"/>
          <w:szCs w:val="24"/>
          <w:lang w:eastAsia="zh-CN"/>
        </w:rPr>
        <w:t>纵</w:t>
      </w:r>
      <w:r>
        <w:rPr>
          <w:rFonts w:hint="default" w:ascii="Times New Roman" w:hAnsi="Times New Roman" w:eastAsia="宋体" w:cs="Times New Roman"/>
          <w:sz w:val="24"/>
          <w:szCs w:val="24"/>
        </w:rPr>
        <w:t>向组成部分，是规划布局的纵向主轴线，南接长岭北路延伸段、刚玉路。道路等级为城市</w:t>
      </w:r>
      <w:r>
        <w:rPr>
          <w:rFonts w:hint="eastAsia" w:ascii="Times New Roman" w:hAnsi="Times New Roman" w:eastAsia="宋体" w:cs="Times New Roman"/>
          <w:sz w:val="24"/>
          <w:szCs w:val="24"/>
          <w:lang w:eastAsia="zh-CN"/>
        </w:rPr>
        <w:t>道路</w:t>
      </w:r>
      <w:r>
        <w:rPr>
          <w:rFonts w:hint="eastAsia" w:ascii="宋体" w:hAnsi="宋体" w:eastAsia="宋体" w:cs="宋体"/>
          <w:sz w:val="24"/>
          <w:szCs w:val="24"/>
          <w:lang w:eastAsia="zh-CN"/>
        </w:rPr>
        <w:t>Ⅰ</w:t>
      </w:r>
      <w:r>
        <w:rPr>
          <w:rFonts w:hint="eastAsia" w:ascii="Times New Roman" w:hAnsi="Times New Roman" w:eastAsia="宋体" w:cs="Times New Roman"/>
          <w:sz w:val="24"/>
          <w:szCs w:val="24"/>
          <w:lang w:eastAsia="zh-CN"/>
        </w:rPr>
        <w:t>级</w:t>
      </w:r>
      <w:r>
        <w:rPr>
          <w:rFonts w:hint="default" w:ascii="Times New Roman" w:hAnsi="Times New Roman" w:eastAsia="宋体" w:cs="Times New Roman"/>
          <w:sz w:val="24"/>
          <w:szCs w:val="24"/>
        </w:rPr>
        <w:t>，</w:t>
      </w:r>
      <w:r>
        <w:rPr>
          <w:rFonts w:hint="eastAsia" w:ascii="Times New Roman" w:hAnsi="Times New Roman" w:eastAsia="宋体" w:cs="Times New Roman"/>
          <w:sz w:val="24"/>
          <w:szCs w:val="24"/>
          <w:lang w:eastAsia="zh-CN"/>
        </w:rPr>
        <w:t>路面</w:t>
      </w:r>
      <w:r>
        <w:rPr>
          <w:rFonts w:hint="default" w:ascii="Times New Roman" w:hAnsi="Times New Roman" w:eastAsia="宋体" w:cs="Times New Roman"/>
          <w:sz w:val="24"/>
          <w:szCs w:val="24"/>
        </w:rPr>
        <w:t>宽度60m。</w:t>
      </w:r>
      <w:r>
        <w:rPr>
          <w:rFonts w:hint="eastAsia" w:ascii="Times New Roman" w:hAnsi="Times New Roman" w:eastAsia="宋体" w:cs="Times New Roman"/>
          <w:sz w:val="24"/>
          <w:szCs w:val="24"/>
          <w:lang w:eastAsia="zh-CN"/>
        </w:rPr>
        <w:t>设计时速</w:t>
      </w:r>
      <w:r>
        <w:rPr>
          <w:rFonts w:hint="eastAsia" w:ascii="Times New Roman" w:hAnsi="Times New Roman" w:eastAsia="宋体" w:cs="Times New Roman"/>
          <w:sz w:val="24"/>
          <w:szCs w:val="24"/>
          <w:lang w:val="en-US" w:eastAsia="zh-CN"/>
        </w:rPr>
        <w:t>60km/h</w:t>
      </w:r>
      <w:r>
        <w:rPr>
          <w:rFonts w:hint="default" w:ascii="Times New Roman" w:hAnsi="Times New Roman" w:eastAsia="宋体" w:cs="Times New Roman"/>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本道路起点K0+000长岭北路、金岭路交叉口，在该处形成十字形的平面交叉口，与长岭路北段在该处做一500m半径；向北经白云大道（K1）与白云大道平面交叉，后上跨艳山红铁路编组站（K1+200），该段道路平面左转弯，曲线半径为1000m；在贵阳耐火材料厂（K2+500）段道路右偏，曲线半径为1000m；后道路向北直行，过同心路与白沙大道转盘（K2+900），再向北沿现状白沙大道两侧拓宽改造，该段道路平面线型基本同现状道路，在有条件路段尽量采用较好的平面线型。后道路在K4+900处上跨绕城高速公路，向北经格林山庄（K5），在该段设一右偏的1000m半径；后在武警交通二工程处八支队（K5+800）设一右偏的1000m 半径，以躲避其主要建筑物；在苏庄干田砖厂（K7）附近设一1000m 半径的左转弯，道路沿正北方向布线。向正北方向在白云麻堡小学处与麦沙大道相接交（K8）在K8+700处与现状150县道（沙文~麦架）相交，从沙子哨第四监区西侧经过；道路向北经周家山、邓家坡、大坡、杨冲大坡、团坡等地，终点（K11+060）接新寨处规划的青山路。路线全长11.6km。</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本项目于2009年04月01日开工建设，2014年03月20日所有标段完成验收并投入使用。</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2"/>
        <w:rPr>
          <w:rFonts w:hint="eastAsia" w:ascii="Times New Roman" w:hAnsi="Times New Roman" w:eastAsia="宋体" w:cs="Times New Roman"/>
          <w:sz w:val="24"/>
          <w:szCs w:val="24"/>
          <w:lang w:val="en-US" w:eastAsia="zh-CN"/>
        </w:rPr>
      </w:pPr>
      <w:bookmarkStart w:id="89" w:name="_Toc7332"/>
      <w:r>
        <w:rPr>
          <w:rFonts w:hint="eastAsia" w:ascii="Times New Roman" w:hAnsi="Times New Roman" w:eastAsia="宋体" w:cs="Times New Roman"/>
          <w:sz w:val="24"/>
          <w:szCs w:val="24"/>
          <w:lang w:val="en-US" w:eastAsia="zh-CN"/>
        </w:rPr>
        <w:t>10.1.2环保措施落实情况</w:t>
      </w:r>
      <w:bookmarkEnd w:id="89"/>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本工程已按环评要求及相关环保要求建设了相应的设施，施工便道、弃土场等已得到回复，本次调查结果显示，相关环保措施已基本落实，未对沿线环境造成较大的影响。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2"/>
        <w:rPr>
          <w:rFonts w:hint="eastAsia" w:ascii="Times New Roman" w:hAnsi="Times New Roman" w:eastAsia="宋体" w:cs="Times New Roman"/>
          <w:sz w:val="24"/>
          <w:szCs w:val="24"/>
          <w:lang w:val="en-US" w:eastAsia="zh-CN"/>
        </w:rPr>
      </w:pPr>
      <w:bookmarkStart w:id="90" w:name="_Toc16644"/>
      <w:r>
        <w:rPr>
          <w:rFonts w:hint="eastAsia" w:ascii="Times New Roman" w:hAnsi="Times New Roman" w:eastAsia="宋体" w:cs="Times New Roman"/>
          <w:sz w:val="24"/>
          <w:szCs w:val="24"/>
          <w:lang w:val="en-US" w:eastAsia="zh-CN"/>
        </w:rPr>
        <w:t>10.1.3生态环境</w:t>
      </w:r>
      <w:bookmarkEnd w:id="90"/>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本项目建设道路639634.05m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lang w:val="en-US" w:eastAsia="zh-CN"/>
        </w:rPr>
        <w:t>，土石方量199.85m</w:t>
      </w:r>
      <w:r>
        <w:rPr>
          <w:rFonts w:hint="eastAsia" w:ascii="Times New Roman" w:hAnsi="Times New Roman" w:eastAsia="宋体" w:cs="Times New Roman"/>
          <w:sz w:val="24"/>
          <w:szCs w:val="24"/>
          <w:vertAlign w:val="superscript"/>
          <w:lang w:val="en-US" w:eastAsia="zh-CN"/>
        </w:rPr>
        <w:t>3</w:t>
      </w:r>
      <w:r>
        <w:rPr>
          <w:rFonts w:hint="eastAsia" w:ascii="Times New Roman" w:hAnsi="Times New Roman" w:eastAsia="宋体" w:cs="Times New Roman"/>
          <w:sz w:val="24"/>
          <w:szCs w:val="24"/>
          <w:lang w:val="en-US" w:eastAsia="zh-CN"/>
        </w:rPr>
        <w:t>，建设桥梁3座，永久性占地77.80hm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vertAlign w:val="baseline"/>
          <w:lang w:val="en-US" w:eastAsia="zh-CN"/>
        </w:rPr>
        <w:t>（其中16.41</w:t>
      </w:r>
      <w:r>
        <w:rPr>
          <w:rFonts w:hint="eastAsia" w:ascii="Times New Roman" w:hAnsi="Times New Roman" w:eastAsia="宋体" w:cs="Times New Roman"/>
          <w:sz w:val="24"/>
          <w:szCs w:val="24"/>
          <w:lang w:val="en-US" w:eastAsia="zh-CN"/>
        </w:rPr>
        <w:t>hm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vertAlign w:val="baseline"/>
          <w:lang w:val="en-US" w:eastAsia="zh-CN"/>
        </w:rPr>
        <w:t>为基本农田）。拆迁房屋93886m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vertAlign w:val="baseline"/>
          <w:lang w:val="en-US" w:eastAsia="zh-CN"/>
        </w:rPr>
        <w:t>，被拆迁626户约2100余人，企业10家。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本项目土石方总量为199.85m</w:t>
      </w:r>
      <w:r>
        <w:rPr>
          <w:rFonts w:hint="eastAsia" w:ascii="Times New Roman" w:hAnsi="Times New Roman" w:eastAsia="宋体" w:cs="Times New Roman"/>
          <w:sz w:val="24"/>
          <w:szCs w:val="24"/>
          <w:vertAlign w:val="superscript"/>
          <w:lang w:val="en-US" w:eastAsia="zh-CN"/>
        </w:rPr>
        <w:t>3</w:t>
      </w:r>
      <w:r>
        <w:rPr>
          <w:rFonts w:hint="eastAsia" w:ascii="Times New Roman" w:hAnsi="Times New Roman" w:eastAsia="宋体" w:cs="Times New Roman"/>
          <w:sz w:val="24"/>
          <w:szCs w:val="24"/>
          <w:lang w:val="en-US" w:eastAsia="zh-CN"/>
        </w:rPr>
        <w:t>，填方185.89万m</w:t>
      </w:r>
      <w:r>
        <w:rPr>
          <w:rFonts w:hint="eastAsia" w:ascii="Times New Roman" w:hAnsi="Times New Roman" w:eastAsia="宋体" w:cs="Times New Roman"/>
          <w:sz w:val="24"/>
          <w:szCs w:val="24"/>
          <w:vertAlign w:val="superscript"/>
          <w:lang w:val="en-US" w:eastAsia="zh-CN"/>
        </w:rPr>
        <w:t>3</w:t>
      </w:r>
      <w:r>
        <w:rPr>
          <w:rFonts w:hint="eastAsia" w:ascii="Times New Roman" w:hAnsi="Times New Roman" w:eastAsia="宋体" w:cs="Times New Roman"/>
          <w:sz w:val="24"/>
          <w:szCs w:val="24"/>
          <w:lang w:val="en-US" w:eastAsia="zh-CN"/>
        </w:rPr>
        <w:t>，弃方13.96万m</w:t>
      </w:r>
      <w:r>
        <w:rPr>
          <w:rFonts w:hint="eastAsia" w:ascii="Times New Roman" w:hAnsi="Times New Roman" w:eastAsia="宋体" w:cs="Times New Roman"/>
          <w:sz w:val="24"/>
          <w:szCs w:val="24"/>
          <w:vertAlign w:val="superscript"/>
          <w:lang w:val="en-US" w:eastAsia="zh-CN"/>
        </w:rPr>
        <w:t>3</w:t>
      </w:r>
      <w:r>
        <w:rPr>
          <w:rFonts w:hint="eastAsia" w:ascii="Times New Roman" w:hAnsi="Times New Roman" w:eastAsia="宋体" w:cs="Times New Roman"/>
          <w:sz w:val="24"/>
          <w:szCs w:val="24"/>
          <w:vertAlign w:val="baseline"/>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本项目未设置专门的取土场，所需料石全部采用购买，仅设置3处永久性弃土场和3个临时弃土场；临时弃土场现已完成清理、平整、绿化等，永久弃土场现已夯实、整理，并进行了绿化覆盖。</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经实地勘察，本项目已按要求完成边坡建设，临时堆场恢复，沿线施工扰动区已进行生态恢复，基本完成水土保持要求。</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道路沿线已种植行道树，路中心隔离带绿化等已基本完成。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2"/>
        <w:rPr>
          <w:rFonts w:hint="eastAsia" w:ascii="Times New Roman" w:hAnsi="Times New Roman" w:eastAsia="宋体" w:cs="Times New Roman"/>
          <w:sz w:val="24"/>
          <w:szCs w:val="24"/>
          <w:lang w:val="en-US" w:eastAsia="zh-CN"/>
        </w:rPr>
      </w:pPr>
      <w:bookmarkStart w:id="91" w:name="_Toc6185"/>
      <w:r>
        <w:rPr>
          <w:rFonts w:hint="eastAsia" w:ascii="Times New Roman" w:hAnsi="Times New Roman" w:eastAsia="宋体" w:cs="Times New Roman"/>
          <w:sz w:val="24"/>
          <w:szCs w:val="24"/>
          <w:lang w:val="en-US" w:eastAsia="zh-CN"/>
        </w:rPr>
        <w:t>10.1.4水环境</w:t>
      </w:r>
      <w:bookmarkEnd w:id="91"/>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本工程沿线设有边沟，能有效对冲刷路面的雨水收集引流，有效防止其对周边环境的影响。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从贵州明德工程咨询有限公司监测结果可看出五日生化需氧量和化学需氧量监测结果已超《地表水环境质量标准》（GB 3838-2002）Ⅲ类水标准，超标倍数分别为0.75和0.15；其余指标均达到《地表水环境质量标准》（GB 3838-2002）Ⅲ类水标准。从本工程环评报告上可知氨氮、化学需氧量、五日生化需氧量超标倍数分别为0.19、1.03、0.80，由此可以看出本工程验收期间麦架河水质较本工程环评期间有所好转。</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2"/>
        <w:rPr>
          <w:rFonts w:hint="eastAsia" w:ascii="Times New Roman" w:hAnsi="Times New Roman" w:eastAsia="宋体" w:cs="Times New Roman"/>
          <w:sz w:val="24"/>
          <w:szCs w:val="24"/>
          <w:lang w:val="en-US" w:eastAsia="zh-CN"/>
        </w:rPr>
      </w:pPr>
      <w:bookmarkStart w:id="92" w:name="_Toc11296"/>
      <w:r>
        <w:rPr>
          <w:rFonts w:hint="eastAsia" w:ascii="Times New Roman" w:hAnsi="Times New Roman" w:eastAsia="宋体" w:cs="Times New Roman"/>
          <w:sz w:val="24"/>
          <w:szCs w:val="24"/>
          <w:lang w:val="en-US" w:eastAsia="zh-CN"/>
        </w:rPr>
        <w:t>10.1.5环境空气</w:t>
      </w:r>
      <w:bookmarkEnd w:id="92"/>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本工程定期安排环卫人员清扫道路上洒落的散装物料减少车辆通过引起起尘，沿线种植行道树，在干燥天气对路面采取洒水措施，有效降低扬尘，对大气环境影响较小。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cs="Times New Roman" w:eastAsiaTheme="minorEastAsia"/>
          <w:sz w:val="24"/>
          <w:szCs w:val="24"/>
          <w:lang w:val="en-US" w:eastAsia="zh-CN"/>
        </w:rPr>
      </w:pPr>
      <w:r>
        <w:rPr>
          <w:rFonts w:hint="eastAsia" w:ascii="Times New Roman" w:hAnsi="Times New Roman" w:eastAsia="宋体" w:cs="Times New Roman"/>
          <w:sz w:val="24"/>
          <w:szCs w:val="24"/>
          <w:lang w:val="en-US" w:eastAsia="zh-CN"/>
        </w:rPr>
        <w:t>沿线敏感点监测结果满足</w:t>
      </w:r>
      <w:r>
        <w:rPr>
          <w:spacing w:val="-4"/>
          <w:sz w:val="24"/>
          <w:szCs w:val="24"/>
        </w:rPr>
        <w:t>《环境空气质量标准</w:t>
      </w:r>
      <w:r>
        <w:rPr>
          <w:spacing w:val="-140"/>
          <w:sz w:val="24"/>
          <w:szCs w:val="24"/>
        </w:rPr>
        <w:t>》</w:t>
      </w:r>
      <w:r>
        <w:rPr>
          <w:sz w:val="24"/>
          <w:szCs w:val="24"/>
        </w:rPr>
        <w:t>（</w:t>
      </w:r>
      <w:r>
        <w:rPr>
          <w:rFonts w:ascii="Times New Roman" w:eastAsia="Times New Roman"/>
          <w:sz w:val="24"/>
          <w:szCs w:val="24"/>
        </w:rPr>
        <w:t>GB3095-1996</w:t>
      </w:r>
      <w:r>
        <w:rPr>
          <w:sz w:val="24"/>
          <w:szCs w:val="24"/>
        </w:rPr>
        <w:t>）</w:t>
      </w:r>
      <w:r>
        <w:rPr>
          <w:spacing w:val="-5"/>
          <w:sz w:val="24"/>
          <w:szCs w:val="24"/>
        </w:rPr>
        <w:t>标准限值</w:t>
      </w:r>
      <w:r>
        <w:rPr>
          <w:rFonts w:hint="eastAsia"/>
          <w:spacing w:val="-5"/>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2"/>
        <w:rPr>
          <w:rFonts w:hint="eastAsia" w:ascii="Times New Roman" w:hAnsi="Times New Roman" w:eastAsia="宋体" w:cs="Times New Roman"/>
          <w:sz w:val="24"/>
          <w:szCs w:val="24"/>
          <w:lang w:val="en-US" w:eastAsia="zh-CN"/>
        </w:rPr>
      </w:pPr>
      <w:bookmarkStart w:id="93" w:name="_Toc12668"/>
      <w:r>
        <w:rPr>
          <w:rFonts w:hint="eastAsia" w:ascii="Times New Roman" w:hAnsi="Times New Roman" w:eastAsia="宋体" w:cs="Times New Roman"/>
          <w:sz w:val="24"/>
          <w:szCs w:val="24"/>
          <w:lang w:val="en-US" w:eastAsia="zh-CN"/>
        </w:rPr>
        <w:t>10.1.6声环境</w:t>
      </w:r>
      <w:bookmarkEnd w:id="93"/>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本工程已基本按照环境影响评价报告要求建设相关设施，沿线敏感点监测结果均满足《声环境质量标准》（GB 3096-2008）的相关要求。</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2"/>
        <w:rPr>
          <w:rFonts w:hint="eastAsia" w:ascii="Times New Roman" w:hAnsi="Times New Roman" w:eastAsia="宋体" w:cs="Times New Roman"/>
          <w:sz w:val="24"/>
          <w:szCs w:val="24"/>
          <w:lang w:val="en-US" w:eastAsia="zh-CN"/>
        </w:rPr>
      </w:pPr>
      <w:bookmarkStart w:id="94" w:name="_Toc30032"/>
      <w:r>
        <w:rPr>
          <w:rFonts w:hint="eastAsia" w:ascii="Times New Roman" w:hAnsi="Times New Roman" w:eastAsia="宋体" w:cs="Times New Roman"/>
          <w:sz w:val="24"/>
          <w:szCs w:val="24"/>
          <w:lang w:val="en-US" w:eastAsia="zh-CN"/>
        </w:rPr>
        <w:t>10.1.7固体废物</w:t>
      </w:r>
      <w:bookmarkEnd w:id="94"/>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本工程沿线设置了垃圾池或垃圾箱，对生活垃圾收集后定期交由环卫部门清运，不向周边环境排弃，亦没有生活垃圾过多堆存不清运的情况，没有造成不良的环境影响。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2"/>
        <w:rPr>
          <w:rFonts w:hint="eastAsia" w:ascii="Times New Roman" w:hAnsi="Times New Roman" w:eastAsia="宋体" w:cs="Times New Roman"/>
          <w:sz w:val="24"/>
          <w:szCs w:val="24"/>
          <w:lang w:val="en-US" w:eastAsia="zh-CN"/>
        </w:rPr>
      </w:pPr>
      <w:bookmarkStart w:id="95" w:name="_Toc9992"/>
      <w:r>
        <w:rPr>
          <w:rFonts w:hint="eastAsia" w:ascii="Times New Roman" w:hAnsi="Times New Roman" w:eastAsia="宋体" w:cs="Times New Roman"/>
          <w:sz w:val="24"/>
          <w:szCs w:val="24"/>
          <w:lang w:val="en-US" w:eastAsia="zh-CN"/>
        </w:rPr>
        <w:t>10.1.8公众调查</w:t>
      </w:r>
      <w:bookmarkEnd w:id="95"/>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100%的司乘人员调查对象对本公路工程环境保护工作的总体评价为满意或基本满意。93.75%的沿线居民调查对象对本公路工程环境保护工作的总体评价为满意或基本满意。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2"/>
        <w:rPr>
          <w:rFonts w:hint="eastAsia" w:ascii="Times New Roman" w:hAnsi="Times New Roman" w:eastAsia="宋体" w:cs="Times New Roman"/>
          <w:sz w:val="24"/>
          <w:szCs w:val="24"/>
          <w:lang w:val="en-US" w:eastAsia="zh-CN"/>
        </w:rPr>
      </w:pPr>
      <w:bookmarkStart w:id="96" w:name="_Toc28533"/>
      <w:r>
        <w:rPr>
          <w:rFonts w:hint="eastAsia" w:ascii="Times New Roman" w:hAnsi="Times New Roman" w:eastAsia="宋体" w:cs="Times New Roman"/>
          <w:sz w:val="24"/>
          <w:szCs w:val="24"/>
          <w:lang w:val="en-US" w:eastAsia="zh-CN"/>
        </w:rPr>
        <w:t>10.1.9应急预案</w:t>
      </w:r>
      <w:bookmarkEnd w:id="96"/>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本项目制定了相适应的环境风险应急预案；应急管理机构已建立，管理职责明确，应急机制合理有效。</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b/>
          <w:bCs/>
          <w:sz w:val="24"/>
          <w:szCs w:val="24"/>
          <w:lang w:val="en-US" w:eastAsia="zh-CN"/>
        </w:rPr>
        <w:t>综上所述，贵阳高新技术产业经济带沙文生态科技产业园金苏大道道路工程在设计、施工和试运营过程中采取了较为有效的生态保护和污染防治措施，对沿线敏感目标未产生明显影响，在现有交通状况下全线敏感点声环境及大气环境质量均满足相应标准要求。建议通过竣工环境保护验收。</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outlineLvl w:val="1"/>
        <w:rPr>
          <w:rFonts w:hint="eastAsia" w:ascii="Times New Roman" w:hAnsi="Times New Roman" w:eastAsia="宋体" w:cs="Times New Roman"/>
          <w:sz w:val="24"/>
          <w:szCs w:val="24"/>
          <w:lang w:val="en-US" w:eastAsia="zh-CN"/>
        </w:rPr>
      </w:pPr>
      <w:bookmarkStart w:id="97" w:name="_Toc15839"/>
      <w:r>
        <w:rPr>
          <w:rFonts w:hint="eastAsia" w:ascii="Times New Roman" w:hAnsi="Times New Roman" w:eastAsia="宋体" w:cs="Times New Roman"/>
          <w:sz w:val="24"/>
          <w:szCs w:val="24"/>
          <w:lang w:val="en-US" w:eastAsia="zh-CN"/>
        </w:rPr>
        <w:t>10.2建议</w:t>
      </w:r>
      <w:bookmarkEnd w:id="97"/>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1、建议对自然恢复效果欠佳的取土场尽快采取有效的生态恢复措施；并加强对工程沿线临时占地、绿化及护坡工程的养护和管理。</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2、加强风险事故应急管理，定期开展应急演练，提高风险应对能力。</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3、加强对沿线桥面径流收集系统、</w:t>
      </w:r>
      <w:r>
        <w:rPr>
          <w:rFonts w:hint="eastAsia" w:ascii="Times New Roman" w:hAnsi="Times New Roman" w:eastAsia="宋体" w:cs="Times New Roman"/>
          <w:sz w:val="24"/>
          <w:szCs w:val="24"/>
          <w:lang w:val="en-US" w:eastAsia="zh-CN"/>
        </w:rPr>
        <w:t>边沟、边坡防护设施、沿线绿化</w:t>
      </w:r>
      <w:r>
        <w:rPr>
          <w:rFonts w:hint="default" w:ascii="Times New Roman" w:hAnsi="Times New Roman" w:eastAsia="宋体" w:cs="Times New Roman"/>
          <w:sz w:val="24"/>
          <w:szCs w:val="24"/>
          <w:lang w:val="en-US" w:eastAsia="zh-CN"/>
        </w:rPr>
        <w:t>等的管理和维护，确保其正常运行。</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4、加强对上路车辆的检查和管理，严禁高噪声和未加盖篷布的散装物料运载车辆上路。</w:t>
      </w:r>
    </w:p>
    <w:p>
      <w:pP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br w:type="page"/>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0"/>
        <w:rPr>
          <w:rFonts w:hint="eastAsia" w:ascii="Times New Roman" w:hAnsi="Times New Roman" w:eastAsia="宋体" w:cs="Times New Roman"/>
          <w:sz w:val="24"/>
          <w:szCs w:val="24"/>
          <w:lang w:val="en-US" w:eastAsia="zh-CN"/>
        </w:rPr>
      </w:pPr>
      <w:bookmarkStart w:id="98" w:name="_Toc23104"/>
      <w:r>
        <w:rPr>
          <w:rFonts w:hint="eastAsia" w:ascii="Times New Roman" w:hAnsi="Times New Roman" w:eastAsia="宋体" w:cs="Times New Roman"/>
          <w:sz w:val="24"/>
          <w:szCs w:val="24"/>
          <w:lang w:val="en-US" w:eastAsia="zh-CN"/>
        </w:rPr>
        <w:t>附件一：立项文件批复</w:t>
      </w:r>
      <w:bookmarkEnd w:id="98"/>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drawing>
          <wp:inline distT="0" distB="0" distL="114300" distR="114300">
            <wp:extent cx="5269865" cy="7232650"/>
            <wp:effectExtent l="0" t="0" r="6985" b="6350"/>
            <wp:docPr id="95" name="图片 95" descr="金苏立项批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金苏立项批复1"/>
                    <pic:cNvPicPr>
                      <a:picLocks noChangeAspect="1"/>
                    </pic:cNvPicPr>
                  </pic:nvPicPr>
                  <pic:blipFill>
                    <a:blip r:embed="rId44"/>
                    <a:stretch>
                      <a:fillRect/>
                    </a:stretch>
                  </pic:blipFill>
                  <pic:spPr>
                    <a:xfrm>
                      <a:off x="0" y="0"/>
                      <a:ext cx="5269865" cy="7232650"/>
                    </a:xfrm>
                    <a:prstGeom prst="rect">
                      <a:avLst/>
                    </a:prstGeom>
                  </pic:spPr>
                </pic:pic>
              </a:graphicData>
            </a:graphic>
          </wp:inline>
        </w:drawing>
      </w:r>
      <w:r>
        <w:rPr>
          <w:rFonts w:hint="default" w:ascii="Times New Roman" w:hAnsi="Times New Roman" w:eastAsia="宋体" w:cs="Times New Roman"/>
          <w:sz w:val="24"/>
          <w:szCs w:val="24"/>
          <w:lang w:val="en-US" w:eastAsia="zh-CN"/>
        </w:rPr>
        <w:drawing>
          <wp:inline distT="0" distB="0" distL="114300" distR="114300">
            <wp:extent cx="5269865" cy="7232650"/>
            <wp:effectExtent l="0" t="0" r="6985" b="6350"/>
            <wp:docPr id="96" name="图片 96" descr="金苏立项批复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金苏立项批复2"/>
                    <pic:cNvPicPr>
                      <a:picLocks noChangeAspect="1"/>
                    </pic:cNvPicPr>
                  </pic:nvPicPr>
                  <pic:blipFill>
                    <a:blip r:embed="rId45"/>
                    <a:stretch>
                      <a:fillRect/>
                    </a:stretch>
                  </pic:blipFill>
                  <pic:spPr>
                    <a:xfrm>
                      <a:off x="0" y="0"/>
                      <a:ext cx="5269865" cy="7232650"/>
                    </a:xfrm>
                    <a:prstGeom prst="rect">
                      <a:avLst/>
                    </a:prstGeom>
                  </pic:spPr>
                </pic:pic>
              </a:graphicData>
            </a:graphic>
          </wp:inline>
        </w:drawing>
      </w:r>
    </w:p>
    <w:p>
      <w:pP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br w:type="page"/>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0"/>
        <w:rPr>
          <w:rFonts w:hint="eastAsia" w:ascii="Times New Roman" w:hAnsi="Times New Roman" w:eastAsia="宋体" w:cs="Times New Roman"/>
          <w:sz w:val="24"/>
          <w:szCs w:val="24"/>
          <w:lang w:val="en-US" w:eastAsia="zh-CN"/>
        </w:rPr>
      </w:pPr>
      <w:bookmarkStart w:id="99" w:name="_Toc12846"/>
      <w:r>
        <w:rPr>
          <w:rFonts w:hint="eastAsia" w:ascii="Times New Roman" w:hAnsi="Times New Roman" w:eastAsia="宋体" w:cs="Times New Roman"/>
          <w:sz w:val="24"/>
          <w:szCs w:val="24"/>
          <w:lang w:val="en-US" w:eastAsia="zh-CN"/>
        </w:rPr>
        <w:t>附件二：环评批复文件</w:t>
      </w:r>
      <w:bookmarkEnd w:id="99"/>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drawing>
          <wp:inline distT="0" distB="0" distL="114300" distR="114300">
            <wp:extent cx="5269865" cy="7232650"/>
            <wp:effectExtent l="0" t="0" r="6985" b="6350"/>
            <wp:docPr id="92" name="图片 92" descr="环评批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环评批复1"/>
                    <pic:cNvPicPr>
                      <a:picLocks noChangeAspect="1"/>
                    </pic:cNvPicPr>
                  </pic:nvPicPr>
                  <pic:blipFill>
                    <a:blip r:embed="rId46"/>
                    <a:stretch>
                      <a:fillRect/>
                    </a:stretch>
                  </pic:blipFill>
                  <pic:spPr>
                    <a:xfrm>
                      <a:off x="0" y="0"/>
                      <a:ext cx="5269865" cy="7232650"/>
                    </a:xfrm>
                    <a:prstGeom prst="rect">
                      <a:avLst/>
                    </a:prstGeom>
                  </pic:spPr>
                </pic:pic>
              </a:graphicData>
            </a:graphic>
          </wp:inline>
        </w:drawing>
      </w:r>
      <w:r>
        <w:rPr>
          <w:rFonts w:hint="default" w:ascii="Times New Roman" w:hAnsi="Times New Roman" w:eastAsia="宋体" w:cs="Times New Roman"/>
          <w:sz w:val="24"/>
          <w:szCs w:val="24"/>
          <w:lang w:val="en-US" w:eastAsia="zh-CN"/>
        </w:rPr>
        <w:drawing>
          <wp:inline distT="0" distB="0" distL="114300" distR="114300">
            <wp:extent cx="5269865" cy="7232650"/>
            <wp:effectExtent l="0" t="0" r="6985" b="6350"/>
            <wp:docPr id="91" name="图片 91" descr="环评批复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环评批复2"/>
                    <pic:cNvPicPr>
                      <a:picLocks noChangeAspect="1"/>
                    </pic:cNvPicPr>
                  </pic:nvPicPr>
                  <pic:blipFill>
                    <a:blip r:embed="rId47"/>
                    <a:stretch>
                      <a:fillRect/>
                    </a:stretch>
                  </pic:blipFill>
                  <pic:spPr>
                    <a:xfrm>
                      <a:off x="0" y="0"/>
                      <a:ext cx="5269865" cy="7232650"/>
                    </a:xfrm>
                    <a:prstGeom prst="rect">
                      <a:avLst/>
                    </a:prstGeom>
                  </pic:spPr>
                </pic:pic>
              </a:graphicData>
            </a:graphic>
          </wp:inline>
        </w:drawing>
      </w:r>
      <w:r>
        <w:rPr>
          <w:rFonts w:hint="default" w:ascii="Times New Roman" w:hAnsi="Times New Roman" w:eastAsia="宋体" w:cs="Times New Roman"/>
          <w:sz w:val="24"/>
          <w:szCs w:val="24"/>
          <w:lang w:val="en-US" w:eastAsia="zh-CN"/>
        </w:rPr>
        <w:drawing>
          <wp:inline distT="0" distB="0" distL="114300" distR="114300">
            <wp:extent cx="5269865" cy="7232650"/>
            <wp:effectExtent l="0" t="0" r="6985" b="6350"/>
            <wp:docPr id="90" name="图片 90" descr="环评批复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环评批复3"/>
                    <pic:cNvPicPr>
                      <a:picLocks noChangeAspect="1"/>
                    </pic:cNvPicPr>
                  </pic:nvPicPr>
                  <pic:blipFill>
                    <a:blip r:embed="rId48"/>
                    <a:stretch>
                      <a:fillRect/>
                    </a:stretch>
                  </pic:blipFill>
                  <pic:spPr>
                    <a:xfrm>
                      <a:off x="0" y="0"/>
                      <a:ext cx="5269865" cy="7232650"/>
                    </a:xfrm>
                    <a:prstGeom prst="rect">
                      <a:avLst/>
                    </a:prstGeom>
                  </pic:spPr>
                </pic:pic>
              </a:graphicData>
            </a:graphic>
          </wp:inline>
        </w:drawing>
      </w:r>
      <w:r>
        <w:rPr>
          <w:rFonts w:hint="default" w:ascii="Times New Roman" w:hAnsi="Times New Roman" w:eastAsia="宋体" w:cs="Times New Roman"/>
          <w:sz w:val="24"/>
          <w:szCs w:val="24"/>
          <w:lang w:val="en-US" w:eastAsia="zh-CN"/>
        </w:rPr>
        <w:drawing>
          <wp:inline distT="0" distB="0" distL="114300" distR="114300">
            <wp:extent cx="5269865" cy="7232650"/>
            <wp:effectExtent l="0" t="0" r="6985" b="6350"/>
            <wp:docPr id="94" name="图片 94" descr="环评批复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环评批复4"/>
                    <pic:cNvPicPr>
                      <a:picLocks noChangeAspect="1"/>
                    </pic:cNvPicPr>
                  </pic:nvPicPr>
                  <pic:blipFill>
                    <a:blip r:embed="rId49"/>
                    <a:stretch>
                      <a:fillRect/>
                    </a:stretch>
                  </pic:blipFill>
                  <pic:spPr>
                    <a:xfrm>
                      <a:off x="0" y="0"/>
                      <a:ext cx="5269865" cy="7232650"/>
                    </a:xfrm>
                    <a:prstGeom prst="rect">
                      <a:avLst/>
                    </a:prstGeom>
                  </pic:spPr>
                </pic:pic>
              </a:graphicData>
            </a:graphic>
          </wp:inline>
        </w:drawing>
      </w:r>
      <w:r>
        <w:rPr>
          <w:rFonts w:hint="default" w:ascii="Times New Roman" w:hAnsi="Times New Roman" w:eastAsia="宋体" w:cs="Times New Roman"/>
          <w:sz w:val="24"/>
          <w:szCs w:val="24"/>
          <w:lang w:val="en-US" w:eastAsia="zh-CN"/>
        </w:rPr>
        <w:drawing>
          <wp:inline distT="0" distB="0" distL="114300" distR="114300">
            <wp:extent cx="5269865" cy="7232650"/>
            <wp:effectExtent l="0" t="0" r="6985" b="6350"/>
            <wp:docPr id="93" name="图片 93" descr="环评批复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环评批复5"/>
                    <pic:cNvPicPr>
                      <a:picLocks noChangeAspect="1"/>
                    </pic:cNvPicPr>
                  </pic:nvPicPr>
                  <pic:blipFill>
                    <a:blip r:embed="rId50"/>
                    <a:stretch>
                      <a:fillRect/>
                    </a:stretch>
                  </pic:blipFill>
                  <pic:spPr>
                    <a:xfrm>
                      <a:off x="0" y="0"/>
                      <a:ext cx="5269865" cy="7232650"/>
                    </a:xfrm>
                    <a:prstGeom prst="rect">
                      <a:avLst/>
                    </a:prstGeom>
                  </pic:spPr>
                </pic:pic>
              </a:graphicData>
            </a:graphic>
          </wp:inline>
        </w:drawing>
      </w:r>
    </w:p>
    <w:p>
      <w:pP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br w:type="page"/>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0"/>
        <w:rPr>
          <w:rFonts w:hint="eastAsia" w:ascii="Times New Roman" w:hAnsi="Times New Roman" w:eastAsia="宋体" w:cs="Times New Roman"/>
          <w:sz w:val="24"/>
          <w:szCs w:val="24"/>
          <w:lang w:val="en-US" w:eastAsia="zh-CN"/>
        </w:rPr>
      </w:pPr>
      <w:bookmarkStart w:id="100" w:name="_Toc5990"/>
      <w:r>
        <w:rPr>
          <w:rFonts w:hint="eastAsia" w:ascii="Times New Roman" w:hAnsi="Times New Roman" w:eastAsia="宋体" w:cs="Times New Roman"/>
          <w:sz w:val="24"/>
          <w:szCs w:val="24"/>
          <w:lang w:val="en-US" w:eastAsia="zh-CN"/>
        </w:rPr>
        <w:t>附件三：验收监测报告</w:t>
      </w:r>
      <w:bookmarkEnd w:id="100"/>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pPr>
      <w:r>
        <w:drawing>
          <wp:inline distT="0" distB="0" distL="114300" distR="114300">
            <wp:extent cx="5038725" cy="7038975"/>
            <wp:effectExtent l="0" t="0" r="9525" b="9525"/>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51"/>
                    <a:stretch>
                      <a:fillRect/>
                    </a:stretch>
                  </pic:blipFill>
                  <pic:spPr>
                    <a:xfrm>
                      <a:off x="0" y="0"/>
                      <a:ext cx="5038725" cy="7038975"/>
                    </a:xfrm>
                    <a:prstGeom prst="rect">
                      <a:avLst/>
                    </a:prstGeom>
                    <a:noFill/>
                    <a:ln>
                      <a:noFill/>
                    </a:ln>
                  </pic:spPr>
                </pic:pic>
              </a:graphicData>
            </a:graphic>
          </wp:inline>
        </w:drawing>
      </w:r>
      <w:r>
        <w:drawing>
          <wp:inline distT="0" distB="0" distL="114300" distR="114300">
            <wp:extent cx="5000625" cy="6867525"/>
            <wp:effectExtent l="0" t="0" r="9525" b="9525"/>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pic:cNvPicPr>
                  </pic:nvPicPr>
                  <pic:blipFill>
                    <a:blip r:embed="rId52"/>
                    <a:stretch>
                      <a:fillRect/>
                    </a:stretch>
                  </pic:blipFill>
                  <pic:spPr>
                    <a:xfrm>
                      <a:off x="0" y="0"/>
                      <a:ext cx="5000625" cy="6867525"/>
                    </a:xfrm>
                    <a:prstGeom prst="rect">
                      <a:avLst/>
                    </a:prstGeom>
                    <a:noFill/>
                    <a:ln>
                      <a:noFill/>
                    </a:ln>
                  </pic:spPr>
                </pic:pic>
              </a:graphicData>
            </a:graphic>
          </wp:inline>
        </w:drawing>
      </w:r>
      <w:r>
        <w:drawing>
          <wp:inline distT="0" distB="0" distL="114300" distR="114300">
            <wp:extent cx="5000625" cy="6972300"/>
            <wp:effectExtent l="0" t="0" r="9525" b="0"/>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53"/>
                    <a:stretch>
                      <a:fillRect/>
                    </a:stretch>
                  </pic:blipFill>
                  <pic:spPr>
                    <a:xfrm>
                      <a:off x="0" y="0"/>
                      <a:ext cx="5000625" cy="6972300"/>
                    </a:xfrm>
                    <a:prstGeom prst="rect">
                      <a:avLst/>
                    </a:prstGeom>
                    <a:noFill/>
                    <a:ln>
                      <a:noFill/>
                    </a:ln>
                  </pic:spPr>
                </pic:pic>
              </a:graphicData>
            </a:graphic>
          </wp:inline>
        </w:drawing>
      </w:r>
      <w:r>
        <w:drawing>
          <wp:inline distT="0" distB="0" distL="114300" distR="114300">
            <wp:extent cx="4991100" cy="6991350"/>
            <wp:effectExtent l="0" t="0" r="0" b="0"/>
            <wp:docPr id="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
                    <pic:cNvPicPr>
                      <a:picLocks noChangeAspect="1"/>
                    </pic:cNvPicPr>
                  </pic:nvPicPr>
                  <pic:blipFill>
                    <a:blip r:embed="rId54"/>
                    <a:stretch>
                      <a:fillRect/>
                    </a:stretch>
                  </pic:blipFill>
                  <pic:spPr>
                    <a:xfrm>
                      <a:off x="0" y="0"/>
                      <a:ext cx="4991100" cy="6991350"/>
                    </a:xfrm>
                    <a:prstGeom prst="rect">
                      <a:avLst/>
                    </a:prstGeom>
                    <a:noFill/>
                    <a:ln>
                      <a:noFill/>
                    </a:ln>
                  </pic:spPr>
                </pic:pic>
              </a:graphicData>
            </a:graphic>
          </wp:inline>
        </w:drawing>
      </w:r>
      <w:r>
        <w:drawing>
          <wp:inline distT="0" distB="0" distL="114300" distR="114300">
            <wp:extent cx="5010150" cy="6972300"/>
            <wp:effectExtent l="0" t="0" r="0" b="0"/>
            <wp:docPr id="3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
                    <pic:cNvPicPr>
                      <a:picLocks noChangeAspect="1"/>
                    </pic:cNvPicPr>
                  </pic:nvPicPr>
                  <pic:blipFill>
                    <a:blip r:embed="rId55"/>
                    <a:stretch>
                      <a:fillRect/>
                    </a:stretch>
                  </pic:blipFill>
                  <pic:spPr>
                    <a:xfrm>
                      <a:off x="0" y="0"/>
                      <a:ext cx="5010150" cy="6972300"/>
                    </a:xfrm>
                    <a:prstGeom prst="rect">
                      <a:avLst/>
                    </a:prstGeom>
                    <a:noFill/>
                    <a:ln>
                      <a:noFill/>
                    </a:ln>
                  </pic:spPr>
                </pic:pic>
              </a:graphicData>
            </a:graphic>
          </wp:inline>
        </w:drawing>
      </w:r>
      <w:r>
        <w:drawing>
          <wp:inline distT="0" distB="0" distL="114300" distR="114300">
            <wp:extent cx="5019675" cy="7019925"/>
            <wp:effectExtent l="0" t="0" r="9525" b="9525"/>
            <wp:docPr id="3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6"/>
                    <pic:cNvPicPr>
                      <a:picLocks noChangeAspect="1"/>
                    </pic:cNvPicPr>
                  </pic:nvPicPr>
                  <pic:blipFill>
                    <a:blip r:embed="rId56"/>
                    <a:stretch>
                      <a:fillRect/>
                    </a:stretch>
                  </pic:blipFill>
                  <pic:spPr>
                    <a:xfrm>
                      <a:off x="0" y="0"/>
                      <a:ext cx="5019675" cy="7019925"/>
                    </a:xfrm>
                    <a:prstGeom prst="rect">
                      <a:avLst/>
                    </a:prstGeom>
                    <a:noFill/>
                    <a:ln>
                      <a:noFill/>
                    </a:ln>
                  </pic:spPr>
                </pic:pic>
              </a:graphicData>
            </a:graphic>
          </wp:inline>
        </w:drawing>
      </w:r>
      <w:r>
        <w:drawing>
          <wp:inline distT="0" distB="0" distL="114300" distR="114300">
            <wp:extent cx="4962525" cy="7010400"/>
            <wp:effectExtent l="0" t="0" r="9525" b="0"/>
            <wp:docPr id="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7"/>
                    <pic:cNvPicPr>
                      <a:picLocks noChangeAspect="1"/>
                    </pic:cNvPicPr>
                  </pic:nvPicPr>
                  <pic:blipFill>
                    <a:blip r:embed="rId57"/>
                    <a:stretch>
                      <a:fillRect/>
                    </a:stretch>
                  </pic:blipFill>
                  <pic:spPr>
                    <a:xfrm>
                      <a:off x="0" y="0"/>
                      <a:ext cx="4962525" cy="7010400"/>
                    </a:xfrm>
                    <a:prstGeom prst="rect">
                      <a:avLst/>
                    </a:prstGeom>
                    <a:noFill/>
                    <a:ln>
                      <a:noFill/>
                    </a:ln>
                  </pic:spPr>
                </pic:pic>
              </a:graphicData>
            </a:graphic>
          </wp:inline>
        </w:drawing>
      </w:r>
      <w:r>
        <w:drawing>
          <wp:inline distT="0" distB="0" distL="114300" distR="114300">
            <wp:extent cx="4972050" cy="6819900"/>
            <wp:effectExtent l="0" t="0" r="0" b="0"/>
            <wp:docPr id="3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8"/>
                    <pic:cNvPicPr>
                      <a:picLocks noChangeAspect="1"/>
                    </pic:cNvPicPr>
                  </pic:nvPicPr>
                  <pic:blipFill>
                    <a:blip r:embed="rId58"/>
                    <a:stretch>
                      <a:fillRect/>
                    </a:stretch>
                  </pic:blipFill>
                  <pic:spPr>
                    <a:xfrm>
                      <a:off x="0" y="0"/>
                      <a:ext cx="4972050" cy="6819900"/>
                    </a:xfrm>
                    <a:prstGeom prst="rect">
                      <a:avLst/>
                    </a:prstGeom>
                    <a:noFill/>
                    <a:ln>
                      <a:noFill/>
                    </a:ln>
                  </pic:spPr>
                </pic:pic>
              </a:graphicData>
            </a:graphic>
          </wp:inline>
        </w:drawing>
      </w:r>
      <w:r>
        <w:drawing>
          <wp:inline distT="0" distB="0" distL="114300" distR="114300">
            <wp:extent cx="4953000" cy="6934200"/>
            <wp:effectExtent l="0" t="0" r="0" b="0"/>
            <wp:docPr id="4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9"/>
                    <pic:cNvPicPr>
                      <a:picLocks noChangeAspect="1"/>
                    </pic:cNvPicPr>
                  </pic:nvPicPr>
                  <pic:blipFill>
                    <a:blip r:embed="rId59"/>
                    <a:stretch>
                      <a:fillRect/>
                    </a:stretch>
                  </pic:blipFill>
                  <pic:spPr>
                    <a:xfrm>
                      <a:off x="0" y="0"/>
                      <a:ext cx="4953000" cy="6934200"/>
                    </a:xfrm>
                    <a:prstGeom prst="rect">
                      <a:avLst/>
                    </a:prstGeom>
                    <a:noFill/>
                    <a:ln>
                      <a:noFill/>
                    </a:ln>
                  </pic:spPr>
                </pic:pic>
              </a:graphicData>
            </a:graphic>
          </wp:inline>
        </w:drawing>
      </w:r>
      <w:r>
        <w:drawing>
          <wp:inline distT="0" distB="0" distL="114300" distR="114300">
            <wp:extent cx="5029200" cy="7000875"/>
            <wp:effectExtent l="0" t="0" r="0" b="9525"/>
            <wp:docPr id="4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0"/>
                    <pic:cNvPicPr>
                      <a:picLocks noChangeAspect="1"/>
                    </pic:cNvPicPr>
                  </pic:nvPicPr>
                  <pic:blipFill>
                    <a:blip r:embed="rId60"/>
                    <a:stretch>
                      <a:fillRect/>
                    </a:stretch>
                  </pic:blipFill>
                  <pic:spPr>
                    <a:xfrm>
                      <a:off x="0" y="0"/>
                      <a:ext cx="5029200" cy="7000875"/>
                    </a:xfrm>
                    <a:prstGeom prst="rect">
                      <a:avLst/>
                    </a:prstGeom>
                    <a:noFill/>
                    <a:ln>
                      <a:noFill/>
                    </a:ln>
                  </pic:spPr>
                </pic:pic>
              </a:graphicData>
            </a:graphic>
          </wp:inline>
        </w:drawing>
      </w:r>
      <w:r>
        <w:drawing>
          <wp:inline distT="0" distB="0" distL="114300" distR="114300">
            <wp:extent cx="5000625" cy="6800850"/>
            <wp:effectExtent l="0" t="0" r="9525" b="0"/>
            <wp:docPr id="4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1"/>
                    <pic:cNvPicPr>
                      <a:picLocks noChangeAspect="1"/>
                    </pic:cNvPicPr>
                  </pic:nvPicPr>
                  <pic:blipFill>
                    <a:blip r:embed="rId61"/>
                    <a:stretch>
                      <a:fillRect/>
                    </a:stretch>
                  </pic:blipFill>
                  <pic:spPr>
                    <a:xfrm>
                      <a:off x="0" y="0"/>
                      <a:ext cx="5000625" cy="6800850"/>
                    </a:xfrm>
                    <a:prstGeom prst="rect">
                      <a:avLst/>
                    </a:prstGeom>
                    <a:noFill/>
                    <a:ln>
                      <a:noFill/>
                    </a:ln>
                  </pic:spPr>
                </pic:pic>
              </a:graphicData>
            </a:graphic>
          </wp:inline>
        </w:drawing>
      </w:r>
      <w:r>
        <w:drawing>
          <wp:inline distT="0" distB="0" distL="114300" distR="114300">
            <wp:extent cx="4933950" cy="6981825"/>
            <wp:effectExtent l="0" t="0" r="0" b="9525"/>
            <wp:docPr id="4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2"/>
                    <pic:cNvPicPr>
                      <a:picLocks noChangeAspect="1"/>
                    </pic:cNvPicPr>
                  </pic:nvPicPr>
                  <pic:blipFill>
                    <a:blip r:embed="rId62"/>
                    <a:stretch>
                      <a:fillRect/>
                    </a:stretch>
                  </pic:blipFill>
                  <pic:spPr>
                    <a:xfrm>
                      <a:off x="0" y="0"/>
                      <a:ext cx="4933950" cy="6981825"/>
                    </a:xfrm>
                    <a:prstGeom prst="rect">
                      <a:avLst/>
                    </a:prstGeom>
                    <a:noFill/>
                    <a:ln>
                      <a:noFill/>
                    </a:ln>
                  </pic:spPr>
                </pic:pic>
              </a:graphicData>
            </a:graphic>
          </wp:inline>
        </w:drawing>
      </w:r>
      <w:r>
        <w:drawing>
          <wp:inline distT="0" distB="0" distL="114300" distR="114300">
            <wp:extent cx="5010150" cy="6838950"/>
            <wp:effectExtent l="0" t="0" r="0" b="0"/>
            <wp:docPr id="5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3"/>
                    <pic:cNvPicPr>
                      <a:picLocks noChangeAspect="1"/>
                    </pic:cNvPicPr>
                  </pic:nvPicPr>
                  <pic:blipFill>
                    <a:blip r:embed="rId63"/>
                    <a:stretch>
                      <a:fillRect/>
                    </a:stretch>
                  </pic:blipFill>
                  <pic:spPr>
                    <a:xfrm>
                      <a:off x="0" y="0"/>
                      <a:ext cx="5010150" cy="6838950"/>
                    </a:xfrm>
                    <a:prstGeom prst="rect">
                      <a:avLst/>
                    </a:prstGeom>
                    <a:noFill/>
                    <a:ln>
                      <a:noFill/>
                    </a:ln>
                  </pic:spPr>
                </pic:pic>
              </a:graphicData>
            </a:graphic>
          </wp:inline>
        </w:drawing>
      </w:r>
      <w:r>
        <w:drawing>
          <wp:inline distT="0" distB="0" distL="114300" distR="114300">
            <wp:extent cx="4962525" cy="6981825"/>
            <wp:effectExtent l="0" t="0" r="9525" b="9525"/>
            <wp:docPr id="5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4"/>
                    <pic:cNvPicPr>
                      <a:picLocks noChangeAspect="1"/>
                    </pic:cNvPicPr>
                  </pic:nvPicPr>
                  <pic:blipFill>
                    <a:blip r:embed="rId64"/>
                    <a:stretch>
                      <a:fillRect/>
                    </a:stretch>
                  </pic:blipFill>
                  <pic:spPr>
                    <a:xfrm>
                      <a:off x="0" y="0"/>
                      <a:ext cx="4962525" cy="6981825"/>
                    </a:xfrm>
                    <a:prstGeom prst="rect">
                      <a:avLst/>
                    </a:prstGeom>
                    <a:noFill/>
                    <a:ln>
                      <a:noFill/>
                    </a:ln>
                  </pic:spPr>
                </pic:pic>
              </a:graphicData>
            </a:graphic>
          </wp:inline>
        </w:drawing>
      </w:r>
      <w:r>
        <w:drawing>
          <wp:inline distT="0" distB="0" distL="114300" distR="114300">
            <wp:extent cx="4991100" cy="7019925"/>
            <wp:effectExtent l="0" t="0" r="0" b="9525"/>
            <wp:docPr id="6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5"/>
                    <pic:cNvPicPr>
                      <a:picLocks noChangeAspect="1"/>
                    </pic:cNvPicPr>
                  </pic:nvPicPr>
                  <pic:blipFill>
                    <a:blip r:embed="rId65"/>
                    <a:stretch>
                      <a:fillRect/>
                    </a:stretch>
                  </pic:blipFill>
                  <pic:spPr>
                    <a:xfrm>
                      <a:off x="0" y="0"/>
                      <a:ext cx="4991100" cy="7019925"/>
                    </a:xfrm>
                    <a:prstGeom prst="rect">
                      <a:avLst/>
                    </a:prstGeom>
                    <a:noFill/>
                    <a:ln>
                      <a:noFill/>
                    </a:ln>
                  </pic:spPr>
                </pic:pic>
              </a:graphicData>
            </a:graphic>
          </wp:inline>
        </w:drawing>
      </w:r>
      <w:r>
        <w:drawing>
          <wp:inline distT="0" distB="0" distL="114300" distR="114300">
            <wp:extent cx="4943475" cy="6953250"/>
            <wp:effectExtent l="0" t="0" r="9525" b="0"/>
            <wp:docPr id="6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6"/>
                    <pic:cNvPicPr>
                      <a:picLocks noChangeAspect="1"/>
                    </pic:cNvPicPr>
                  </pic:nvPicPr>
                  <pic:blipFill>
                    <a:blip r:embed="rId66"/>
                    <a:stretch>
                      <a:fillRect/>
                    </a:stretch>
                  </pic:blipFill>
                  <pic:spPr>
                    <a:xfrm>
                      <a:off x="0" y="0"/>
                      <a:ext cx="4943475" cy="6953250"/>
                    </a:xfrm>
                    <a:prstGeom prst="rect">
                      <a:avLst/>
                    </a:prstGeom>
                    <a:noFill/>
                    <a:ln>
                      <a:noFill/>
                    </a:ln>
                  </pic:spPr>
                </pic:pic>
              </a:graphicData>
            </a:graphic>
          </wp:inline>
        </w:drawing>
      </w:r>
      <w:r>
        <w:drawing>
          <wp:inline distT="0" distB="0" distL="114300" distR="114300">
            <wp:extent cx="5019675" cy="6991350"/>
            <wp:effectExtent l="0" t="0" r="9525" b="0"/>
            <wp:docPr id="6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7"/>
                    <pic:cNvPicPr>
                      <a:picLocks noChangeAspect="1"/>
                    </pic:cNvPicPr>
                  </pic:nvPicPr>
                  <pic:blipFill>
                    <a:blip r:embed="rId67"/>
                    <a:stretch>
                      <a:fillRect/>
                    </a:stretch>
                  </pic:blipFill>
                  <pic:spPr>
                    <a:xfrm>
                      <a:off x="0" y="0"/>
                      <a:ext cx="5019675" cy="6991350"/>
                    </a:xfrm>
                    <a:prstGeom prst="rect">
                      <a:avLst/>
                    </a:prstGeom>
                    <a:noFill/>
                    <a:ln>
                      <a:noFill/>
                    </a:ln>
                  </pic:spPr>
                </pic:pic>
              </a:graphicData>
            </a:graphic>
          </wp:inline>
        </w:drawing>
      </w:r>
      <w:r>
        <w:drawing>
          <wp:inline distT="0" distB="0" distL="114300" distR="114300">
            <wp:extent cx="5048250" cy="6877050"/>
            <wp:effectExtent l="0" t="0" r="0" b="0"/>
            <wp:docPr id="6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8"/>
                    <pic:cNvPicPr>
                      <a:picLocks noChangeAspect="1"/>
                    </pic:cNvPicPr>
                  </pic:nvPicPr>
                  <pic:blipFill>
                    <a:blip r:embed="rId68"/>
                    <a:stretch>
                      <a:fillRect/>
                    </a:stretch>
                  </pic:blipFill>
                  <pic:spPr>
                    <a:xfrm>
                      <a:off x="0" y="0"/>
                      <a:ext cx="5048250" cy="6877050"/>
                    </a:xfrm>
                    <a:prstGeom prst="rect">
                      <a:avLst/>
                    </a:prstGeom>
                    <a:noFill/>
                    <a:ln>
                      <a:noFill/>
                    </a:ln>
                  </pic:spPr>
                </pic:pic>
              </a:graphicData>
            </a:graphic>
          </wp:inline>
        </w:drawing>
      </w:r>
      <w:r>
        <w:drawing>
          <wp:inline distT="0" distB="0" distL="114300" distR="114300">
            <wp:extent cx="5019675" cy="7096125"/>
            <wp:effectExtent l="0" t="0" r="9525" b="9525"/>
            <wp:docPr id="6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9"/>
                    <pic:cNvPicPr>
                      <a:picLocks noChangeAspect="1"/>
                    </pic:cNvPicPr>
                  </pic:nvPicPr>
                  <pic:blipFill>
                    <a:blip r:embed="rId69"/>
                    <a:stretch>
                      <a:fillRect/>
                    </a:stretch>
                  </pic:blipFill>
                  <pic:spPr>
                    <a:xfrm>
                      <a:off x="0" y="0"/>
                      <a:ext cx="5019675" cy="7096125"/>
                    </a:xfrm>
                    <a:prstGeom prst="rect">
                      <a:avLst/>
                    </a:prstGeom>
                    <a:noFill/>
                    <a:ln>
                      <a:noFill/>
                    </a:ln>
                  </pic:spPr>
                </pic:pic>
              </a:graphicData>
            </a:graphic>
          </wp:inline>
        </w:drawing>
      </w:r>
      <w:r>
        <w:drawing>
          <wp:inline distT="0" distB="0" distL="114300" distR="114300">
            <wp:extent cx="4962525" cy="6972300"/>
            <wp:effectExtent l="0" t="0" r="9525" b="0"/>
            <wp:docPr id="6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0"/>
                    <pic:cNvPicPr>
                      <a:picLocks noChangeAspect="1"/>
                    </pic:cNvPicPr>
                  </pic:nvPicPr>
                  <pic:blipFill>
                    <a:blip r:embed="rId70"/>
                    <a:stretch>
                      <a:fillRect/>
                    </a:stretch>
                  </pic:blipFill>
                  <pic:spPr>
                    <a:xfrm>
                      <a:off x="0" y="0"/>
                      <a:ext cx="4962525" cy="6972300"/>
                    </a:xfrm>
                    <a:prstGeom prst="rect">
                      <a:avLst/>
                    </a:prstGeom>
                    <a:noFill/>
                    <a:ln>
                      <a:noFill/>
                    </a:ln>
                  </pic:spPr>
                </pic:pic>
              </a:graphicData>
            </a:graphic>
          </wp:inline>
        </w:drawing>
      </w:r>
      <w:r>
        <w:drawing>
          <wp:inline distT="0" distB="0" distL="114300" distR="114300">
            <wp:extent cx="5010150" cy="6915150"/>
            <wp:effectExtent l="0" t="0" r="0" b="0"/>
            <wp:docPr id="6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1"/>
                    <pic:cNvPicPr>
                      <a:picLocks noChangeAspect="1"/>
                    </pic:cNvPicPr>
                  </pic:nvPicPr>
                  <pic:blipFill>
                    <a:blip r:embed="rId71"/>
                    <a:stretch>
                      <a:fillRect/>
                    </a:stretch>
                  </pic:blipFill>
                  <pic:spPr>
                    <a:xfrm>
                      <a:off x="0" y="0"/>
                      <a:ext cx="5010150" cy="6915150"/>
                    </a:xfrm>
                    <a:prstGeom prst="rect">
                      <a:avLst/>
                    </a:prstGeom>
                    <a:noFill/>
                    <a:ln>
                      <a:noFill/>
                    </a:ln>
                  </pic:spPr>
                </pic:pic>
              </a:graphicData>
            </a:graphic>
          </wp:inline>
        </w:drawing>
      </w:r>
      <w:r>
        <w:drawing>
          <wp:inline distT="0" distB="0" distL="114300" distR="114300">
            <wp:extent cx="5019675" cy="7077075"/>
            <wp:effectExtent l="0" t="0" r="9525" b="9525"/>
            <wp:docPr id="6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2"/>
                    <pic:cNvPicPr>
                      <a:picLocks noChangeAspect="1"/>
                    </pic:cNvPicPr>
                  </pic:nvPicPr>
                  <pic:blipFill>
                    <a:blip r:embed="rId72"/>
                    <a:stretch>
                      <a:fillRect/>
                    </a:stretch>
                  </pic:blipFill>
                  <pic:spPr>
                    <a:xfrm>
                      <a:off x="0" y="0"/>
                      <a:ext cx="5019675" cy="7077075"/>
                    </a:xfrm>
                    <a:prstGeom prst="rect">
                      <a:avLst/>
                    </a:prstGeom>
                    <a:noFill/>
                    <a:ln>
                      <a:noFill/>
                    </a:ln>
                  </pic:spPr>
                </pic:pic>
              </a:graphicData>
            </a:graphic>
          </wp:inline>
        </w:drawing>
      </w:r>
      <w:r>
        <w:drawing>
          <wp:inline distT="0" distB="0" distL="114300" distR="114300">
            <wp:extent cx="4991100" cy="6905625"/>
            <wp:effectExtent l="0" t="0" r="0" b="9525"/>
            <wp:docPr id="6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3"/>
                    <pic:cNvPicPr>
                      <a:picLocks noChangeAspect="1"/>
                    </pic:cNvPicPr>
                  </pic:nvPicPr>
                  <pic:blipFill>
                    <a:blip r:embed="rId73"/>
                    <a:stretch>
                      <a:fillRect/>
                    </a:stretch>
                  </pic:blipFill>
                  <pic:spPr>
                    <a:xfrm>
                      <a:off x="0" y="0"/>
                      <a:ext cx="4991100" cy="6905625"/>
                    </a:xfrm>
                    <a:prstGeom prst="rect">
                      <a:avLst/>
                    </a:prstGeom>
                    <a:noFill/>
                    <a:ln>
                      <a:noFill/>
                    </a:ln>
                  </pic:spPr>
                </pic:pic>
              </a:graphicData>
            </a:graphic>
          </wp:inline>
        </w:drawing>
      </w:r>
      <w:r>
        <w:drawing>
          <wp:inline distT="0" distB="0" distL="114300" distR="114300">
            <wp:extent cx="4943475" cy="7048500"/>
            <wp:effectExtent l="0" t="0" r="9525" b="0"/>
            <wp:docPr id="6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4"/>
                    <pic:cNvPicPr>
                      <a:picLocks noChangeAspect="1"/>
                    </pic:cNvPicPr>
                  </pic:nvPicPr>
                  <pic:blipFill>
                    <a:blip r:embed="rId74"/>
                    <a:stretch>
                      <a:fillRect/>
                    </a:stretch>
                  </pic:blipFill>
                  <pic:spPr>
                    <a:xfrm>
                      <a:off x="0" y="0"/>
                      <a:ext cx="4943475" cy="7048500"/>
                    </a:xfrm>
                    <a:prstGeom prst="rect">
                      <a:avLst/>
                    </a:prstGeom>
                    <a:noFill/>
                    <a:ln>
                      <a:noFill/>
                    </a:ln>
                  </pic:spPr>
                </pic:pic>
              </a:graphicData>
            </a:graphic>
          </wp:inline>
        </w:drawing>
      </w:r>
      <w:r>
        <w:drawing>
          <wp:inline distT="0" distB="0" distL="114300" distR="114300">
            <wp:extent cx="4981575" cy="6753225"/>
            <wp:effectExtent l="0" t="0" r="9525" b="9525"/>
            <wp:docPr id="7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5"/>
                    <pic:cNvPicPr>
                      <a:picLocks noChangeAspect="1"/>
                    </pic:cNvPicPr>
                  </pic:nvPicPr>
                  <pic:blipFill>
                    <a:blip r:embed="rId75"/>
                    <a:stretch>
                      <a:fillRect/>
                    </a:stretch>
                  </pic:blipFill>
                  <pic:spPr>
                    <a:xfrm>
                      <a:off x="0" y="0"/>
                      <a:ext cx="4981575" cy="6753225"/>
                    </a:xfrm>
                    <a:prstGeom prst="rect">
                      <a:avLst/>
                    </a:prstGeom>
                    <a:noFill/>
                    <a:ln>
                      <a:noFill/>
                    </a:ln>
                  </pic:spPr>
                </pic:pic>
              </a:graphicData>
            </a:graphic>
          </wp:inline>
        </w:drawing>
      </w:r>
      <w:r>
        <w:drawing>
          <wp:inline distT="0" distB="0" distL="114300" distR="114300">
            <wp:extent cx="4991100" cy="6848475"/>
            <wp:effectExtent l="0" t="0" r="0" b="9525"/>
            <wp:docPr id="7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6"/>
                    <pic:cNvPicPr>
                      <a:picLocks noChangeAspect="1"/>
                    </pic:cNvPicPr>
                  </pic:nvPicPr>
                  <pic:blipFill>
                    <a:blip r:embed="rId76"/>
                    <a:stretch>
                      <a:fillRect/>
                    </a:stretch>
                  </pic:blipFill>
                  <pic:spPr>
                    <a:xfrm>
                      <a:off x="0" y="0"/>
                      <a:ext cx="4991100" cy="6848475"/>
                    </a:xfrm>
                    <a:prstGeom prst="rect">
                      <a:avLst/>
                    </a:prstGeom>
                    <a:noFill/>
                    <a:ln>
                      <a:noFill/>
                    </a:ln>
                  </pic:spPr>
                </pic:pic>
              </a:graphicData>
            </a:graphic>
          </wp:inline>
        </w:drawing>
      </w:r>
      <w:r>
        <w:drawing>
          <wp:inline distT="0" distB="0" distL="114300" distR="114300">
            <wp:extent cx="5029200" cy="6915150"/>
            <wp:effectExtent l="0" t="0" r="0" b="0"/>
            <wp:docPr id="7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7"/>
                    <pic:cNvPicPr>
                      <a:picLocks noChangeAspect="1"/>
                    </pic:cNvPicPr>
                  </pic:nvPicPr>
                  <pic:blipFill>
                    <a:blip r:embed="rId77"/>
                    <a:stretch>
                      <a:fillRect/>
                    </a:stretch>
                  </pic:blipFill>
                  <pic:spPr>
                    <a:xfrm>
                      <a:off x="0" y="0"/>
                      <a:ext cx="5029200" cy="6915150"/>
                    </a:xfrm>
                    <a:prstGeom prst="rect">
                      <a:avLst/>
                    </a:prstGeom>
                    <a:noFill/>
                    <a:ln>
                      <a:noFill/>
                    </a:ln>
                  </pic:spPr>
                </pic:pic>
              </a:graphicData>
            </a:graphic>
          </wp:inline>
        </w:drawing>
      </w:r>
      <w:r>
        <w:drawing>
          <wp:inline distT="0" distB="0" distL="114300" distR="114300">
            <wp:extent cx="4895850" cy="6905625"/>
            <wp:effectExtent l="0" t="0" r="0" b="9525"/>
            <wp:docPr id="7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8"/>
                    <pic:cNvPicPr>
                      <a:picLocks noChangeAspect="1"/>
                    </pic:cNvPicPr>
                  </pic:nvPicPr>
                  <pic:blipFill>
                    <a:blip r:embed="rId78"/>
                    <a:stretch>
                      <a:fillRect/>
                    </a:stretch>
                  </pic:blipFill>
                  <pic:spPr>
                    <a:xfrm>
                      <a:off x="0" y="0"/>
                      <a:ext cx="4895850" cy="6905625"/>
                    </a:xfrm>
                    <a:prstGeom prst="rect">
                      <a:avLst/>
                    </a:prstGeom>
                    <a:noFill/>
                    <a:ln>
                      <a:noFill/>
                    </a:ln>
                  </pic:spPr>
                </pic:pic>
              </a:graphicData>
            </a:graphic>
          </wp:inline>
        </w:drawing>
      </w:r>
      <w:r>
        <w:drawing>
          <wp:inline distT="0" distB="0" distL="114300" distR="114300">
            <wp:extent cx="4991100" cy="7086600"/>
            <wp:effectExtent l="0" t="0" r="0" b="0"/>
            <wp:docPr id="7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9"/>
                    <pic:cNvPicPr>
                      <a:picLocks noChangeAspect="1"/>
                    </pic:cNvPicPr>
                  </pic:nvPicPr>
                  <pic:blipFill>
                    <a:blip r:embed="rId79"/>
                    <a:stretch>
                      <a:fillRect/>
                    </a:stretch>
                  </pic:blipFill>
                  <pic:spPr>
                    <a:xfrm>
                      <a:off x="0" y="0"/>
                      <a:ext cx="4991100" cy="7086600"/>
                    </a:xfrm>
                    <a:prstGeom prst="rect">
                      <a:avLst/>
                    </a:prstGeom>
                    <a:noFill/>
                    <a:ln>
                      <a:noFill/>
                    </a:ln>
                  </pic:spPr>
                </pic:pic>
              </a:graphicData>
            </a:graphic>
          </wp:inline>
        </w:drawing>
      </w:r>
      <w:r>
        <w:drawing>
          <wp:inline distT="0" distB="0" distL="114300" distR="114300">
            <wp:extent cx="4981575" cy="6762750"/>
            <wp:effectExtent l="0" t="0" r="9525" b="0"/>
            <wp:docPr id="7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0"/>
                    <pic:cNvPicPr>
                      <a:picLocks noChangeAspect="1"/>
                    </pic:cNvPicPr>
                  </pic:nvPicPr>
                  <pic:blipFill>
                    <a:blip r:embed="rId80"/>
                    <a:stretch>
                      <a:fillRect/>
                    </a:stretch>
                  </pic:blipFill>
                  <pic:spPr>
                    <a:xfrm>
                      <a:off x="0" y="0"/>
                      <a:ext cx="4981575" cy="6762750"/>
                    </a:xfrm>
                    <a:prstGeom prst="rect">
                      <a:avLst/>
                    </a:prstGeom>
                    <a:noFill/>
                    <a:ln>
                      <a:noFill/>
                    </a:ln>
                  </pic:spPr>
                </pic:pic>
              </a:graphicData>
            </a:graphic>
          </wp:inline>
        </w:drawing>
      </w:r>
      <w:r>
        <w:drawing>
          <wp:inline distT="0" distB="0" distL="114300" distR="114300">
            <wp:extent cx="4943475" cy="7058025"/>
            <wp:effectExtent l="0" t="0" r="9525" b="9525"/>
            <wp:docPr id="7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1"/>
                    <pic:cNvPicPr>
                      <a:picLocks noChangeAspect="1"/>
                    </pic:cNvPicPr>
                  </pic:nvPicPr>
                  <pic:blipFill>
                    <a:blip r:embed="rId81"/>
                    <a:stretch>
                      <a:fillRect/>
                    </a:stretch>
                  </pic:blipFill>
                  <pic:spPr>
                    <a:xfrm>
                      <a:off x="0" y="0"/>
                      <a:ext cx="4943475" cy="7058025"/>
                    </a:xfrm>
                    <a:prstGeom prst="rect">
                      <a:avLst/>
                    </a:prstGeom>
                    <a:noFill/>
                    <a:ln>
                      <a:noFill/>
                    </a:ln>
                  </pic:spPr>
                </pic:pic>
              </a:graphicData>
            </a:graphic>
          </wp:inline>
        </w:drawing>
      </w:r>
      <w:r>
        <w:drawing>
          <wp:inline distT="0" distB="0" distL="114300" distR="114300">
            <wp:extent cx="5057775" cy="6972300"/>
            <wp:effectExtent l="0" t="0" r="9525" b="0"/>
            <wp:docPr id="7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2"/>
                    <pic:cNvPicPr>
                      <a:picLocks noChangeAspect="1"/>
                    </pic:cNvPicPr>
                  </pic:nvPicPr>
                  <pic:blipFill>
                    <a:blip r:embed="rId82"/>
                    <a:stretch>
                      <a:fillRect/>
                    </a:stretch>
                  </pic:blipFill>
                  <pic:spPr>
                    <a:xfrm>
                      <a:off x="0" y="0"/>
                      <a:ext cx="5057775" cy="6972300"/>
                    </a:xfrm>
                    <a:prstGeom prst="rect">
                      <a:avLst/>
                    </a:prstGeom>
                    <a:noFill/>
                    <a:ln>
                      <a:noFill/>
                    </a:ln>
                  </pic:spPr>
                </pic:pic>
              </a:graphicData>
            </a:graphic>
          </wp:inline>
        </w:drawing>
      </w:r>
      <w:r>
        <w:drawing>
          <wp:inline distT="0" distB="0" distL="114300" distR="114300">
            <wp:extent cx="5029200" cy="6943725"/>
            <wp:effectExtent l="0" t="0" r="0" b="9525"/>
            <wp:docPr id="7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33"/>
                    <pic:cNvPicPr>
                      <a:picLocks noChangeAspect="1"/>
                    </pic:cNvPicPr>
                  </pic:nvPicPr>
                  <pic:blipFill>
                    <a:blip r:embed="rId83"/>
                    <a:stretch>
                      <a:fillRect/>
                    </a:stretch>
                  </pic:blipFill>
                  <pic:spPr>
                    <a:xfrm>
                      <a:off x="0" y="0"/>
                      <a:ext cx="5029200" cy="6943725"/>
                    </a:xfrm>
                    <a:prstGeom prst="rect">
                      <a:avLst/>
                    </a:prstGeom>
                    <a:noFill/>
                    <a:ln>
                      <a:noFill/>
                    </a:ln>
                  </pic:spPr>
                </pic:pic>
              </a:graphicData>
            </a:graphic>
          </wp:inline>
        </w:drawing>
      </w:r>
      <w:r>
        <w:drawing>
          <wp:inline distT="0" distB="0" distL="114300" distR="114300">
            <wp:extent cx="4953000" cy="6962775"/>
            <wp:effectExtent l="0" t="0" r="0" b="9525"/>
            <wp:docPr id="7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4"/>
                    <pic:cNvPicPr>
                      <a:picLocks noChangeAspect="1"/>
                    </pic:cNvPicPr>
                  </pic:nvPicPr>
                  <pic:blipFill>
                    <a:blip r:embed="rId84"/>
                    <a:stretch>
                      <a:fillRect/>
                    </a:stretch>
                  </pic:blipFill>
                  <pic:spPr>
                    <a:xfrm>
                      <a:off x="0" y="0"/>
                      <a:ext cx="4953000" cy="6962775"/>
                    </a:xfrm>
                    <a:prstGeom prst="rect">
                      <a:avLst/>
                    </a:prstGeom>
                    <a:noFill/>
                    <a:ln>
                      <a:noFill/>
                    </a:ln>
                  </pic:spPr>
                </pic:pic>
              </a:graphicData>
            </a:graphic>
          </wp:inline>
        </w:drawing>
      </w:r>
      <w:r>
        <w:drawing>
          <wp:inline distT="0" distB="0" distL="114300" distR="114300">
            <wp:extent cx="5029200" cy="6886575"/>
            <wp:effectExtent l="0" t="0" r="0" b="9525"/>
            <wp:docPr id="8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5"/>
                    <pic:cNvPicPr>
                      <a:picLocks noChangeAspect="1"/>
                    </pic:cNvPicPr>
                  </pic:nvPicPr>
                  <pic:blipFill>
                    <a:blip r:embed="rId85"/>
                    <a:stretch>
                      <a:fillRect/>
                    </a:stretch>
                  </pic:blipFill>
                  <pic:spPr>
                    <a:xfrm>
                      <a:off x="0" y="0"/>
                      <a:ext cx="5029200" cy="6886575"/>
                    </a:xfrm>
                    <a:prstGeom prst="rect">
                      <a:avLst/>
                    </a:prstGeom>
                    <a:noFill/>
                    <a:ln>
                      <a:noFill/>
                    </a:ln>
                  </pic:spPr>
                </pic:pic>
              </a:graphicData>
            </a:graphic>
          </wp:inline>
        </w:drawing>
      </w:r>
      <w:r>
        <w:drawing>
          <wp:inline distT="0" distB="0" distL="114300" distR="114300">
            <wp:extent cx="4962525" cy="7038975"/>
            <wp:effectExtent l="0" t="0" r="9525" b="9525"/>
            <wp:docPr id="8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6"/>
                    <pic:cNvPicPr>
                      <a:picLocks noChangeAspect="1"/>
                    </pic:cNvPicPr>
                  </pic:nvPicPr>
                  <pic:blipFill>
                    <a:blip r:embed="rId86"/>
                    <a:stretch>
                      <a:fillRect/>
                    </a:stretch>
                  </pic:blipFill>
                  <pic:spPr>
                    <a:xfrm>
                      <a:off x="0" y="0"/>
                      <a:ext cx="4962525" cy="7038975"/>
                    </a:xfrm>
                    <a:prstGeom prst="rect">
                      <a:avLst/>
                    </a:prstGeom>
                    <a:noFill/>
                    <a:ln>
                      <a:noFill/>
                    </a:ln>
                  </pic:spPr>
                </pic:pic>
              </a:graphicData>
            </a:graphic>
          </wp:inline>
        </w:drawing>
      </w:r>
      <w:r>
        <w:drawing>
          <wp:inline distT="0" distB="0" distL="114300" distR="114300">
            <wp:extent cx="4867275" cy="6743700"/>
            <wp:effectExtent l="0" t="0" r="9525" b="0"/>
            <wp:docPr id="8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7"/>
                    <pic:cNvPicPr>
                      <a:picLocks noChangeAspect="1"/>
                    </pic:cNvPicPr>
                  </pic:nvPicPr>
                  <pic:blipFill>
                    <a:blip r:embed="rId87"/>
                    <a:stretch>
                      <a:fillRect/>
                    </a:stretch>
                  </pic:blipFill>
                  <pic:spPr>
                    <a:xfrm>
                      <a:off x="0" y="0"/>
                      <a:ext cx="4867275" cy="6743700"/>
                    </a:xfrm>
                    <a:prstGeom prst="rect">
                      <a:avLst/>
                    </a:prstGeom>
                    <a:noFill/>
                    <a:ln>
                      <a:noFill/>
                    </a:ln>
                  </pic:spPr>
                </pic:pic>
              </a:graphicData>
            </a:graphic>
          </wp:inline>
        </w:drawing>
      </w:r>
      <w:r>
        <w:drawing>
          <wp:inline distT="0" distB="0" distL="114300" distR="114300">
            <wp:extent cx="4924425" cy="6886575"/>
            <wp:effectExtent l="0" t="0" r="9525" b="9525"/>
            <wp:docPr id="8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8"/>
                    <pic:cNvPicPr>
                      <a:picLocks noChangeAspect="1"/>
                    </pic:cNvPicPr>
                  </pic:nvPicPr>
                  <pic:blipFill>
                    <a:blip r:embed="rId88"/>
                    <a:stretch>
                      <a:fillRect/>
                    </a:stretch>
                  </pic:blipFill>
                  <pic:spPr>
                    <a:xfrm>
                      <a:off x="0" y="0"/>
                      <a:ext cx="4924425" cy="6886575"/>
                    </a:xfrm>
                    <a:prstGeom prst="rect">
                      <a:avLst/>
                    </a:prstGeom>
                    <a:noFill/>
                    <a:ln>
                      <a:noFill/>
                    </a:ln>
                  </pic:spPr>
                </pic:pic>
              </a:graphicData>
            </a:graphic>
          </wp:inline>
        </w:drawing>
      </w:r>
      <w:r>
        <w:drawing>
          <wp:inline distT="0" distB="0" distL="114300" distR="114300">
            <wp:extent cx="4981575" cy="7048500"/>
            <wp:effectExtent l="0" t="0" r="9525" b="0"/>
            <wp:docPr id="8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9"/>
                    <pic:cNvPicPr>
                      <a:picLocks noChangeAspect="1"/>
                    </pic:cNvPicPr>
                  </pic:nvPicPr>
                  <pic:blipFill>
                    <a:blip r:embed="rId89"/>
                    <a:stretch>
                      <a:fillRect/>
                    </a:stretch>
                  </pic:blipFill>
                  <pic:spPr>
                    <a:xfrm>
                      <a:off x="0" y="0"/>
                      <a:ext cx="4981575" cy="7048500"/>
                    </a:xfrm>
                    <a:prstGeom prst="rect">
                      <a:avLst/>
                    </a:prstGeom>
                    <a:noFill/>
                    <a:ln>
                      <a:noFill/>
                    </a:ln>
                  </pic:spPr>
                </pic:pic>
              </a:graphicData>
            </a:graphic>
          </wp:inline>
        </w:drawing>
      </w:r>
    </w:p>
    <w:p>
      <w:r>
        <w:br w:type="page"/>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0"/>
        <w:rPr>
          <w:rFonts w:hint="eastAsia"/>
          <w:lang w:val="en-US" w:eastAsia="zh-CN"/>
        </w:rPr>
      </w:pPr>
      <w:bookmarkStart w:id="101" w:name="_Toc1062"/>
      <w:r>
        <w:rPr>
          <w:rFonts w:hint="eastAsia"/>
          <w:lang w:val="en-US" w:eastAsia="zh-CN"/>
        </w:rPr>
        <w:t>附件四：验收意见</w:t>
      </w:r>
      <w:bookmarkEnd w:id="101"/>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lang w:val="en-US" w:eastAsia="zh-CN"/>
        </w:rPr>
      </w:pPr>
      <w:r>
        <w:drawing>
          <wp:inline distT="0" distB="0" distL="114300" distR="114300">
            <wp:extent cx="4924425" cy="7112000"/>
            <wp:effectExtent l="0" t="0" r="9525" b="12700"/>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90"/>
                    <a:stretch>
                      <a:fillRect/>
                    </a:stretch>
                  </pic:blipFill>
                  <pic:spPr>
                    <a:xfrm>
                      <a:off x="0" y="0"/>
                      <a:ext cx="4924425" cy="7112000"/>
                    </a:xfrm>
                    <a:prstGeom prst="rect">
                      <a:avLst/>
                    </a:prstGeom>
                    <a:noFill/>
                    <a:ln>
                      <a:noFill/>
                    </a:ln>
                  </pic:spPr>
                </pic:pic>
              </a:graphicData>
            </a:graphic>
          </wp:inline>
        </w:drawing>
      </w:r>
      <w:r>
        <w:drawing>
          <wp:inline distT="0" distB="0" distL="114300" distR="114300">
            <wp:extent cx="5271770" cy="7203440"/>
            <wp:effectExtent l="0" t="0" r="5080" b="16510"/>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91"/>
                    <a:stretch>
                      <a:fillRect/>
                    </a:stretch>
                  </pic:blipFill>
                  <pic:spPr>
                    <a:xfrm>
                      <a:off x="0" y="0"/>
                      <a:ext cx="5271770" cy="7203440"/>
                    </a:xfrm>
                    <a:prstGeom prst="rect">
                      <a:avLst/>
                    </a:prstGeom>
                    <a:noFill/>
                    <a:ln>
                      <a:noFill/>
                    </a:ln>
                  </pic:spPr>
                </pic:pic>
              </a:graphicData>
            </a:graphic>
          </wp:inline>
        </w:drawing>
      </w:r>
      <w:r>
        <w:drawing>
          <wp:inline distT="0" distB="0" distL="114300" distR="114300">
            <wp:extent cx="4581525" cy="6600825"/>
            <wp:effectExtent l="0" t="0" r="9525" b="9525"/>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92"/>
                    <a:stretch>
                      <a:fillRect/>
                    </a:stretch>
                  </pic:blipFill>
                  <pic:spPr>
                    <a:xfrm>
                      <a:off x="0" y="0"/>
                      <a:ext cx="4581525" cy="6600825"/>
                    </a:xfrm>
                    <a:prstGeom prst="rect">
                      <a:avLst/>
                    </a:prstGeom>
                    <a:noFill/>
                    <a:ln>
                      <a:noFill/>
                    </a:ln>
                  </pic:spPr>
                </pic:pic>
              </a:graphicData>
            </a:graphic>
          </wp:inline>
        </w:drawing>
      </w:r>
      <w:r>
        <w:drawing>
          <wp:inline distT="0" distB="0" distL="114300" distR="114300">
            <wp:extent cx="5274310" cy="5662295"/>
            <wp:effectExtent l="0" t="0" r="2540" b="14605"/>
            <wp:docPr id="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pic:cNvPicPr>
                      <a:picLocks noChangeAspect="1"/>
                    </pic:cNvPicPr>
                  </pic:nvPicPr>
                  <pic:blipFill>
                    <a:blip r:embed="rId93"/>
                    <a:stretch>
                      <a:fillRect/>
                    </a:stretch>
                  </pic:blipFill>
                  <pic:spPr>
                    <a:xfrm>
                      <a:off x="0" y="0"/>
                      <a:ext cx="5274310" cy="5662295"/>
                    </a:xfrm>
                    <a:prstGeom prst="rect">
                      <a:avLst/>
                    </a:prstGeom>
                    <a:noFill/>
                    <a:ln>
                      <a:noFill/>
                    </a:ln>
                  </pic:spPr>
                </pic:pic>
              </a:graphicData>
            </a:graphic>
          </wp:inline>
        </w:drawing>
      </w:r>
    </w:p>
    <w:sectPr>
      <w:pgSz w:w="11906" w:h="16838"/>
      <w:pgMar w:top="1440" w:right="1800" w:bottom="1440" w:left="1800" w:header="850"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86"/>
    <w:family w:val="swiss"/>
    <w:pitch w:val="default"/>
    <w:sig w:usb0="E00002FF" w:usb1="4000ACFF" w:usb2="00000001" w:usb3="00000000" w:csb0="2000019F" w:csb1="00000000"/>
  </w:font>
  <w:font w:name="Calibri">
    <w:panose1 w:val="020F0502020204030204"/>
    <w:charset w:val="86"/>
    <w:family w:val="swiss"/>
    <w:pitch w:val="default"/>
    <w:sig w:usb0="E00002FF" w:usb1="4000ACFF" w:usb2="00000001" w:usb3="00000000" w:csb0="2000019F" w:csb1="00000000"/>
  </w:font>
  <w:font w:name="Calibri">
    <w:panose1 w:val="020F0502020204030204"/>
    <w:charset w:val="86"/>
    <w:family w:val="auto"/>
    <w:pitch w:val="default"/>
    <w:sig w:usb0="E00002FF" w:usb1="4000ACFF" w:usb2="00000001" w:usb3="00000000" w:csb0="2000019F" w:csb1="00000000"/>
  </w:font>
  <w:font w:name="MingLiU">
    <w:panose1 w:val="02020509000000000000"/>
    <w:charset w:val="88"/>
    <w:family w:val="auto"/>
    <w:pitch w:val="default"/>
    <w:sig w:usb0="A00002FF" w:usb1="28CFFCFA" w:usb2="00000016" w:usb3="00000000" w:csb0="00100001"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 w:name="Calibri">
    <w:panose1 w:val="020F0502020204030204"/>
    <w:charset w:val="00"/>
    <w:family w:val="auto"/>
    <w:pitch w:val="default"/>
    <w:sig w:usb0="E00002FF" w:usb1="4000ACFF" w:usb2="00000001"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r>
      <w:rPr>
        <w:sz w:val="18"/>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rPr>
                              <w:rFonts w:hint="eastAsia" w:eastAsiaTheme="minorEastAsia"/>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4</w:t>
                          </w:r>
                          <w:r>
                            <w:rPr>
                              <w:rFonts w:hint="eastAsia"/>
                              <w:lang w:eastAsia="zh-CN"/>
                            </w:rPr>
                            <w:fldChar w:fldCharType="end"/>
                          </w:r>
                          <w:r>
                            <w:rPr>
                              <w:rFonts w:hint="eastAsia"/>
                              <w:lang w:eastAsia="zh-CN"/>
                            </w:rPr>
                            <w:t xml:space="preserve"> 页 共 </w:t>
                          </w:r>
                          <w:r>
                            <w:rPr>
                              <w:rFonts w:hint="eastAsia"/>
                              <w:lang w:val="en-US" w:eastAsia="zh-CN"/>
                            </w:rPr>
                            <w:t>136</w:t>
                          </w:r>
                          <w:r>
                            <w:rPr>
                              <w:rFonts w:hint="eastAsia"/>
                              <w:lang w:eastAsia="zh-CN"/>
                            </w:rP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rbzf8SAgAAEwQAAA4AAABkcnMvZTJvRG9jLnhtbK1Ty47TMBTdI/EP&#10;lvc0aRGjqmo6KjMqQqqYkQpi7TpOE8kv2W6T8gHwB6zYsOe7+h0cO0kHASvExr6+73vu8fK2U5Kc&#10;hPON0QWdTnJKhOambPShoB/eb17MKfGB6ZJJo0VBz8LT29XzZ8vWLsTM1EaWwhEk0X7R2oLWIdhF&#10;lnleC8X8xFihYayMUyzg6Q5Z6ViL7Epmszy/yVrjSusMF95De98b6SrlryrBw0NVeRGILCh6C+l0&#10;6dzHM1st2eLgmK0bPrTB/qELxRqNotdU9ywwcnTNH6lUw53xpgoTblRmqqrhIs2Aaab5b9PsamZF&#10;mgXgeHuFyf+/tPzd6dGRpsTuKNFMYUWXr18u335cvn8m0whPa/0CXjsLv9C9Nl10HfQeyjh1VzkV&#10;b8xDYAfQ5yu4oguEx6D5bD7PYeKwjQ/kyZ7CrfPhjTCKRKGgDttLoLLT1ofedXSJ1bTZNFJCzxZS&#10;k7agNy9f5SngakFyqVEjDtE3G6XQ7bthgr0pzxjMmZ4Z3vJNg+Jb5sMjc6ACGga9wwOOShoUMYNE&#10;SW3cp7/poz82BCslLahVUA3uUyLfamwusnAU3CjsR0Ef1Z0BV7EN9JJEBLggR7FyRn0E59exBkxM&#10;c1QqaBjFu9DTG3+Gi/U6OR2taw51HwDeWRa2emd5LBPR83Z9DAAzYRwB6lEZcAPz0paGXxKp/es7&#10;eT395dV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s0lY7tAAAAAFAQAADwAAAAAAAAABACAAAAAi&#10;AAAAZHJzL2Rvd25yZXYueG1sUEsBAhQAFAAAAAgAh07iQErbzf8SAgAAEwQAAA4AAAAAAAAAAQAg&#10;AAAAHwEAAGRycy9lMm9Eb2MueG1sUEsFBgAAAAAGAAYAWQEAAKMFAAAAAA==&#10;">
              <v:fill on="f" focussize="0,0"/>
              <v:stroke on="f" weight="0.5pt"/>
              <v:imagedata o:title=""/>
              <o:lock v:ext="edit" aspectratio="f"/>
              <v:textbox inset="0mm,0mm,0mm,0mm" style="mso-fit-shape-to-text:t;">
                <w:txbxContent>
                  <w:p>
                    <w:pPr>
                      <w:pStyle w:val="5"/>
                      <w:rPr>
                        <w:rFonts w:hint="eastAsia" w:eastAsiaTheme="minorEastAsia"/>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4</w:t>
                    </w:r>
                    <w:r>
                      <w:rPr>
                        <w:rFonts w:hint="eastAsia"/>
                        <w:lang w:eastAsia="zh-CN"/>
                      </w:rPr>
                      <w:fldChar w:fldCharType="end"/>
                    </w:r>
                    <w:r>
                      <w:rPr>
                        <w:rFonts w:hint="eastAsia"/>
                        <w:lang w:eastAsia="zh-CN"/>
                      </w:rPr>
                      <w:t xml:space="preserve"> 页 共 </w:t>
                    </w:r>
                    <w:r>
                      <w:rPr>
                        <w:rFonts w:hint="eastAsia"/>
                        <w:lang w:val="en-US" w:eastAsia="zh-CN"/>
                      </w:rPr>
                      <w:t>136</w:t>
                    </w:r>
                    <w:r>
                      <w:rPr>
                        <w:rFonts w:hint="eastAsia"/>
                        <w:lang w:eastAsia="zh-CN"/>
                      </w:rPr>
                      <w:t xml:space="preserve"> 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Bdr>
        <w:bottom w:val="single" w:color="auto" w:sz="4" w:space="1"/>
      </w:pBdr>
      <w:jc w:val="center"/>
    </w:pPr>
    <w:r>
      <w:rPr>
        <w:rFonts w:hint="eastAsia" w:ascii="Times New Roman" w:hAnsi="Times New Roman" w:eastAsia="宋体" w:cs="Times New Roman"/>
        <w:sz w:val="18"/>
        <w:szCs w:val="18"/>
        <w:lang w:val="en-US" w:eastAsia="zh-CN"/>
      </w:rPr>
      <w:t>贵阳高新技术产业经济带沙文生态科技产业园金苏大道道路工程竣工环境保护验收调查报告</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8B31472"/>
    <w:multiLevelType w:val="singleLevel"/>
    <w:tmpl w:val="88B31472"/>
    <w:lvl w:ilvl="0" w:tentative="0">
      <w:start w:val="1"/>
      <w:numFmt w:val="decimal"/>
      <w:suff w:val="nothing"/>
      <w:lvlText w:val="（%1）"/>
      <w:lvlJc w:val="left"/>
    </w:lvl>
  </w:abstractNum>
  <w:abstractNum w:abstractNumId="1">
    <w:nsid w:val="8D4A2BC7"/>
    <w:multiLevelType w:val="singleLevel"/>
    <w:tmpl w:val="8D4A2BC7"/>
    <w:lvl w:ilvl="0" w:tentative="0">
      <w:start w:val="1"/>
      <w:numFmt w:val="decimal"/>
      <w:suff w:val="nothing"/>
      <w:lvlText w:val="%1、"/>
      <w:lvlJc w:val="left"/>
    </w:lvl>
  </w:abstractNum>
  <w:abstractNum w:abstractNumId="2">
    <w:nsid w:val="977FCFCB"/>
    <w:multiLevelType w:val="singleLevel"/>
    <w:tmpl w:val="977FCFCB"/>
    <w:lvl w:ilvl="0" w:tentative="0">
      <w:start w:val="1"/>
      <w:numFmt w:val="decimal"/>
      <w:suff w:val="nothing"/>
      <w:lvlText w:val="（%1）"/>
      <w:lvlJc w:val="left"/>
    </w:lvl>
  </w:abstractNum>
  <w:abstractNum w:abstractNumId="3">
    <w:nsid w:val="98AE81B4"/>
    <w:multiLevelType w:val="singleLevel"/>
    <w:tmpl w:val="98AE81B4"/>
    <w:lvl w:ilvl="0" w:tentative="0">
      <w:start w:val="1"/>
      <w:numFmt w:val="decimal"/>
      <w:suff w:val="nothing"/>
      <w:lvlText w:val="%1、"/>
      <w:lvlJc w:val="left"/>
    </w:lvl>
  </w:abstractNum>
  <w:abstractNum w:abstractNumId="4">
    <w:nsid w:val="A6C971F2"/>
    <w:multiLevelType w:val="singleLevel"/>
    <w:tmpl w:val="A6C971F2"/>
    <w:lvl w:ilvl="0" w:tentative="0">
      <w:start w:val="1"/>
      <w:numFmt w:val="decimal"/>
      <w:suff w:val="nothing"/>
      <w:lvlText w:val="（%1）"/>
      <w:lvlJc w:val="left"/>
    </w:lvl>
  </w:abstractNum>
  <w:abstractNum w:abstractNumId="5">
    <w:nsid w:val="AC5AE45F"/>
    <w:multiLevelType w:val="singleLevel"/>
    <w:tmpl w:val="AC5AE45F"/>
    <w:lvl w:ilvl="0" w:tentative="0">
      <w:start w:val="1"/>
      <w:numFmt w:val="decimal"/>
      <w:suff w:val="nothing"/>
      <w:lvlText w:val="%1、"/>
      <w:lvlJc w:val="left"/>
    </w:lvl>
  </w:abstractNum>
  <w:abstractNum w:abstractNumId="6">
    <w:nsid w:val="B6D4ABFD"/>
    <w:multiLevelType w:val="singleLevel"/>
    <w:tmpl w:val="B6D4ABFD"/>
    <w:lvl w:ilvl="0" w:tentative="0">
      <w:start w:val="1"/>
      <w:numFmt w:val="decimal"/>
      <w:suff w:val="nothing"/>
      <w:lvlText w:val="（%1）"/>
      <w:lvlJc w:val="left"/>
    </w:lvl>
  </w:abstractNum>
  <w:abstractNum w:abstractNumId="7">
    <w:nsid w:val="BC2ED5BA"/>
    <w:multiLevelType w:val="singleLevel"/>
    <w:tmpl w:val="BC2ED5BA"/>
    <w:lvl w:ilvl="0" w:tentative="0">
      <w:start w:val="1"/>
      <w:numFmt w:val="decimal"/>
      <w:suff w:val="nothing"/>
      <w:lvlText w:val="（%1）"/>
      <w:lvlJc w:val="left"/>
    </w:lvl>
  </w:abstractNum>
  <w:abstractNum w:abstractNumId="8">
    <w:nsid w:val="C657720C"/>
    <w:multiLevelType w:val="singleLevel"/>
    <w:tmpl w:val="C657720C"/>
    <w:lvl w:ilvl="0" w:tentative="0">
      <w:start w:val="1"/>
      <w:numFmt w:val="decimal"/>
      <w:suff w:val="nothing"/>
      <w:lvlText w:val="（%1）"/>
      <w:lvlJc w:val="left"/>
    </w:lvl>
  </w:abstractNum>
  <w:abstractNum w:abstractNumId="9">
    <w:nsid w:val="CEAEDB9D"/>
    <w:multiLevelType w:val="singleLevel"/>
    <w:tmpl w:val="CEAEDB9D"/>
    <w:lvl w:ilvl="0" w:tentative="0">
      <w:start w:val="1"/>
      <w:numFmt w:val="decimal"/>
      <w:suff w:val="nothing"/>
      <w:lvlText w:val="（%1）"/>
      <w:lvlJc w:val="left"/>
    </w:lvl>
  </w:abstractNum>
  <w:abstractNum w:abstractNumId="10">
    <w:nsid w:val="D4F32723"/>
    <w:multiLevelType w:val="singleLevel"/>
    <w:tmpl w:val="D4F32723"/>
    <w:lvl w:ilvl="0" w:tentative="0">
      <w:start w:val="1"/>
      <w:numFmt w:val="decimal"/>
      <w:suff w:val="nothing"/>
      <w:lvlText w:val="（%1）"/>
      <w:lvlJc w:val="left"/>
    </w:lvl>
  </w:abstractNum>
  <w:abstractNum w:abstractNumId="11">
    <w:nsid w:val="D85C04E6"/>
    <w:multiLevelType w:val="singleLevel"/>
    <w:tmpl w:val="D85C04E6"/>
    <w:lvl w:ilvl="0" w:tentative="0">
      <w:start w:val="1"/>
      <w:numFmt w:val="decimal"/>
      <w:suff w:val="nothing"/>
      <w:lvlText w:val="（%1）"/>
      <w:lvlJc w:val="left"/>
    </w:lvl>
  </w:abstractNum>
  <w:abstractNum w:abstractNumId="12">
    <w:nsid w:val="D954F3EC"/>
    <w:multiLevelType w:val="singleLevel"/>
    <w:tmpl w:val="D954F3EC"/>
    <w:lvl w:ilvl="0" w:tentative="0">
      <w:start w:val="1"/>
      <w:numFmt w:val="decimal"/>
      <w:suff w:val="nothing"/>
      <w:lvlText w:val="（%1）"/>
      <w:lvlJc w:val="left"/>
    </w:lvl>
  </w:abstractNum>
  <w:abstractNum w:abstractNumId="13">
    <w:nsid w:val="DCEE3E4B"/>
    <w:multiLevelType w:val="singleLevel"/>
    <w:tmpl w:val="DCEE3E4B"/>
    <w:lvl w:ilvl="0" w:tentative="0">
      <w:start w:val="1"/>
      <w:numFmt w:val="decimal"/>
      <w:suff w:val="nothing"/>
      <w:lvlText w:val="（%1）"/>
      <w:lvlJc w:val="left"/>
    </w:lvl>
  </w:abstractNum>
  <w:abstractNum w:abstractNumId="14">
    <w:nsid w:val="E678323E"/>
    <w:multiLevelType w:val="singleLevel"/>
    <w:tmpl w:val="E678323E"/>
    <w:lvl w:ilvl="0" w:tentative="0">
      <w:start w:val="1"/>
      <w:numFmt w:val="decimal"/>
      <w:suff w:val="nothing"/>
      <w:lvlText w:val="（%1）"/>
      <w:lvlJc w:val="left"/>
    </w:lvl>
  </w:abstractNum>
  <w:abstractNum w:abstractNumId="15">
    <w:nsid w:val="E7839E30"/>
    <w:multiLevelType w:val="singleLevel"/>
    <w:tmpl w:val="E7839E30"/>
    <w:lvl w:ilvl="0" w:tentative="0">
      <w:start w:val="1"/>
      <w:numFmt w:val="decimal"/>
      <w:suff w:val="nothing"/>
      <w:lvlText w:val="（%1）"/>
      <w:lvlJc w:val="left"/>
    </w:lvl>
  </w:abstractNum>
  <w:abstractNum w:abstractNumId="16">
    <w:nsid w:val="EEDA5947"/>
    <w:multiLevelType w:val="singleLevel"/>
    <w:tmpl w:val="EEDA5947"/>
    <w:lvl w:ilvl="0" w:tentative="0">
      <w:start w:val="1"/>
      <w:numFmt w:val="decimal"/>
      <w:suff w:val="nothing"/>
      <w:lvlText w:val="（%1）"/>
      <w:lvlJc w:val="left"/>
    </w:lvl>
  </w:abstractNum>
  <w:abstractNum w:abstractNumId="17">
    <w:nsid w:val="F2C94420"/>
    <w:multiLevelType w:val="singleLevel"/>
    <w:tmpl w:val="F2C94420"/>
    <w:lvl w:ilvl="0" w:tentative="0">
      <w:start w:val="1"/>
      <w:numFmt w:val="decimal"/>
      <w:suff w:val="nothing"/>
      <w:lvlText w:val="（%1）"/>
      <w:lvlJc w:val="left"/>
    </w:lvl>
  </w:abstractNum>
  <w:abstractNum w:abstractNumId="18">
    <w:nsid w:val="01696CC6"/>
    <w:multiLevelType w:val="singleLevel"/>
    <w:tmpl w:val="01696CC6"/>
    <w:lvl w:ilvl="0" w:tentative="0">
      <w:start w:val="1"/>
      <w:numFmt w:val="decimal"/>
      <w:suff w:val="nothing"/>
      <w:lvlText w:val="（%1）"/>
      <w:lvlJc w:val="left"/>
    </w:lvl>
  </w:abstractNum>
  <w:abstractNum w:abstractNumId="19">
    <w:nsid w:val="02461E7D"/>
    <w:multiLevelType w:val="singleLevel"/>
    <w:tmpl w:val="02461E7D"/>
    <w:lvl w:ilvl="0" w:tentative="0">
      <w:start w:val="1"/>
      <w:numFmt w:val="decimal"/>
      <w:suff w:val="nothing"/>
      <w:lvlText w:val="（%1）"/>
      <w:lvlJc w:val="left"/>
    </w:lvl>
  </w:abstractNum>
  <w:abstractNum w:abstractNumId="20">
    <w:nsid w:val="038AA07A"/>
    <w:multiLevelType w:val="singleLevel"/>
    <w:tmpl w:val="038AA07A"/>
    <w:lvl w:ilvl="0" w:tentative="0">
      <w:start w:val="1"/>
      <w:numFmt w:val="decimal"/>
      <w:suff w:val="nothing"/>
      <w:lvlText w:val="（%1）"/>
      <w:lvlJc w:val="left"/>
    </w:lvl>
  </w:abstractNum>
  <w:abstractNum w:abstractNumId="21">
    <w:nsid w:val="072E998B"/>
    <w:multiLevelType w:val="singleLevel"/>
    <w:tmpl w:val="072E998B"/>
    <w:lvl w:ilvl="0" w:tentative="0">
      <w:start w:val="1"/>
      <w:numFmt w:val="decimal"/>
      <w:suff w:val="nothing"/>
      <w:lvlText w:val="（%1）"/>
      <w:lvlJc w:val="left"/>
    </w:lvl>
  </w:abstractNum>
  <w:abstractNum w:abstractNumId="22">
    <w:nsid w:val="0FF0F667"/>
    <w:multiLevelType w:val="singleLevel"/>
    <w:tmpl w:val="0FF0F667"/>
    <w:lvl w:ilvl="0" w:tentative="0">
      <w:start w:val="1"/>
      <w:numFmt w:val="decimal"/>
      <w:suff w:val="nothing"/>
      <w:lvlText w:val="（%1）"/>
      <w:lvlJc w:val="left"/>
    </w:lvl>
  </w:abstractNum>
  <w:abstractNum w:abstractNumId="23">
    <w:nsid w:val="1C734FDC"/>
    <w:multiLevelType w:val="singleLevel"/>
    <w:tmpl w:val="1C734FDC"/>
    <w:lvl w:ilvl="0" w:tentative="0">
      <w:start w:val="1"/>
      <w:numFmt w:val="decimal"/>
      <w:suff w:val="nothing"/>
      <w:lvlText w:val="（%1）"/>
      <w:lvlJc w:val="left"/>
    </w:lvl>
  </w:abstractNum>
  <w:abstractNum w:abstractNumId="24">
    <w:nsid w:val="24EE6E46"/>
    <w:multiLevelType w:val="singleLevel"/>
    <w:tmpl w:val="24EE6E46"/>
    <w:lvl w:ilvl="0" w:tentative="0">
      <w:start w:val="1"/>
      <w:numFmt w:val="decimal"/>
      <w:suff w:val="nothing"/>
      <w:lvlText w:val="%1、"/>
      <w:lvlJc w:val="left"/>
    </w:lvl>
  </w:abstractNum>
  <w:abstractNum w:abstractNumId="25">
    <w:nsid w:val="320CA59B"/>
    <w:multiLevelType w:val="singleLevel"/>
    <w:tmpl w:val="320CA59B"/>
    <w:lvl w:ilvl="0" w:tentative="0">
      <w:start w:val="1"/>
      <w:numFmt w:val="decimal"/>
      <w:suff w:val="nothing"/>
      <w:lvlText w:val="（%1）"/>
      <w:lvlJc w:val="left"/>
    </w:lvl>
  </w:abstractNum>
  <w:abstractNum w:abstractNumId="26">
    <w:nsid w:val="32DAE29D"/>
    <w:multiLevelType w:val="singleLevel"/>
    <w:tmpl w:val="32DAE29D"/>
    <w:lvl w:ilvl="0" w:tentative="0">
      <w:start w:val="1"/>
      <w:numFmt w:val="decimal"/>
      <w:suff w:val="nothing"/>
      <w:lvlText w:val="（%1）"/>
      <w:lvlJc w:val="left"/>
    </w:lvl>
  </w:abstractNum>
  <w:abstractNum w:abstractNumId="27">
    <w:nsid w:val="3F6D92FD"/>
    <w:multiLevelType w:val="singleLevel"/>
    <w:tmpl w:val="3F6D92FD"/>
    <w:lvl w:ilvl="0" w:tentative="0">
      <w:start w:val="1"/>
      <w:numFmt w:val="decimal"/>
      <w:suff w:val="nothing"/>
      <w:lvlText w:val="（%1）"/>
      <w:lvlJc w:val="left"/>
    </w:lvl>
  </w:abstractNum>
  <w:abstractNum w:abstractNumId="28">
    <w:nsid w:val="4168A59C"/>
    <w:multiLevelType w:val="singleLevel"/>
    <w:tmpl w:val="4168A59C"/>
    <w:lvl w:ilvl="0" w:tentative="0">
      <w:start w:val="1"/>
      <w:numFmt w:val="decimal"/>
      <w:suff w:val="nothing"/>
      <w:lvlText w:val="（%1）"/>
      <w:lvlJc w:val="left"/>
    </w:lvl>
  </w:abstractNum>
  <w:abstractNum w:abstractNumId="29">
    <w:nsid w:val="516F452E"/>
    <w:multiLevelType w:val="multilevel"/>
    <w:tmpl w:val="516F452E"/>
    <w:lvl w:ilvl="0" w:tentative="0">
      <w:start w:val="1"/>
      <w:numFmt w:val="decimal"/>
      <w:lvlText w:val="%1"/>
      <w:lvlJc w:val="left"/>
      <w:pPr>
        <w:tabs>
          <w:tab w:val="left" w:pos="420"/>
        </w:tabs>
        <w:ind w:left="420" w:hanging="42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0">
    <w:nsid w:val="5AB8C8EF"/>
    <w:multiLevelType w:val="singleLevel"/>
    <w:tmpl w:val="5AB8C8EF"/>
    <w:lvl w:ilvl="0" w:tentative="0">
      <w:start w:val="1"/>
      <w:numFmt w:val="decimal"/>
      <w:suff w:val="nothing"/>
      <w:lvlText w:val="（%1）"/>
      <w:lvlJc w:val="left"/>
    </w:lvl>
  </w:abstractNum>
  <w:abstractNum w:abstractNumId="31">
    <w:nsid w:val="5F348103"/>
    <w:multiLevelType w:val="singleLevel"/>
    <w:tmpl w:val="5F348103"/>
    <w:lvl w:ilvl="0" w:tentative="0">
      <w:start w:val="1"/>
      <w:numFmt w:val="decimal"/>
      <w:suff w:val="nothing"/>
      <w:lvlText w:val="（%1）"/>
      <w:lvlJc w:val="left"/>
    </w:lvl>
  </w:abstractNum>
  <w:num w:numId="1">
    <w:abstractNumId w:val="7"/>
  </w:num>
  <w:num w:numId="2">
    <w:abstractNumId w:val="28"/>
  </w:num>
  <w:num w:numId="3">
    <w:abstractNumId w:val="13"/>
  </w:num>
  <w:num w:numId="4">
    <w:abstractNumId w:val="11"/>
  </w:num>
  <w:num w:numId="5">
    <w:abstractNumId w:val="27"/>
  </w:num>
  <w:num w:numId="6">
    <w:abstractNumId w:val="22"/>
  </w:num>
  <w:num w:numId="7">
    <w:abstractNumId w:val="29"/>
  </w:num>
  <w:num w:numId="8">
    <w:abstractNumId w:val="12"/>
  </w:num>
  <w:num w:numId="9">
    <w:abstractNumId w:val="18"/>
  </w:num>
  <w:num w:numId="10">
    <w:abstractNumId w:val="17"/>
  </w:num>
  <w:num w:numId="11">
    <w:abstractNumId w:val="26"/>
  </w:num>
  <w:num w:numId="12">
    <w:abstractNumId w:val="8"/>
  </w:num>
  <w:num w:numId="13">
    <w:abstractNumId w:val="30"/>
  </w:num>
  <w:num w:numId="14">
    <w:abstractNumId w:val="14"/>
  </w:num>
  <w:num w:numId="15">
    <w:abstractNumId w:val="6"/>
  </w:num>
  <w:num w:numId="16">
    <w:abstractNumId w:val="4"/>
  </w:num>
  <w:num w:numId="17">
    <w:abstractNumId w:val="1"/>
  </w:num>
  <w:num w:numId="18">
    <w:abstractNumId w:val="25"/>
  </w:num>
  <w:num w:numId="19">
    <w:abstractNumId w:val="9"/>
  </w:num>
  <w:num w:numId="20">
    <w:abstractNumId w:val="10"/>
  </w:num>
  <w:num w:numId="21">
    <w:abstractNumId w:val="24"/>
  </w:num>
  <w:num w:numId="22">
    <w:abstractNumId w:val="3"/>
  </w:num>
  <w:num w:numId="23">
    <w:abstractNumId w:val="21"/>
  </w:num>
  <w:num w:numId="24">
    <w:abstractNumId w:val="5"/>
  </w:num>
  <w:num w:numId="25">
    <w:abstractNumId w:val="2"/>
  </w:num>
  <w:num w:numId="26">
    <w:abstractNumId w:val="31"/>
  </w:num>
  <w:num w:numId="27">
    <w:abstractNumId w:val="15"/>
  </w:num>
  <w:num w:numId="28">
    <w:abstractNumId w:val="16"/>
  </w:num>
  <w:num w:numId="29">
    <w:abstractNumId w:val="23"/>
  </w:num>
  <w:num w:numId="30">
    <w:abstractNumId w:val="19"/>
  </w:num>
  <w:num w:numId="31">
    <w:abstractNumId w:val="20"/>
  </w:num>
  <w:num w:numId="3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7634D3C"/>
    <w:rsid w:val="076A645C"/>
    <w:rsid w:val="08AD32B0"/>
    <w:rsid w:val="0AD32967"/>
    <w:rsid w:val="0B4367D9"/>
    <w:rsid w:val="0DB012BD"/>
    <w:rsid w:val="0E657CCB"/>
    <w:rsid w:val="124B0BC6"/>
    <w:rsid w:val="17C10ED7"/>
    <w:rsid w:val="254A619A"/>
    <w:rsid w:val="2F890CCE"/>
    <w:rsid w:val="32EC6656"/>
    <w:rsid w:val="36E027A1"/>
    <w:rsid w:val="37634D3C"/>
    <w:rsid w:val="39022A5D"/>
    <w:rsid w:val="44A12A90"/>
    <w:rsid w:val="47883AB7"/>
    <w:rsid w:val="47BF0951"/>
    <w:rsid w:val="484F3B09"/>
    <w:rsid w:val="4EB11F17"/>
    <w:rsid w:val="5014056C"/>
    <w:rsid w:val="56BA4F36"/>
    <w:rsid w:val="5B3648B4"/>
    <w:rsid w:val="5CC26C73"/>
    <w:rsid w:val="5E242803"/>
    <w:rsid w:val="6275397A"/>
    <w:rsid w:val="682D30C7"/>
    <w:rsid w:val="6B27752E"/>
    <w:rsid w:val="719A4603"/>
    <w:rsid w:val="75D0142E"/>
    <w:rsid w:val="79147398"/>
    <w:rsid w:val="7CA05E88"/>
    <w:rsid w:val="7D53312E"/>
    <w:rsid w:val="7E2B53D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HAnsi"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4"/>
    <w:basedOn w:val="1"/>
    <w:next w:val="1"/>
    <w:unhideWhenUsed/>
    <w:qFormat/>
    <w:uiPriority w:val="9"/>
    <w:pPr>
      <w:keepNext/>
      <w:keepLines/>
      <w:spacing w:before="280" w:beforeLines="0" w:beforeAutospacing="0" w:after="290" w:afterLines="0" w:afterAutospacing="0" w:line="372" w:lineRule="auto"/>
      <w:outlineLvl w:val="3"/>
    </w:pPr>
    <w:rPr>
      <w:rFonts w:ascii="Arial" w:hAnsi="Arial" w:eastAsia="黑体"/>
      <w:b/>
      <w:sz w:val="28"/>
    </w:rPr>
  </w:style>
  <w:style w:type="character" w:default="1" w:styleId="11">
    <w:name w:val="Default Paragraph Font"/>
    <w:semiHidden/>
    <w:qFormat/>
    <w:uiPriority w:val="0"/>
  </w:style>
  <w:style w:type="table" w:default="1" w:styleId="9">
    <w:name w:val="Normal Table"/>
    <w:semiHidden/>
    <w:qFormat/>
    <w:uiPriority w:val="0"/>
    <w:tblPr>
      <w:tblCellMar>
        <w:top w:w="0" w:type="dxa"/>
        <w:left w:w="108" w:type="dxa"/>
        <w:bottom w:w="0" w:type="dxa"/>
        <w:right w:w="108" w:type="dxa"/>
      </w:tblCellMar>
    </w:tblPr>
  </w:style>
  <w:style w:type="paragraph" w:styleId="3">
    <w:name w:val="Body Text"/>
    <w:basedOn w:val="1"/>
    <w:qFormat/>
    <w:uiPriority w:val="0"/>
    <w:pPr>
      <w:spacing w:after="120" w:afterLines="0" w:afterAutospacing="0"/>
    </w:pPr>
  </w:style>
  <w:style w:type="paragraph" w:styleId="4">
    <w:name w:val="toc 3"/>
    <w:basedOn w:val="1"/>
    <w:next w:val="1"/>
    <w:qFormat/>
    <w:uiPriority w:val="0"/>
    <w:pPr>
      <w:ind w:left="840" w:leftChars="400"/>
    </w:pPr>
  </w:style>
  <w:style w:type="paragraph" w:styleId="5">
    <w:name w:val="footer"/>
    <w:basedOn w:val="1"/>
    <w:qFormat/>
    <w:uiPriority w:val="0"/>
    <w:pPr>
      <w:tabs>
        <w:tab w:val="center" w:pos="4153"/>
        <w:tab w:val="right" w:pos="8306"/>
      </w:tabs>
      <w:snapToGrid w:val="0"/>
      <w:jc w:val="left"/>
    </w:pPr>
    <w:rPr>
      <w:sz w:val="18"/>
    </w:rPr>
  </w:style>
  <w:style w:type="paragraph" w:styleId="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7">
    <w:name w:val="toc 1"/>
    <w:basedOn w:val="1"/>
    <w:next w:val="1"/>
    <w:qFormat/>
    <w:uiPriority w:val="0"/>
  </w:style>
  <w:style w:type="paragraph" w:styleId="8">
    <w:name w:val="toc 2"/>
    <w:basedOn w:val="1"/>
    <w:next w:val="1"/>
    <w:qFormat/>
    <w:uiPriority w:val="0"/>
    <w:pPr>
      <w:ind w:left="420" w:leftChars="200"/>
    </w:pPr>
  </w:style>
  <w:style w:type="table" w:styleId="10">
    <w:name w:val="Table Grid"/>
    <w:basedOn w:val="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2">
    <w:name w:val="WPSOffice手动目录 1"/>
    <w:qFormat/>
    <w:uiPriority w:val="0"/>
    <w:pPr>
      <w:ind w:leftChars="0"/>
    </w:pPr>
    <w:rPr>
      <w:rFonts w:asciiTheme="minorHAnsi" w:hAnsiTheme="minorHAnsi" w:eastAsiaTheme="minorHAnsi" w:cstheme="minorBidi"/>
      <w:sz w:val="20"/>
      <w:szCs w:val="20"/>
    </w:rPr>
  </w:style>
  <w:style w:type="paragraph" w:customStyle="1" w:styleId="13">
    <w:name w:val="WPSOffice手动目录 2"/>
    <w:qFormat/>
    <w:uiPriority w:val="0"/>
    <w:pPr>
      <w:ind w:leftChars="200"/>
    </w:pPr>
    <w:rPr>
      <w:rFonts w:asciiTheme="minorHAnsi" w:hAnsiTheme="minorHAnsi" w:eastAsiaTheme="minorHAnsi" w:cstheme="minorBidi"/>
      <w:sz w:val="20"/>
      <w:szCs w:val="20"/>
    </w:rPr>
  </w:style>
  <w:style w:type="paragraph" w:customStyle="1" w:styleId="14">
    <w:name w:val="WPSOffice手动目录 3"/>
    <w:qFormat/>
    <w:uiPriority w:val="0"/>
    <w:pPr>
      <w:ind w:leftChars="400"/>
    </w:pPr>
    <w:rPr>
      <w:rFonts w:asciiTheme="minorHAnsi" w:hAnsiTheme="minorHAnsi" w:eastAsiaTheme="minorHAnsi" w:cstheme="minorBidi"/>
      <w:sz w:val="20"/>
      <w:szCs w:val="20"/>
    </w:rPr>
  </w:style>
  <w:style w:type="paragraph" w:customStyle="1" w:styleId="15">
    <w:name w:val="Table Paragraph"/>
    <w:basedOn w:val="1"/>
    <w:qFormat/>
    <w:uiPriority w:val="1"/>
    <w:pPr>
      <w:jc w:val="center"/>
    </w:pPr>
    <w:rPr>
      <w:rFonts w:ascii="Times New Roman" w:hAnsi="Times New Roman" w:eastAsia="Times New Roman" w:cs="Times New Roman"/>
      <w:lang w:val="zh-CN" w:eastAsia="zh-CN" w:bidi="zh-CN"/>
    </w:rPr>
  </w:style>
  <w:style w:type="character" w:customStyle="1" w:styleId="16">
    <w:name w:val="font41"/>
    <w:basedOn w:val="11"/>
    <w:qFormat/>
    <w:uiPriority w:val="0"/>
    <w:rPr>
      <w:rFonts w:hint="eastAsia" w:ascii="MingLiU" w:hAnsi="MingLiU" w:eastAsia="MingLiU" w:cs="MingLiU"/>
      <w:color w:val="000000"/>
      <w:sz w:val="22"/>
      <w:szCs w:val="22"/>
      <w:u w:val="none"/>
    </w:rPr>
  </w:style>
  <w:style w:type="character" w:customStyle="1" w:styleId="17">
    <w:name w:val="font31"/>
    <w:basedOn w:val="11"/>
    <w:qFormat/>
    <w:uiPriority w:val="0"/>
    <w:rPr>
      <w:rFonts w:hint="default" w:ascii="Times New Roman" w:hAnsi="Times New Roman" w:cs="Times New Roman"/>
      <w:b/>
      <w:color w:val="000000"/>
      <w:sz w:val="22"/>
      <w:szCs w:val="22"/>
      <w:u w:val="none"/>
    </w:rPr>
  </w:style>
  <w:style w:type="character" w:customStyle="1" w:styleId="18">
    <w:name w:val="font01"/>
    <w:basedOn w:val="11"/>
    <w:qFormat/>
    <w:uiPriority w:val="0"/>
    <w:rPr>
      <w:rFonts w:hint="default" w:ascii="Times New Roman" w:hAnsi="Times New Roman" w:cs="Times New Roman"/>
      <w:color w:val="000000"/>
      <w:sz w:val="24"/>
      <w:szCs w:val="24"/>
      <w:u w:val="none"/>
    </w:rPr>
  </w:style>
  <w:style w:type="character" w:customStyle="1" w:styleId="19">
    <w:name w:val="font21"/>
    <w:basedOn w:val="11"/>
    <w:qFormat/>
    <w:uiPriority w:val="0"/>
    <w:rPr>
      <w:rFonts w:hint="default" w:ascii="Arial" w:hAnsi="Arial" w:cs="Arial"/>
      <w:i/>
      <w:color w:val="000000"/>
      <w:sz w:val="20"/>
      <w:szCs w:val="20"/>
      <w:u w:val="none"/>
    </w:rPr>
  </w:style>
  <w:style w:type="character" w:customStyle="1" w:styleId="20">
    <w:name w:val="font11"/>
    <w:basedOn w:val="11"/>
    <w:qFormat/>
    <w:uiPriority w:val="0"/>
    <w:rPr>
      <w:rFonts w:hint="default" w:ascii="Times New Roman" w:hAnsi="Times New Roman" w:cs="Times New Roman"/>
      <w:b/>
      <w:color w:val="000000"/>
      <w:sz w:val="18"/>
      <w:szCs w:val="18"/>
      <w:u w:val="none"/>
    </w:rPr>
  </w:style>
  <w:style w:type="character" w:customStyle="1" w:styleId="21">
    <w:name w:val="font61"/>
    <w:basedOn w:val="11"/>
    <w:qFormat/>
    <w:uiPriority w:val="0"/>
    <w:rPr>
      <w:rFonts w:hint="eastAsia" w:ascii="MingLiU" w:hAnsi="MingLiU" w:eastAsia="MingLiU" w:cs="MingLiU"/>
      <w:color w:val="000000"/>
      <w:sz w:val="14"/>
      <w:szCs w:val="14"/>
      <w:u w:val="none"/>
    </w:rPr>
  </w:style>
  <w:style w:type="character" w:customStyle="1" w:styleId="22">
    <w:name w:val="font51"/>
    <w:basedOn w:val="11"/>
    <w:qFormat/>
    <w:uiPriority w:val="0"/>
    <w:rPr>
      <w:rFonts w:hint="default" w:ascii="Arial" w:hAnsi="Arial" w:cs="Arial"/>
      <w:b/>
      <w:color w:val="000000"/>
      <w:sz w:val="14"/>
      <w:szCs w:val="14"/>
      <w:u w:val="none"/>
    </w:rPr>
  </w:style>
</w:styles>
</file>

<file path=word/_rels/document.xml.rels><?xml version="1.0" encoding="UTF-8" standalone="yes"?>
<Relationships xmlns="http://schemas.openxmlformats.org/package/2006/relationships"><Relationship Id="rId96" Type="http://schemas.openxmlformats.org/officeDocument/2006/relationships/fontTable" Target="fontTable.xml"/><Relationship Id="rId95" Type="http://schemas.openxmlformats.org/officeDocument/2006/relationships/numbering" Target="numbering.xml"/><Relationship Id="rId94" Type="http://schemas.openxmlformats.org/officeDocument/2006/relationships/customXml" Target="../customXml/item1.xml"/><Relationship Id="rId93" Type="http://schemas.openxmlformats.org/officeDocument/2006/relationships/image" Target="media/image88.png"/><Relationship Id="rId92" Type="http://schemas.openxmlformats.org/officeDocument/2006/relationships/image" Target="media/image87.png"/><Relationship Id="rId91" Type="http://schemas.openxmlformats.org/officeDocument/2006/relationships/image" Target="media/image86.png"/><Relationship Id="rId90" Type="http://schemas.openxmlformats.org/officeDocument/2006/relationships/image" Target="media/image85.png"/><Relationship Id="rId9" Type="http://schemas.openxmlformats.org/officeDocument/2006/relationships/image" Target="media/image4.jpeg"/><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jpe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pn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jpe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jpeg"/><Relationship Id="rId5" Type="http://schemas.openxmlformats.org/officeDocument/2006/relationships/theme" Target="theme/theme1.xml"/><Relationship Id="rId49" Type="http://schemas.openxmlformats.org/officeDocument/2006/relationships/image" Target="media/image44.jpeg"/><Relationship Id="rId48" Type="http://schemas.openxmlformats.org/officeDocument/2006/relationships/image" Target="media/image43.jpeg"/><Relationship Id="rId47" Type="http://schemas.openxmlformats.org/officeDocument/2006/relationships/image" Target="media/image42.jpeg"/><Relationship Id="rId46" Type="http://schemas.openxmlformats.org/officeDocument/2006/relationships/image" Target="media/image41.jpeg"/><Relationship Id="rId45" Type="http://schemas.openxmlformats.org/officeDocument/2006/relationships/image" Target="media/image40.jpeg"/><Relationship Id="rId44" Type="http://schemas.openxmlformats.org/officeDocument/2006/relationships/image" Target="media/image39.jpeg"/><Relationship Id="rId43" Type="http://schemas.openxmlformats.org/officeDocument/2006/relationships/image" Target="media/image38.jpeg"/><Relationship Id="rId42" Type="http://schemas.openxmlformats.org/officeDocument/2006/relationships/image" Target="media/image37.jpeg"/><Relationship Id="rId41" Type="http://schemas.openxmlformats.org/officeDocument/2006/relationships/image" Target="media/image36.jpeg"/><Relationship Id="rId40" Type="http://schemas.openxmlformats.org/officeDocument/2006/relationships/image" Target="media/image35.jpeg"/><Relationship Id="rId4" Type="http://schemas.openxmlformats.org/officeDocument/2006/relationships/footer" Target="footer1.xml"/><Relationship Id="rId39" Type="http://schemas.openxmlformats.org/officeDocument/2006/relationships/image" Target="media/image34.jpeg"/><Relationship Id="rId38" Type="http://schemas.openxmlformats.org/officeDocument/2006/relationships/image" Target="media/image33.jpeg"/><Relationship Id="rId37" Type="http://schemas.openxmlformats.org/officeDocument/2006/relationships/image" Target="media/image32.jpeg"/><Relationship Id="rId36" Type="http://schemas.openxmlformats.org/officeDocument/2006/relationships/image" Target="media/image31.jpeg"/><Relationship Id="rId35" Type="http://schemas.openxmlformats.org/officeDocument/2006/relationships/image" Target="media/image30.jpeg"/><Relationship Id="rId34" Type="http://schemas.openxmlformats.org/officeDocument/2006/relationships/image" Target="media/image29.jpeg"/><Relationship Id="rId33" Type="http://schemas.openxmlformats.org/officeDocument/2006/relationships/image" Target="media/image28.jpeg"/><Relationship Id="rId32" Type="http://schemas.openxmlformats.org/officeDocument/2006/relationships/image" Target="media/image27.jpeg"/><Relationship Id="rId31" Type="http://schemas.openxmlformats.org/officeDocument/2006/relationships/image" Target="media/image26.jpeg"/><Relationship Id="rId30" Type="http://schemas.openxmlformats.org/officeDocument/2006/relationships/image" Target="media/image25.png"/><Relationship Id="rId3" Type="http://schemas.openxmlformats.org/officeDocument/2006/relationships/header" Target="head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jpeg"/><Relationship Id="rId26" Type="http://schemas.openxmlformats.org/officeDocument/2006/relationships/image" Target="media/image21.pn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pn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Office_11.1.0.9999_F1E327BC-269C-435d-A152-05C5408002CA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2020-07-27T06:37:00Z</dcterms:created>
  <dc:creator>爱乐人行素</dc:creator>
  <cp:lastModifiedBy>爱乐人行素</cp:lastModifiedBy>
  <dcterms:modified xsi:type="dcterms:W3CDTF">2020-09-23T01:47:56Z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2052-11.1.0.9999</vt:lpwstr>
  </property>
</Properties>
</file>