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hint="eastAsia" w:ascii="Times New Roman" w:hAnsi="Times New Roman" w:cs="Times New Roman"/>
          <w:sz w:val="28"/>
          <w:szCs w:val="28"/>
          <w:lang w:eastAsia="zh-CN"/>
        </w:rPr>
      </w:pPr>
      <w:r>
        <w:rPr>
          <w:rFonts w:hint="eastAsia"/>
          <w:sz w:val="28"/>
          <w:szCs w:val="28"/>
          <w:lang w:eastAsia="zh-CN"/>
        </w:rPr>
        <w:t>项目编号：</w:t>
      </w:r>
      <w:r>
        <w:rPr>
          <w:rFonts w:hint="default" w:ascii="Times New Roman" w:hAnsi="Times New Roman" w:cs="Times New Roman"/>
          <w:sz w:val="28"/>
          <w:szCs w:val="28"/>
          <w:lang w:eastAsia="zh-CN"/>
        </w:rPr>
        <w:t>MDJ20-0064</w:t>
      </w: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6</w:t>
      </w:r>
      <w:r>
        <w:rPr>
          <w:rFonts w:hint="eastAsia" w:ascii="Times New Roman" w:hAnsi="Times New Roman" w:cs="Times New Roman"/>
          <w:sz w:val="28"/>
          <w:szCs w:val="28"/>
          <w:lang w:eastAsia="zh-CN"/>
        </w:rPr>
        <w:t>）</w:t>
      </w:r>
    </w:p>
    <w:p>
      <w:pPr>
        <w:jc w:val="center"/>
        <w:rPr>
          <w:rFonts w:hint="eastAsia" w:ascii="仿宋" w:hAnsi="仿宋" w:eastAsia="仿宋" w:cs="仿宋"/>
          <w:sz w:val="32"/>
          <w:szCs w:val="32"/>
          <w:lang w:eastAsia="zh-CN"/>
        </w:rPr>
      </w:pPr>
    </w:p>
    <w:p>
      <w:pPr>
        <w:jc w:val="center"/>
        <w:rPr>
          <w:rFonts w:hint="eastAsia" w:ascii="仿宋" w:hAnsi="仿宋" w:eastAsia="仿宋" w:cs="仿宋"/>
          <w:sz w:val="32"/>
          <w:szCs w:val="32"/>
          <w:lang w:eastAsia="zh-CN"/>
        </w:rPr>
      </w:pPr>
    </w:p>
    <w:p>
      <w:pPr>
        <w:jc w:val="center"/>
        <w:rPr>
          <w:rFonts w:hint="eastAsia" w:ascii="仿宋" w:hAnsi="仿宋" w:eastAsia="仿宋" w:cs="仿宋"/>
          <w:sz w:val="32"/>
          <w:szCs w:val="32"/>
          <w:lang w:eastAsia="zh-CN"/>
        </w:rPr>
      </w:pPr>
    </w:p>
    <w:p>
      <w:pPr>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沙文生态科技产业园苏庄路道路工程</w:t>
      </w:r>
    </w:p>
    <w:p>
      <w:pPr>
        <w:jc w:val="center"/>
        <w:rPr>
          <w:rFonts w:hint="eastAsia" w:ascii="黑体" w:hAnsi="黑体" w:eastAsia="黑体" w:cs="黑体"/>
          <w:sz w:val="52"/>
          <w:szCs w:val="52"/>
          <w:lang w:eastAsia="zh-CN"/>
        </w:rPr>
      </w:pPr>
      <w:r>
        <w:rPr>
          <w:rFonts w:hint="eastAsia" w:ascii="黑体" w:hAnsi="黑体" w:eastAsia="黑体" w:cs="黑体"/>
          <w:sz w:val="52"/>
          <w:szCs w:val="52"/>
          <w:lang w:eastAsia="zh-CN"/>
        </w:rPr>
        <w:t>竣工环境保护验收调查报告</w:t>
      </w:r>
    </w:p>
    <w:p>
      <w:pPr>
        <w:jc w:val="left"/>
        <w:rPr>
          <w:rFonts w:hint="eastAsia" w:ascii="仿宋" w:hAnsi="仿宋" w:eastAsia="仿宋" w:cs="仿宋"/>
          <w:sz w:val="32"/>
          <w:szCs w:val="32"/>
          <w:lang w:eastAsia="zh-CN"/>
        </w:rPr>
      </w:pPr>
    </w:p>
    <w:p>
      <w:pPr>
        <w:jc w:val="left"/>
        <w:rPr>
          <w:rFonts w:hint="eastAsia" w:ascii="仿宋" w:hAnsi="仿宋" w:eastAsia="仿宋" w:cs="仿宋"/>
          <w:sz w:val="32"/>
          <w:szCs w:val="32"/>
          <w:lang w:eastAsia="zh-CN"/>
        </w:rPr>
      </w:pPr>
    </w:p>
    <w:p>
      <w:pPr>
        <w:jc w:val="left"/>
        <w:rPr>
          <w:rFonts w:hint="eastAsia" w:ascii="仿宋" w:hAnsi="仿宋" w:eastAsia="仿宋" w:cs="仿宋"/>
          <w:sz w:val="32"/>
          <w:szCs w:val="32"/>
          <w:lang w:eastAsia="zh-CN"/>
        </w:rPr>
      </w:pPr>
    </w:p>
    <w:p>
      <w:pPr>
        <w:jc w:val="left"/>
        <w:rPr>
          <w:rFonts w:hint="eastAsia" w:ascii="仿宋" w:hAnsi="仿宋" w:eastAsia="仿宋" w:cs="仿宋"/>
          <w:sz w:val="32"/>
          <w:szCs w:val="32"/>
          <w:lang w:eastAsia="zh-CN"/>
        </w:rPr>
      </w:pPr>
    </w:p>
    <w:p>
      <w:pPr>
        <w:jc w:val="left"/>
        <w:rPr>
          <w:rFonts w:hint="eastAsia" w:ascii="仿宋" w:hAnsi="仿宋" w:eastAsia="仿宋" w:cs="仿宋"/>
          <w:sz w:val="32"/>
          <w:szCs w:val="32"/>
          <w:lang w:eastAsia="zh-CN"/>
        </w:rPr>
      </w:pPr>
    </w:p>
    <w:p>
      <w:pPr>
        <w:jc w:val="left"/>
        <w:rPr>
          <w:rFonts w:hint="eastAsia" w:ascii="仿宋" w:hAnsi="仿宋" w:eastAsia="仿宋" w:cs="仿宋"/>
          <w:sz w:val="32"/>
          <w:szCs w:val="32"/>
          <w:lang w:eastAsia="zh-CN"/>
        </w:rPr>
      </w:pPr>
    </w:p>
    <w:p>
      <w:pPr>
        <w:ind w:firstLine="960" w:firstLineChars="300"/>
        <w:jc w:val="left"/>
        <w:rPr>
          <w:rFonts w:hint="eastAsia" w:ascii="仿宋" w:hAnsi="仿宋" w:eastAsia="仿宋" w:cs="仿宋"/>
          <w:sz w:val="32"/>
          <w:szCs w:val="32"/>
          <w:lang w:eastAsia="zh-CN"/>
        </w:rPr>
      </w:pPr>
      <w:r>
        <w:rPr>
          <w:rFonts w:hint="eastAsia" w:ascii="仿宋" w:hAnsi="仿宋" w:eastAsia="仿宋" w:cs="仿宋"/>
          <w:sz w:val="32"/>
          <w:szCs w:val="32"/>
          <w:lang w:eastAsia="zh-CN"/>
        </w:rPr>
        <w:t>建设单位：贵阳高科控股集团有限公司</w:t>
      </w:r>
    </w:p>
    <w:p>
      <w:pPr>
        <w:ind w:firstLine="960" w:firstLineChars="300"/>
        <w:jc w:val="left"/>
        <w:rPr>
          <w:rFonts w:hint="eastAsia" w:ascii="仿宋" w:hAnsi="仿宋" w:eastAsia="仿宋" w:cs="仿宋"/>
          <w:sz w:val="32"/>
          <w:szCs w:val="32"/>
          <w:lang w:eastAsia="zh-CN"/>
        </w:rPr>
      </w:pPr>
    </w:p>
    <w:p>
      <w:pPr>
        <w:ind w:firstLine="960" w:firstLineChars="300"/>
        <w:jc w:val="left"/>
        <w:rPr>
          <w:rFonts w:hint="eastAsia" w:ascii="仿宋" w:hAnsi="仿宋" w:eastAsia="仿宋" w:cs="仿宋"/>
          <w:sz w:val="32"/>
          <w:szCs w:val="32"/>
          <w:lang w:eastAsia="zh-CN"/>
        </w:rPr>
      </w:pPr>
      <w:r>
        <w:rPr>
          <w:rFonts w:hint="eastAsia" w:ascii="仿宋" w:hAnsi="仿宋" w:eastAsia="仿宋" w:cs="仿宋"/>
          <w:sz w:val="32"/>
          <w:szCs w:val="32"/>
          <w:lang w:eastAsia="zh-CN"/>
        </w:rPr>
        <w:t>委托单位：贵阳高科控股集团有限公司</w:t>
      </w:r>
    </w:p>
    <w:p>
      <w:pPr>
        <w:ind w:firstLine="960" w:firstLineChars="300"/>
        <w:jc w:val="left"/>
        <w:rPr>
          <w:rFonts w:hint="eastAsia" w:ascii="仿宋" w:hAnsi="仿宋" w:eastAsia="仿宋" w:cs="仿宋"/>
          <w:sz w:val="32"/>
          <w:szCs w:val="32"/>
          <w:lang w:eastAsia="zh-CN"/>
        </w:rPr>
      </w:pPr>
    </w:p>
    <w:p>
      <w:pPr>
        <w:ind w:firstLine="960" w:firstLineChars="300"/>
        <w:jc w:val="left"/>
        <w:rPr>
          <w:rFonts w:hint="eastAsia" w:ascii="仿宋" w:hAnsi="仿宋" w:eastAsia="仿宋" w:cs="仿宋"/>
          <w:sz w:val="32"/>
          <w:szCs w:val="32"/>
          <w:lang w:eastAsia="zh-CN"/>
        </w:rPr>
      </w:pPr>
      <w:r>
        <w:rPr>
          <w:rFonts w:hint="eastAsia" w:ascii="仿宋" w:hAnsi="仿宋" w:eastAsia="仿宋" w:cs="仿宋"/>
          <w:sz w:val="32"/>
          <w:szCs w:val="32"/>
          <w:lang w:eastAsia="zh-CN"/>
        </w:rPr>
        <w:t>调查单位：贵州明德工程咨询有限公司</w:t>
      </w:r>
    </w:p>
    <w:p>
      <w:pPr>
        <w:ind w:firstLine="960" w:firstLineChars="300"/>
        <w:jc w:val="left"/>
        <w:rPr>
          <w:rFonts w:hint="eastAsia" w:ascii="仿宋" w:hAnsi="仿宋" w:eastAsia="仿宋" w:cs="仿宋"/>
          <w:sz w:val="32"/>
          <w:szCs w:val="32"/>
          <w:lang w:eastAsia="zh-CN"/>
        </w:rPr>
      </w:pPr>
    </w:p>
    <w:p>
      <w:pPr>
        <w:ind w:firstLine="960" w:firstLineChars="300"/>
        <w:jc w:val="left"/>
        <w:rPr>
          <w:rFonts w:hint="eastAsia" w:ascii="仿宋" w:hAnsi="仿宋" w:eastAsia="仿宋" w:cs="仿宋"/>
          <w:sz w:val="32"/>
          <w:szCs w:val="32"/>
          <w:lang w:eastAsia="zh-CN"/>
        </w:rPr>
      </w:pPr>
      <w:r>
        <w:rPr>
          <w:rFonts w:hint="eastAsia" w:ascii="仿宋" w:hAnsi="仿宋" w:eastAsia="仿宋" w:cs="仿宋"/>
          <w:sz w:val="32"/>
          <w:szCs w:val="32"/>
          <w:lang w:eastAsia="zh-CN"/>
        </w:rPr>
        <w:t>完成时间：二零二零年九</w:t>
      </w:r>
      <w:bookmarkStart w:id="95" w:name="_GoBack"/>
      <w:bookmarkEnd w:id="95"/>
      <w:r>
        <w:rPr>
          <w:rFonts w:hint="eastAsia" w:ascii="仿宋" w:hAnsi="仿宋" w:eastAsia="仿宋" w:cs="仿宋"/>
          <w:sz w:val="32"/>
          <w:szCs w:val="32"/>
          <w:lang w:eastAsia="zh-CN"/>
        </w:rPr>
        <w:t>月</w:t>
      </w:r>
    </w:p>
    <w:p>
      <w:pPr>
        <w:rPr>
          <w:rFonts w:hint="eastAsia" w:ascii="仿宋" w:hAnsi="仿宋" w:eastAsia="仿宋" w:cs="仿宋"/>
          <w:sz w:val="32"/>
          <w:szCs w:val="32"/>
          <w:lang w:eastAsia="zh-CN"/>
        </w:rPr>
      </w:pPr>
      <w:r>
        <w:rPr>
          <w:rFonts w:hint="eastAsia" w:ascii="仿宋" w:hAnsi="仿宋" w:eastAsia="仿宋" w:cs="仿宋"/>
          <w:sz w:val="32"/>
          <w:szCs w:val="32"/>
          <w:lang w:eastAsia="zh-CN"/>
        </w:rPr>
        <w:br w:type="page"/>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调查单位名称：贵州明德工程咨询有限公司</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调查单位法人代表：吕均</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总技术负责人：唐田</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技术审核人：唐田</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项目负责人：杨雄</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编制人员：杨雄</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监测单位名称：贵州明德工程咨询有限公司</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监测单位参与人员：陶鹏程、彭登辉、周苹、罗芳、唐文香、翟凯吉、宋云</w:t>
      </w:r>
    </w:p>
    <w:p>
      <w:pPr>
        <w:jc w:val="left"/>
        <w:rPr>
          <w:rFonts w:hint="eastAsia" w:ascii="仿宋" w:hAnsi="仿宋" w:eastAsia="仿宋" w:cs="仿宋"/>
          <w:sz w:val="32"/>
          <w:szCs w:val="32"/>
          <w:lang w:val="en-US" w:eastAsia="zh-CN"/>
        </w:rPr>
      </w:pPr>
    </w:p>
    <w:p>
      <w:pPr>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br w:type="page"/>
      </w:r>
    </w:p>
    <w:tbl>
      <w:tblPr>
        <w:tblStyle w:val="10"/>
        <w:tblW w:w="8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0"/>
        <w:gridCol w:w="4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5" w:hRule="atLeast"/>
        </w:trPr>
        <w:tc>
          <w:tcPr>
            <w:tcW w:w="4480" w:type="dxa"/>
            <w:vAlign w:val="center"/>
          </w:tcPr>
          <w:p>
            <w:pPr>
              <w:jc w:val="center"/>
              <w:rPr>
                <w:rFonts w:hint="default" w:ascii="仿宋" w:hAnsi="仿宋" w:eastAsia="仿宋" w:cs="仿宋"/>
                <w:sz w:val="24"/>
                <w:szCs w:val="24"/>
                <w:vertAlign w:val="baseline"/>
                <w:lang w:val="en-US" w:eastAsia="zh-CN"/>
              </w:rPr>
            </w:pPr>
            <w:r>
              <w:rPr>
                <w:rFonts w:hint="default" w:ascii="仿宋" w:hAnsi="仿宋" w:eastAsia="仿宋" w:cs="仿宋"/>
                <w:sz w:val="24"/>
                <w:szCs w:val="24"/>
                <w:vertAlign w:val="baseline"/>
                <w:lang w:val="en-US" w:eastAsia="zh-CN"/>
              </w:rPr>
              <w:drawing>
                <wp:inline distT="0" distB="0" distL="114300" distR="114300">
                  <wp:extent cx="2688590" cy="2796540"/>
                  <wp:effectExtent l="0" t="0" r="16510" b="3810"/>
                  <wp:docPr id="15" name="图片 15" descr="IMG_20200519_18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00519_181912"/>
                          <pic:cNvPicPr>
                            <a:picLocks noChangeAspect="1"/>
                          </pic:cNvPicPr>
                        </pic:nvPicPr>
                        <pic:blipFill>
                          <a:blip r:embed="rId6"/>
                          <a:stretch>
                            <a:fillRect/>
                          </a:stretch>
                        </pic:blipFill>
                        <pic:spPr>
                          <a:xfrm>
                            <a:off x="0" y="0"/>
                            <a:ext cx="2688590" cy="2796540"/>
                          </a:xfrm>
                          <a:prstGeom prst="rect">
                            <a:avLst/>
                          </a:prstGeom>
                        </pic:spPr>
                      </pic:pic>
                    </a:graphicData>
                  </a:graphic>
                </wp:inline>
              </w:drawing>
            </w:r>
          </w:p>
        </w:tc>
        <w:tc>
          <w:tcPr>
            <w:tcW w:w="4480" w:type="dxa"/>
            <w:vAlign w:val="center"/>
          </w:tcPr>
          <w:p>
            <w:pPr>
              <w:jc w:val="center"/>
              <w:rPr>
                <w:rFonts w:hint="default" w:ascii="仿宋" w:hAnsi="仿宋" w:eastAsia="仿宋" w:cs="仿宋"/>
                <w:sz w:val="24"/>
                <w:szCs w:val="24"/>
                <w:vertAlign w:val="baseline"/>
                <w:lang w:val="en-US" w:eastAsia="zh-CN"/>
              </w:rPr>
            </w:pPr>
            <w:r>
              <w:rPr>
                <w:rFonts w:hint="default" w:ascii="仿宋" w:hAnsi="仿宋" w:eastAsia="仿宋" w:cs="仿宋"/>
                <w:sz w:val="24"/>
                <w:szCs w:val="24"/>
                <w:vertAlign w:val="baseline"/>
                <w:lang w:val="en-US" w:eastAsia="zh-CN"/>
              </w:rPr>
              <w:drawing>
                <wp:inline distT="0" distB="0" distL="114300" distR="114300">
                  <wp:extent cx="2662555" cy="1997075"/>
                  <wp:effectExtent l="0" t="0" r="4445" b="3175"/>
                  <wp:docPr id="16" name="图片 16" descr="IMG_20200519_18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00519_184105"/>
                          <pic:cNvPicPr>
                            <a:picLocks noChangeAspect="1"/>
                          </pic:cNvPicPr>
                        </pic:nvPicPr>
                        <pic:blipFill>
                          <a:blip r:embed="rId7"/>
                          <a:stretch>
                            <a:fillRect/>
                          </a:stretch>
                        </pic:blipFill>
                        <pic:spPr>
                          <a:xfrm>
                            <a:off x="0" y="0"/>
                            <a:ext cx="2662555" cy="19970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4480" w:type="dxa"/>
            <w:vAlign w:val="center"/>
          </w:tcPr>
          <w:p>
            <w:pPr>
              <w:jc w:val="center"/>
              <w:rPr>
                <w:rFonts w:hint="default" w:ascii="仿宋" w:hAnsi="仿宋" w:eastAsia="仿宋" w:cs="仿宋"/>
                <w:sz w:val="24"/>
                <w:szCs w:val="24"/>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本项目跨越大泥窝河</w:t>
            </w:r>
          </w:p>
        </w:tc>
        <w:tc>
          <w:tcPr>
            <w:tcW w:w="4480" w:type="dxa"/>
            <w:vAlign w:val="center"/>
          </w:tcPr>
          <w:p>
            <w:pPr>
              <w:jc w:val="center"/>
              <w:rPr>
                <w:rFonts w:hint="default" w:ascii="仿宋" w:hAnsi="仿宋" w:eastAsia="仿宋" w:cs="仿宋"/>
                <w:sz w:val="24"/>
                <w:szCs w:val="24"/>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项目起点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5" w:hRule="atLeast"/>
        </w:trPr>
        <w:tc>
          <w:tcPr>
            <w:tcW w:w="4480"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drawing>
                <wp:inline distT="0" distB="0" distL="114300" distR="114300">
                  <wp:extent cx="2662555" cy="1997075"/>
                  <wp:effectExtent l="0" t="0" r="4445" b="3175"/>
                  <wp:docPr id="17" name="图片 17" descr="IMG_20200519_18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00519_184238"/>
                          <pic:cNvPicPr>
                            <a:picLocks noChangeAspect="1"/>
                          </pic:cNvPicPr>
                        </pic:nvPicPr>
                        <pic:blipFill>
                          <a:blip r:embed="rId8"/>
                          <a:stretch>
                            <a:fillRect/>
                          </a:stretch>
                        </pic:blipFill>
                        <pic:spPr>
                          <a:xfrm>
                            <a:off x="0" y="0"/>
                            <a:ext cx="2662555" cy="1997075"/>
                          </a:xfrm>
                          <a:prstGeom prst="rect">
                            <a:avLst/>
                          </a:prstGeom>
                        </pic:spPr>
                      </pic:pic>
                    </a:graphicData>
                  </a:graphic>
                </wp:inline>
              </w:drawing>
            </w:r>
          </w:p>
        </w:tc>
        <w:tc>
          <w:tcPr>
            <w:tcW w:w="4480"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drawing>
                <wp:inline distT="0" distB="0" distL="114300" distR="114300">
                  <wp:extent cx="2662555" cy="1997075"/>
                  <wp:effectExtent l="0" t="0" r="4445" b="3175"/>
                  <wp:docPr id="22" name="图片 22" descr="IMG_20200519_18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00519_184549"/>
                          <pic:cNvPicPr>
                            <a:picLocks noChangeAspect="1"/>
                          </pic:cNvPicPr>
                        </pic:nvPicPr>
                        <pic:blipFill>
                          <a:blip r:embed="rId9"/>
                          <a:stretch>
                            <a:fillRect/>
                          </a:stretch>
                        </pic:blipFill>
                        <pic:spPr>
                          <a:xfrm>
                            <a:off x="0" y="0"/>
                            <a:ext cx="2662555" cy="19970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4480" w:type="dxa"/>
            <w:vAlign w:val="center"/>
          </w:tcPr>
          <w:p>
            <w:pPr>
              <w:jc w:val="cente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项目起点处下高山居民点</w:t>
            </w:r>
          </w:p>
        </w:tc>
        <w:tc>
          <w:tcPr>
            <w:tcW w:w="4480" w:type="dxa"/>
            <w:vAlign w:val="center"/>
          </w:tcPr>
          <w:p>
            <w:pPr>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高山村小寨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5" w:hRule="atLeast"/>
        </w:trPr>
        <w:tc>
          <w:tcPr>
            <w:tcW w:w="4480" w:type="dxa"/>
            <w:vAlign w:val="center"/>
          </w:tcPr>
          <w:p>
            <w:pPr>
              <w:jc w:val="cente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2662555" cy="1997075"/>
                  <wp:effectExtent l="0" t="0" r="4445" b="3175"/>
                  <wp:docPr id="23" name="图片 23" descr="IMG_20200519_18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00519_184929"/>
                          <pic:cNvPicPr>
                            <a:picLocks noChangeAspect="1"/>
                          </pic:cNvPicPr>
                        </pic:nvPicPr>
                        <pic:blipFill>
                          <a:blip r:embed="rId10"/>
                          <a:stretch>
                            <a:fillRect/>
                          </a:stretch>
                        </pic:blipFill>
                        <pic:spPr>
                          <a:xfrm>
                            <a:off x="0" y="0"/>
                            <a:ext cx="2662555" cy="1997075"/>
                          </a:xfrm>
                          <a:prstGeom prst="rect">
                            <a:avLst/>
                          </a:prstGeom>
                        </pic:spPr>
                      </pic:pic>
                    </a:graphicData>
                  </a:graphic>
                </wp:inline>
              </w:drawing>
            </w:r>
          </w:p>
        </w:tc>
        <w:tc>
          <w:tcPr>
            <w:tcW w:w="4480" w:type="dxa"/>
            <w:vAlign w:val="center"/>
          </w:tcPr>
          <w:p>
            <w:pPr>
              <w:jc w:val="cente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2662555" cy="1997075"/>
                  <wp:effectExtent l="0" t="0" r="4445" b="3175"/>
                  <wp:docPr id="24" name="图片 24" descr="IMG_20200519_18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200519_185653"/>
                          <pic:cNvPicPr>
                            <a:picLocks noChangeAspect="1"/>
                          </pic:cNvPicPr>
                        </pic:nvPicPr>
                        <pic:blipFill>
                          <a:blip r:embed="rId11"/>
                          <a:stretch>
                            <a:fillRect/>
                          </a:stretch>
                        </pic:blipFill>
                        <pic:spPr>
                          <a:xfrm>
                            <a:off x="0" y="0"/>
                            <a:ext cx="2662555" cy="19970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4480" w:type="dxa"/>
            <w:vAlign w:val="center"/>
          </w:tcPr>
          <w:p>
            <w:pPr>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绿地·新都会</w:t>
            </w:r>
          </w:p>
        </w:tc>
        <w:tc>
          <w:tcPr>
            <w:tcW w:w="4480" w:type="dxa"/>
            <w:vAlign w:val="center"/>
          </w:tcPr>
          <w:p>
            <w:pPr>
              <w:jc w:val="cente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项目终点</w:t>
            </w:r>
          </w:p>
        </w:tc>
      </w:tr>
    </w:tbl>
    <w:p>
      <w:pPr>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br w:type="page"/>
      </w:r>
    </w:p>
    <w:sdt>
      <w:sdtPr>
        <w:rPr>
          <w:rFonts w:ascii="宋体" w:hAnsi="宋体" w:eastAsia="宋体" w:cstheme="minorBidi"/>
          <w:kern w:val="2"/>
          <w:sz w:val="21"/>
          <w:szCs w:val="24"/>
          <w:lang w:val="en-US" w:eastAsia="zh-CN" w:bidi="ar-SA"/>
        </w:rPr>
        <w:id w:val="147478809"/>
        <w15:color w:val="DBDBDB"/>
        <w:docPartObj>
          <w:docPartGallery w:val="Table of Contents"/>
          <w:docPartUnique/>
        </w:docPartObj>
      </w:sdtPr>
      <w:sdtEndPr>
        <w:rPr>
          <w:rFonts w:hint="default" w:ascii="仿宋" w:hAnsi="仿宋" w:eastAsia="仿宋" w:cs="仿宋"/>
          <w:kern w:val="2"/>
          <w:sz w:val="21"/>
          <w:szCs w:val="32"/>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7"/>
            <w:tabs>
              <w:tab w:val="right" w:leader="dot" w:pos="8306"/>
            </w:tabs>
          </w:pPr>
          <w:r>
            <w:rPr>
              <w:rFonts w:hint="default" w:ascii="仿宋" w:hAnsi="仿宋" w:eastAsia="仿宋" w:cs="仿宋"/>
              <w:sz w:val="32"/>
              <w:szCs w:val="32"/>
              <w:lang w:val="en-US" w:eastAsia="zh-CN"/>
            </w:rPr>
            <w:fldChar w:fldCharType="begin"/>
          </w:r>
          <w:r>
            <w:rPr>
              <w:rFonts w:hint="default" w:ascii="仿宋" w:hAnsi="仿宋" w:eastAsia="仿宋" w:cs="仿宋"/>
              <w:sz w:val="32"/>
              <w:szCs w:val="32"/>
              <w:lang w:val="en-US" w:eastAsia="zh-CN"/>
            </w:rPr>
            <w:instrText xml:space="preserve">TOC \o "1-3" \h \u </w:instrText>
          </w:r>
          <w:r>
            <w:rPr>
              <w:rFonts w:hint="default" w:ascii="仿宋" w:hAnsi="仿宋" w:eastAsia="仿宋" w:cs="仿宋"/>
              <w:sz w:val="32"/>
              <w:szCs w:val="32"/>
              <w:lang w:val="en-US" w:eastAsia="zh-CN"/>
            </w:rPr>
            <w:fldChar w:fldCharType="separate"/>
          </w: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_Toc20962 </w:instrText>
          </w:r>
          <w:r>
            <w:rPr>
              <w:rFonts w:hint="default" w:ascii="仿宋" w:hAnsi="仿宋" w:eastAsia="仿宋" w:cs="仿宋"/>
              <w:szCs w:val="32"/>
              <w:lang w:val="en-US" w:eastAsia="zh-CN"/>
            </w:rPr>
            <w:fldChar w:fldCharType="separate"/>
          </w:r>
          <w:r>
            <w:rPr>
              <w:rFonts w:hint="eastAsia" w:ascii="宋体" w:hAnsi="宋体" w:eastAsia="宋体" w:cs="宋体"/>
              <w:bCs/>
              <w:szCs w:val="32"/>
              <w:lang w:val="en-US" w:eastAsia="zh-CN"/>
            </w:rPr>
            <w:t>前  言</w:t>
          </w:r>
          <w:r>
            <w:tab/>
          </w:r>
          <w:r>
            <w:fldChar w:fldCharType="begin"/>
          </w:r>
          <w:r>
            <w:instrText xml:space="preserve"> PAGEREF _Toc20962 </w:instrText>
          </w:r>
          <w:r>
            <w:fldChar w:fldCharType="separate"/>
          </w:r>
          <w:r>
            <w:t>7</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_Toc3350 </w:instrText>
          </w:r>
          <w:r>
            <w:rPr>
              <w:rFonts w:hint="default" w:ascii="仿宋" w:hAnsi="仿宋" w:eastAsia="仿宋" w:cs="仿宋"/>
              <w:szCs w:val="32"/>
              <w:lang w:val="en-US" w:eastAsia="zh-CN"/>
            </w:rPr>
            <w:fldChar w:fldCharType="separate"/>
          </w:r>
          <w:r>
            <w:rPr>
              <w:rFonts w:hint="default" w:ascii="Times New Roman" w:hAnsi="Times New Roman" w:eastAsia="宋体" w:cs="Times New Roman"/>
              <w:bCs/>
              <w:szCs w:val="28"/>
              <w:lang w:val="en-US" w:eastAsia="zh-CN"/>
            </w:rPr>
            <w:t>1 总论</w:t>
          </w:r>
          <w:r>
            <w:tab/>
          </w:r>
          <w:r>
            <w:fldChar w:fldCharType="begin"/>
          </w:r>
          <w:r>
            <w:instrText xml:space="preserve"> PAGEREF _Toc3350 </w:instrText>
          </w:r>
          <w:r>
            <w:fldChar w:fldCharType="separate"/>
          </w:r>
          <w:r>
            <w:t>9</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_Toc27698 </w:instrText>
          </w:r>
          <w:r>
            <w:rPr>
              <w:rFonts w:hint="default" w:ascii="仿宋" w:hAnsi="仿宋" w:eastAsia="仿宋" w:cs="仿宋"/>
              <w:szCs w:val="32"/>
              <w:lang w:val="en-US" w:eastAsia="zh-CN"/>
            </w:rPr>
            <w:fldChar w:fldCharType="separate"/>
          </w:r>
          <w:r>
            <w:rPr>
              <w:rFonts w:hint="default" w:ascii="Times New Roman" w:hAnsi="Times New Roman" w:eastAsia="宋体" w:cs="Times New Roman"/>
              <w:szCs w:val="24"/>
              <w:lang w:val="en-US" w:eastAsia="zh-CN"/>
            </w:rPr>
            <w:t>1.1编制依据</w:t>
          </w:r>
          <w:r>
            <w:tab/>
          </w:r>
          <w:r>
            <w:fldChar w:fldCharType="begin"/>
          </w:r>
          <w:r>
            <w:instrText xml:space="preserve"> PAGEREF _Toc27698 </w:instrText>
          </w:r>
          <w:r>
            <w:fldChar w:fldCharType="separate"/>
          </w:r>
          <w:r>
            <w:t>9</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_Toc5216 </w:instrText>
          </w:r>
          <w:r>
            <w:rPr>
              <w:rFonts w:hint="default" w:ascii="仿宋" w:hAnsi="仿宋" w:eastAsia="仿宋" w:cs="仿宋"/>
              <w:szCs w:val="32"/>
              <w:lang w:val="en-US" w:eastAsia="zh-CN"/>
            </w:rPr>
            <w:fldChar w:fldCharType="separate"/>
          </w:r>
          <w:r>
            <w:rPr>
              <w:rFonts w:hint="default" w:ascii="Times New Roman" w:hAnsi="Times New Roman" w:eastAsia="宋体" w:cs="Times New Roman"/>
              <w:szCs w:val="24"/>
              <w:lang w:val="en-US" w:eastAsia="zh-CN"/>
            </w:rPr>
            <w:t>1.1.1法律法规</w:t>
          </w:r>
          <w:r>
            <w:tab/>
          </w:r>
          <w:r>
            <w:fldChar w:fldCharType="begin"/>
          </w:r>
          <w:r>
            <w:instrText xml:space="preserve"> PAGEREF _Toc5216 </w:instrText>
          </w:r>
          <w:r>
            <w:fldChar w:fldCharType="separate"/>
          </w:r>
          <w:r>
            <w:t>9</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_Toc9284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1.1.2工程技术资料</w:t>
          </w:r>
          <w:r>
            <w:tab/>
          </w:r>
          <w:r>
            <w:fldChar w:fldCharType="begin"/>
          </w:r>
          <w:r>
            <w:instrText xml:space="preserve"> PAGEREF _Toc9284 </w:instrText>
          </w:r>
          <w:r>
            <w:fldChar w:fldCharType="separate"/>
          </w:r>
          <w:r>
            <w:t>10</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_Toc4229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1.2调查目的</w:t>
          </w:r>
          <w:r>
            <w:tab/>
          </w:r>
          <w:r>
            <w:fldChar w:fldCharType="begin"/>
          </w:r>
          <w:r>
            <w:instrText xml:space="preserve"> PAGEREF _Toc4229 </w:instrText>
          </w:r>
          <w:r>
            <w:fldChar w:fldCharType="separate"/>
          </w:r>
          <w:r>
            <w:t>10</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_Toc6249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1.3调查方法</w:t>
          </w:r>
          <w:r>
            <w:tab/>
          </w:r>
          <w:r>
            <w:fldChar w:fldCharType="begin"/>
          </w:r>
          <w:r>
            <w:instrText xml:space="preserve"> PAGEREF _Toc6249 </w:instrText>
          </w:r>
          <w:r>
            <w:fldChar w:fldCharType="separate"/>
          </w:r>
          <w:r>
            <w:t>10</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_Toc31093 </w:instrText>
          </w:r>
          <w:r>
            <w:rPr>
              <w:rFonts w:hint="default" w:ascii="仿宋" w:hAnsi="仿宋" w:eastAsia="仿宋" w:cs="仿宋"/>
              <w:szCs w:val="32"/>
              <w:lang w:val="en-US" w:eastAsia="zh-CN"/>
            </w:rPr>
            <w:fldChar w:fldCharType="separate"/>
          </w:r>
          <w:r>
            <w:rPr>
              <w:rFonts w:hint="default" w:ascii="Times New Roman" w:hAnsi="Times New Roman" w:cs="Times New Roman"/>
              <w:szCs w:val="24"/>
              <w:lang w:val="en-US" w:eastAsia="zh-CN"/>
            </w:rPr>
            <w:t>1.4调查范围及因子</w:t>
          </w:r>
          <w:r>
            <w:tab/>
          </w:r>
          <w:r>
            <w:fldChar w:fldCharType="begin"/>
          </w:r>
          <w:r>
            <w:instrText xml:space="preserve"> PAGEREF _Toc31093 </w:instrText>
          </w:r>
          <w:r>
            <w:fldChar w:fldCharType="separate"/>
          </w:r>
          <w:r>
            <w:t>11</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_Toc4120 </w:instrText>
          </w:r>
          <w:r>
            <w:rPr>
              <w:rFonts w:hint="default" w:ascii="仿宋" w:hAnsi="仿宋" w:eastAsia="仿宋" w:cs="仿宋"/>
              <w:szCs w:val="32"/>
              <w:lang w:val="en-US" w:eastAsia="zh-CN"/>
            </w:rPr>
            <w:fldChar w:fldCharType="separate"/>
          </w:r>
          <w:r>
            <w:rPr>
              <w:rFonts w:hint="default" w:ascii="Times New Roman" w:hAnsi="Times New Roman" w:cs="Times New Roman"/>
              <w:szCs w:val="24"/>
              <w:lang w:val="en-US" w:eastAsia="zh-CN"/>
            </w:rPr>
            <w:t>1.4.1</w:t>
          </w:r>
          <w:r>
            <w:rPr>
              <w:rFonts w:hint="eastAsia" w:ascii="Times New Roman" w:hAnsi="Times New Roman" w:cs="Times New Roman"/>
              <w:szCs w:val="24"/>
              <w:lang w:val="en-US" w:eastAsia="zh-CN"/>
            </w:rPr>
            <w:t>调查范围</w:t>
          </w:r>
          <w:r>
            <w:tab/>
          </w:r>
          <w:r>
            <w:fldChar w:fldCharType="begin"/>
          </w:r>
          <w:r>
            <w:instrText xml:space="preserve"> PAGEREF _Toc4120 </w:instrText>
          </w:r>
          <w:r>
            <w:fldChar w:fldCharType="separate"/>
          </w:r>
          <w:r>
            <w:t>11</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_Toc29451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1.4.2调查因子</w:t>
          </w:r>
          <w:r>
            <w:tab/>
          </w:r>
          <w:r>
            <w:fldChar w:fldCharType="begin"/>
          </w:r>
          <w:r>
            <w:instrText xml:space="preserve"> PAGEREF _Toc29451 </w:instrText>
          </w:r>
          <w:r>
            <w:fldChar w:fldCharType="separate"/>
          </w:r>
          <w:r>
            <w:t>12</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_Toc6419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1.5验收标准</w:t>
          </w:r>
          <w:r>
            <w:tab/>
          </w:r>
          <w:r>
            <w:fldChar w:fldCharType="begin"/>
          </w:r>
          <w:r>
            <w:instrText xml:space="preserve"> PAGEREF _Toc6419 </w:instrText>
          </w:r>
          <w:r>
            <w:fldChar w:fldCharType="separate"/>
          </w:r>
          <w:r>
            <w:t>12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_Toc12293 </w:instrText>
          </w:r>
          <w:r>
            <w:rPr>
              <w:rFonts w:hint="default" w:ascii="仿宋" w:hAnsi="仿宋" w:eastAsia="仿宋" w:cs="仿宋"/>
              <w:szCs w:val="32"/>
              <w:lang w:val="en-US" w:eastAsia="zh-CN"/>
            </w:rPr>
            <w:fldChar w:fldCharType="separate"/>
          </w:r>
          <w:r>
            <w:rPr>
              <w:rFonts w:hint="default" w:ascii="Times New Roman" w:hAnsi="Times New Roman" w:cs="Times New Roman"/>
              <w:szCs w:val="24"/>
              <w:lang w:val="en-US" w:eastAsia="zh-CN"/>
            </w:rPr>
            <w:t>1.5.1</w:t>
          </w:r>
          <w:r>
            <w:rPr>
              <w:rFonts w:hint="eastAsia" w:ascii="Times New Roman" w:hAnsi="Times New Roman" w:cs="Times New Roman"/>
              <w:szCs w:val="24"/>
              <w:lang w:val="en-US" w:eastAsia="zh-CN"/>
            </w:rPr>
            <w:t>环境质量标准</w:t>
          </w:r>
          <w:r>
            <w:tab/>
          </w:r>
          <w:r>
            <w:fldChar w:fldCharType="begin"/>
          </w:r>
          <w:r>
            <w:instrText xml:space="preserve"> PAGEREF _Toc12293 </w:instrText>
          </w:r>
          <w:r>
            <w:fldChar w:fldCharType="separate"/>
          </w:r>
          <w:r>
            <w:t>12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_Toc12031 </w:instrText>
          </w:r>
          <w:r>
            <w:rPr>
              <w:rFonts w:hint="default" w:ascii="仿宋" w:hAnsi="仿宋" w:eastAsia="仿宋" w:cs="仿宋"/>
              <w:szCs w:val="32"/>
              <w:lang w:val="en-US" w:eastAsia="zh-CN"/>
            </w:rPr>
            <w:fldChar w:fldCharType="separate"/>
          </w:r>
          <w:r>
            <w:rPr>
              <w:rFonts w:hint="eastAsia" w:ascii="Times New Roman" w:hAnsi="Times New Roman" w:cs="Times New Roman"/>
              <w:szCs w:val="24"/>
              <w:lang w:val="en-US" w:eastAsia="zh-CN"/>
            </w:rPr>
            <w:t>1.5.2污染物排放标准</w:t>
          </w:r>
          <w:r>
            <w:tab/>
          </w:r>
          <w:r>
            <w:fldChar w:fldCharType="begin"/>
          </w:r>
          <w:r>
            <w:instrText xml:space="preserve"> PAGEREF _Toc12031 </w:instrText>
          </w:r>
          <w:r>
            <w:fldChar w:fldCharType="separate"/>
          </w:r>
          <w:r>
            <w:t>13</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_Toc2516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1.6保护目标及调查重点</w:t>
          </w:r>
          <w:r>
            <w:tab/>
          </w:r>
          <w:r>
            <w:fldChar w:fldCharType="begin"/>
          </w:r>
          <w:r>
            <w:instrText xml:space="preserve"> PAGEREF _Toc2516 </w:instrText>
          </w:r>
          <w:r>
            <w:fldChar w:fldCharType="separate"/>
          </w:r>
          <w:r>
            <w:t>14</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_Toc18556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1.6.1生态环境保护目标</w:t>
          </w:r>
          <w:r>
            <w:tab/>
          </w:r>
          <w:r>
            <w:fldChar w:fldCharType="begin"/>
          </w:r>
          <w:r>
            <w:instrText xml:space="preserve"> PAGEREF _Toc18556 </w:instrText>
          </w:r>
          <w:r>
            <w:fldChar w:fldCharType="separate"/>
          </w:r>
          <w:r>
            <w:t>14</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_Toc23484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1.6.2环境空气及声环境保护目标</w:t>
          </w:r>
          <w:r>
            <w:tab/>
          </w:r>
          <w:r>
            <w:fldChar w:fldCharType="begin"/>
          </w:r>
          <w:r>
            <w:instrText xml:space="preserve"> PAGEREF _Toc23484 </w:instrText>
          </w:r>
          <w:r>
            <w:fldChar w:fldCharType="separate"/>
          </w:r>
          <w:r>
            <w:t>14</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_Toc15936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1.6.3水环境保护目标</w:t>
          </w:r>
          <w:r>
            <w:tab/>
          </w:r>
          <w:r>
            <w:fldChar w:fldCharType="begin"/>
          </w:r>
          <w:r>
            <w:instrText xml:space="preserve"> PAGEREF _Toc15936 </w:instrText>
          </w:r>
          <w:r>
            <w:fldChar w:fldCharType="separate"/>
          </w:r>
          <w:r>
            <w:t>15</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_Toc25628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2 工程概况</w:t>
          </w:r>
          <w:r>
            <w:tab/>
          </w:r>
          <w:r>
            <w:fldChar w:fldCharType="begin"/>
          </w:r>
          <w:r>
            <w:instrText xml:space="preserve"> PAGEREF _Toc25628 </w:instrText>
          </w:r>
          <w:r>
            <w:fldChar w:fldCharType="separate"/>
          </w:r>
          <w:r>
            <w:t>16</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_Toc25535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2.1地理位置及路线走向</w:t>
          </w:r>
          <w:r>
            <w:tab/>
          </w:r>
          <w:r>
            <w:fldChar w:fldCharType="begin"/>
          </w:r>
          <w:r>
            <w:instrText xml:space="preserve"> PAGEREF _Toc25535 </w:instrText>
          </w:r>
          <w:r>
            <w:fldChar w:fldCharType="separate"/>
          </w:r>
          <w:r>
            <w:t>16</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_Toc17627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2.2项目建设过程</w:t>
          </w:r>
          <w:r>
            <w:tab/>
          </w:r>
          <w:r>
            <w:fldChar w:fldCharType="begin"/>
          </w:r>
          <w:r>
            <w:instrText xml:space="preserve"> PAGEREF _Toc17627 </w:instrText>
          </w:r>
          <w:r>
            <w:fldChar w:fldCharType="separate"/>
          </w:r>
          <w:r>
            <w:t>16</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_Toc9834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2.3建设内容</w:t>
          </w:r>
          <w:r>
            <w:tab/>
          </w:r>
          <w:r>
            <w:fldChar w:fldCharType="begin"/>
          </w:r>
          <w:r>
            <w:instrText xml:space="preserve"> PAGEREF _Toc9834 </w:instrText>
          </w:r>
          <w:r>
            <w:fldChar w:fldCharType="separate"/>
          </w:r>
          <w:r>
            <w:t>18</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_Toc17478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2.3.1建设规模及主要技术指标</w:t>
          </w:r>
          <w:r>
            <w:tab/>
          </w:r>
          <w:r>
            <w:fldChar w:fldCharType="begin"/>
          </w:r>
          <w:r>
            <w:instrText xml:space="preserve"> PAGEREF _Toc17478 </w:instrText>
          </w:r>
          <w:r>
            <w:fldChar w:fldCharType="separate"/>
          </w:r>
          <w:r>
            <w:t>18</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_Toc28554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2.3.2项目工程量</w:t>
          </w:r>
          <w:r>
            <w:tab/>
          </w:r>
          <w:r>
            <w:fldChar w:fldCharType="begin"/>
          </w:r>
          <w:r>
            <w:instrText xml:space="preserve"> PAGEREF _Toc28554 </w:instrText>
          </w:r>
          <w:r>
            <w:fldChar w:fldCharType="separate"/>
          </w:r>
          <w:r>
            <w:t>20</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_Toc14824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2.3.3项目变更情况</w:t>
          </w:r>
          <w:r>
            <w:tab/>
          </w:r>
          <w:r>
            <w:fldChar w:fldCharType="begin"/>
          </w:r>
          <w:r>
            <w:instrText xml:space="preserve"> PAGEREF _Toc14824 </w:instrText>
          </w:r>
          <w:r>
            <w:fldChar w:fldCharType="separate"/>
          </w:r>
          <w:r>
            <w:t>20</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_Toc9787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2.4 环保投资</w:t>
          </w:r>
          <w:r>
            <w:tab/>
          </w:r>
          <w:r>
            <w:fldChar w:fldCharType="begin"/>
          </w:r>
          <w:r>
            <w:instrText xml:space="preserve"> PAGEREF _Toc9787 </w:instrText>
          </w:r>
          <w:r>
            <w:fldChar w:fldCharType="separate"/>
          </w:r>
          <w:r>
            <w:t>20</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_Toc12072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3 环境影响评价报告回顾</w:t>
          </w:r>
          <w:r>
            <w:tab/>
          </w:r>
          <w:r>
            <w:fldChar w:fldCharType="begin"/>
          </w:r>
          <w:r>
            <w:instrText xml:space="preserve"> PAGEREF _Toc12072 </w:instrText>
          </w:r>
          <w:r>
            <w:fldChar w:fldCharType="separate"/>
          </w:r>
          <w:r>
            <w:t>22</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_Toc23073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3.1环境影响影响评价报告的主要结论</w:t>
          </w:r>
          <w:r>
            <w:tab/>
          </w:r>
          <w:r>
            <w:fldChar w:fldCharType="begin"/>
          </w:r>
          <w:r>
            <w:instrText xml:space="preserve"> PAGEREF _Toc23073 </w:instrText>
          </w:r>
          <w:r>
            <w:fldChar w:fldCharType="separate"/>
          </w:r>
          <w:r>
            <w:t>22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_Toc14756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3.1.1工程概况</w:t>
          </w:r>
          <w:r>
            <w:tab/>
          </w:r>
          <w:r>
            <w:fldChar w:fldCharType="begin"/>
          </w:r>
          <w:r>
            <w:instrText xml:space="preserve"> PAGEREF _Toc14756 </w:instrText>
          </w:r>
          <w:r>
            <w:fldChar w:fldCharType="separate"/>
          </w:r>
          <w:r>
            <w:t>22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_Toc9409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3.1.2与城市规划的符合性</w:t>
          </w:r>
          <w:r>
            <w:tab/>
          </w:r>
          <w:r>
            <w:fldChar w:fldCharType="begin"/>
          </w:r>
          <w:r>
            <w:instrText xml:space="preserve"> PAGEREF _Toc9409 </w:instrText>
          </w:r>
          <w:r>
            <w:fldChar w:fldCharType="separate"/>
          </w:r>
          <w:r>
            <w:t>22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_Toc1450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3.1.3环境现状评价结论</w:t>
          </w:r>
          <w:r>
            <w:tab/>
          </w:r>
          <w:r>
            <w:fldChar w:fldCharType="begin"/>
          </w:r>
          <w:r>
            <w:instrText xml:space="preserve"> PAGEREF _Toc1450 </w:instrText>
          </w:r>
          <w:r>
            <w:fldChar w:fldCharType="separate"/>
          </w:r>
          <w:r>
            <w:t>23</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_Toc32422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3.1.4环境影响预测与评价</w:t>
          </w:r>
          <w:r>
            <w:tab/>
          </w:r>
          <w:r>
            <w:fldChar w:fldCharType="begin"/>
          </w:r>
          <w:r>
            <w:instrText xml:space="preserve"> PAGEREF _Toc32422 </w:instrText>
          </w:r>
          <w:r>
            <w:fldChar w:fldCharType="separate"/>
          </w:r>
          <w:r>
            <w:t>24</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_Toc31038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3.1.5环境风险</w:t>
          </w:r>
          <w:r>
            <w:tab/>
          </w:r>
          <w:r>
            <w:fldChar w:fldCharType="begin"/>
          </w:r>
          <w:r>
            <w:instrText xml:space="preserve"> PAGEREF _Toc31038 </w:instrText>
          </w:r>
          <w:r>
            <w:fldChar w:fldCharType="separate"/>
          </w:r>
          <w:r>
            <w:t>29</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_Toc28351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3.1.6主要环境保护措施</w:t>
          </w:r>
          <w:r>
            <w:tab/>
          </w:r>
          <w:r>
            <w:fldChar w:fldCharType="begin"/>
          </w:r>
          <w:r>
            <w:instrText xml:space="preserve"> PAGEREF _Toc28351 </w:instrText>
          </w:r>
          <w:r>
            <w:fldChar w:fldCharType="separate"/>
          </w:r>
          <w:r>
            <w:t>29</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_Toc23695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3.1.7公众参与</w:t>
          </w:r>
          <w:r>
            <w:tab/>
          </w:r>
          <w:r>
            <w:fldChar w:fldCharType="begin"/>
          </w:r>
          <w:r>
            <w:instrText xml:space="preserve"> PAGEREF _Toc23695 </w:instrText>
          </w:r>
          <w:r>
            <w:fldChar w:fldCharType="separate"/>
          </w:r>
          <w:r>
            <w:t>32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_Toc28055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3.1.9总结论</w:t>
          </w:r>
          <w:r>
            <w:tab/>
          </w:r>
          <w:r>
            <w:fldChar w:fldCharType="begin"/>
          </w:r>
          <w:r>
            <w:instrText xml:space="preserve"> PAGEREF _Toc28055 </w:instrText>
          </w:r>
          <w:r>
            <w:fldChar w:fldCharType="separate"/>
          </w:r>
          <w:r>
            <w:t>32</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_Toc6854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3.2环境影响评价报告建议</w:t>
          </w:r>
          <w:r>
            <w:tab/>
          </w:r>
          <w:r>
            <w:fldChar w:fldCharType="begin"/>
          </w:r>
          <w:r>
            <w:instrText xml:space="preserve"> PAGEREF _Toc6854 </w:instrText>
          </w:r>
          <w:r>
            <w:fldChar w:fldCharType="separate"/>
          </w:r>
          <w:r>
            <w:t>32</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_Toc25426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3.3环境影响评价报告批复</w:t>
          </w:r>
          <w:r>
            <w:tab/>
          </w:r>
          <w:r>
            <w:fldChar w:fldCharType="begin"/>
          </w:r>
          <w:r>
            <w:instrText xml:space="preserve"> PAGEREF _Toc25426 </w:instrText>
          </w:r>
          <w:r>
            <w:fldChar w:fldCharType="separate"/>
          </w:r>
          <w:r>
            <w:t>32</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_Toc1682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4 环保措施落实情况</w:t>
          </w:r>
          <w:r>
            <w:tab/>
          </w:r>
          <w:r>
            <w:fldChar w:fldCharType="begin"/>
          </w:r>
          <w:r>
            <w:instrText xml:space="preserve"> PAGEREF _Toc1682 </w:instrText>
          </w:r>
          <w:r>
            <w:fldChar w:fldCharType="separate"/>
          </w:r>
          <w:r>
            <w:t>34</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_Toc7832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5 施工期环境影响调查</w:t>
          </w:r>
          <w:r>
            <w:tab/>
          </w:r>
          <w:r>
            <w:fldChar w:fldCharType="begin"/>
          </w:r>
          <w:r>
            <w:instrText xml:space="preserve"> PAGEREF _Toc7832 </w:instrText>
          </w:r>
          <w:r>
            <w:fldChar w:fldCharType="separate"/>
          </w:r>
          <w:r>
            <w:t>38</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_Toc10212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val="0"/>
              <w:szCs w:val="24"/>
              <w:lang w:val="en-US" w:eastAsia="zh-CN"/>
            </w:rPr>
            <w:t>5.1生态环境</w:t>
          </w:r>
          <w:r>
            <w:tab/>
          </w:r>
          <w:r>
            <w:fldChar w:fldCharType="begin"/>
          </w:r>
          <w:r>
            <w:instrText xml:space="preserve"> PAGEREF _Toc10212 </w:instrText>
          </w:r>
          <w:r>
            <w:fldChar w:fldCharType="separate"/>
          </w:r>
          <w:r>
            <w:t>38</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_Toc21460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val="0"/>
              <w:szCs w:val="24"/>
              <w:lang w:val="en-US" w:eastAsia="zh-CN"/>
            </w:rPr>
            <w:t>5.2水环境</w:t>
          </w:r>
          <w:r>
            <w:tab/>
          </w:r>
          <w:r>
            <w:fldChar w:fldCharType="begin"/>
          </w:r>
          <w:r>
            <w:instrText xml:space="preserve"> PAGEREF _Toc21460 </w:instrText>
          </w:r>
          <w:r>
            <w:fldChar w:fldCharType="separate"/>
          </w:r>
          <w:r>
            <w:t>38</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_Toc1205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5.3环境空气</w:t>
          </w:r>
          <w:r>
            <w:tab/>
          </w:r>
          <w:r>
            <w:fldChar w:fldCharType="begin"/>
          </w:r>
          <w:r>
            <w:instrText xml:space="preserve"> PAGEREF _Toc1205 </w:instrText>
          </w:r>
          <w:r>
            <w:fldChar w:fldCharType="separate"/>
          </w:r>
          <w:r>
            <w:t>39</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_Toc28531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5.4声环境</w:t>
          </w:r>
          <w:r>
            <w:tab/>
          </w:r>
          <w:r>
            <w:fldChar w:fldCharType="begin"/>
          </w:r>
          <w:r>
            <w:instrText xml:space="preserve"> PAGEREF _Toc28531 </w:instrText>
          </w:r>
          <w:r>
            <w:fldChar w:fldCharType="separate"/>
          </w:r>
          <w:r>
            <w:t>39</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_Toc9418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5.5固体废物</w:t>
          </w:r>
          <w:r>
            <w:tab/>
          </w:r>
          <w:r>
            <w:fldChar w:fldCharType="begin"/>
          </w:r>
          <w:r>
            <w:instrText xml:space="preserve"> PAGEREF _Toc9418 </w:instrText>
          </w:r>
          <w:r>
            <w:fldChar w:fldCharType="separate"/>
          </w:r>
          <w:r>
            <w:t>39</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_Toc6913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5.6小结</w:t>
          </w:r>
          <w:r>
            <w:tab/>
          </w:r>
          <w:r>
            <w:fldChar w:fldCharType="begin"/>
          </w:r>
          <w:r>
            <w:instrText xml:space="preserve"> PAGEREF _Toc6913 </w:instrText>
          </w:r>
          <w:r>
            <w:fldChar w:fldCharType="separate"/>
          </w:r>
          <w:r>
            <w:t>40</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_Toc20694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6 运营期环境影响调查</w:t>
          </w:r>
          <w:r>
            <w:tab/>
          </w:r>
          <w:r>
            <w:fldChar w:fldCharType="begin"/>
          </w:r>
          <w:r>
            <w:instrText xml:space="preserve"> PAGEREF _Toc20694 </w:instrText>
          </w:r>
          <w:r>
            <w:fldChar w:fldCharType="separate"/>
          </w:r>
          <w:r>
            <w:t>40</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_Toc5213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6.1生态环境</w:t>
          </w:r>
          <w:r>
            <w:tab/>
          </w:r>
          <w:r>
            <w:fldChar w:fldCharType="begin"/>
          </w:r>
          <w:r>
            <w:instrText xml:space="preserve"> PAGEREF _Toc5213 </w:instrText>
          </w:r>
          <w:r>
            <w:fldChar w:fldCharType="separate"/>
          </w:r>
          <w:r>
            <w:t>40</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_Toc20327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6.1.1工程占地</w:t>
          </w:r>
          <w:r>
            <w:tab/>
          </w:r>
          <w:r>
            <w:fldChar w:fldCharType="begin"/>
          </w:r>
          <w:r>
            <w:instrText xml:space="preserve"> PAGEREF _Toc20327 </w:instrText>
          </w:r>
          <w:r>
            <w:fldChar w:fldCharType="separate"/>
          </w:r>
          <w:r>
            <w:t>40</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_Toc12120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vertAlign w:val="baseline"/>
              <w:lang w:val="en-US" w:eastAsia="zh-CN"/>
            </w:rPr>
            <w:t>6.1.2土石方</w:t>
          </w:r>
          <w:r>
            <w:tab/>
          </w:r>
          <w:r>
            <w:fldChar w:fldCharType="begin"/>
          </w:r>
          <w:r>
            <w:instrText xml:space="preserve"> PAGEREF _Toc12120 </w:instrText>
          </w:r>
          <w:r>
            <w:fldChar w:fldCharType="separate"/>
          </w:r>
          <w:r>
            <w:t>40</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_Toc13955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6.1.3取、弃土场</w:t>
          </w:r>
          <w:r>
            <w:tab/>
          </w:r>
          <w:r>
            <w:fldChar w:fldCharType="begin"/>
          </w:r>
          <w:r>
            <w:instrText xml:space="preserve"> PAGEREF _Toc13955 </w:instrText>
          </w:r>
          <w:r>
            <w:fldChar w:fldCharType="separate"/>
          </w:r>
          <w:r>
            <w:t>40</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_Toc23931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6.1.4水土保持</w:t>
          </w:r>
          <w:r>
            <w:tab/>
          </w:r>
          <w:r>
            <w:fldChar w:fldCharType="begin"/>
          </w:r>
          <w:r>
            <w:instrText xml:space="preserve"> PAGEREF _Toc23931 </w:instrText>
          </w:r>
          <w:r>
            <w:fldChar w:fldCharType="separate"/>
          </w:r>
          <w:r>
            <w:t>41</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_Toc24286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6.1.5绿化与景观</w:t>
          </w:r>
          <w:r>
            <w:tab/>
          </w:r>
          <w:r>
            <w:fldChar w:fldCharType="begin"/>
          </w:r>
          <w:r>
            <w:instrText xml:space="preserve"> PAGEREF _Toc24286 </w:instrText>
          </w:r>
          <w:r>
            <w:fldChar w:fldCharType="separate"/>
          </w:r>
          <w:r>
            <w:t>41</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_Toc13508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6.2环境空气及噪声环境</w:t>
          </w:r>
          <w:r>
            <w:tab/>
          </w:r>
          <w:r>
            <w:fldChar w:fldCharType="begin"/>
          </w:r>
          <w:r>
            <w:instrText xml:space="preserve"> PAGEREF _Toc13508 </w:instrText>
          </w:r>
          <w:r>
            <w:fldChar w:fldCharType="separate"/>
          </w:r>
          <w:r>
            <w:t>41</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_Toc11791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6.2.1敏感点调查</w:t>
          </w:r>
          <w:r>
            <w:tab/>
          </w:r>
          <w:r>
            <w:fldChar w:fldCharType="begin"/>
          </w:r>
          <w:r>
            <w:instrText xml:space="preserve"> PAGEREF _Toc11791 </w:instrText>
          </w:r>
          <w:r>
            <w:fldChar w:fldCharType="separate"/>
          </w:r>
          <w:r>
            <w:t>41</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_Toc30116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6.2.2现状监测内容</w:t>
          </w:r>
          <w:r>
            <w:tab/>
          </w:r>
          <w:r>
            <w:fldChar w:fldCharType="begin"/>
          </w:r>
          <w:r>
            <w:instrText xml:space="preserve"> PAGEREF _Toc30116 </w:instrText>
          </w:r>
          <w:r>
            <w:fldChar w:fldCharType="separate"/>
          </w:r>
          <w:r>
            <w:t>41</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_Toc22326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6.2.3监测结果</w:t>
          </w:r>
          <w:r>
            <w:tab/>
          </w:r>
          <w:r>
            <w:fldChar w:fldCharType="begin"/>
          </w:r>
          <w:r>
            <w:instrText xml:space="preserve"> PAGEREF _Toc22326 </w:instrText>
          </w:r>
          <w:r>
            <w:fldChar w:fldCharType="separate"/>
          </w:r>
          <w:r>
            <w:t>42</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_Toc20860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6.3水环境</w:t>
          </w:r>
          <w:r>
            <w:tab/>
          </w:r>
          <w:r>
            <w:fldChar w:fldCharType="begin"/>
          </w:r>
          <w:r>
            <w:instrText xml:space="preserve"> PAGEREF _Toc20860 </w:instrText>
          </w:r>
          <w:r>
            <w:fldChar w:fldCharType="separate"/>
          </w:r>
          <w:r>
            <w:t>45</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_Toc28133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6.3.1水环境污染源调查</w:t>
          </w:r>
          <w:r>
            <w:tab/>
          </w:r>
          <w:r>
            <w:fldChar w:fldCharType="begin"/>
          </w:r>
          <w:r>
            <w:instrText xml:space="preserve"> PAGEREF _Toc28133 </w:instrText>
          </w:r>
          <w:r>
            <w:fldChar w:fldCharType="separate"/>
          </w:r>
          <w:r>
            <w:t>45</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_Toc32361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6.3.2监测内容</w:t>
          </w:r>
          <w:r>
            <w:tab/>
          </w:r>
          <w:r>
            <w:fldChar w:fldCharType="begin"/>
          </w:r>
          <w:r>
            <w:instrText xml:space="preserve"> PAGEREF _Toc32361 </w:instrText>
          </w:r>
          <w:r>
            <w:fldChar w:fldCharType="separate"/>
          </w:r>
          <w:r>
            <w:t>45</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_Toc17747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6.3.3监测结果</w:t>
          </w:r>
          <w:r>
            <w:tab/>
          </w:r>
          <w:r>
            <w:fldChar w:fldCharType="begin"/>
          </w:r>
          <w:r>
            <w:instrText xml:space="preserve"> PAGEREF _Toc17747 </w:instrText>
          </w:r>
          <w:r>
            <w:fldChar w:fldCharType="separate"/>
          </w:r>
          <w:r>
            <w:t>45</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_Toc18984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6.3固体废物</w:t>
          </w:r>
          <w:r>
            <w:tab/>
          </w:r>
          <w:r>
            <w:fldChar w:fldCharType="begin"/>
          </w:r>
          <w:r>
            <w:instrText xml:space="preserve"> PAGEREF _Toc18984 </w:instrText>
          </w:r>
          <w:r>
            <w:fldChar w:fldCharType="separate"/>
          </w:r>
          <w:r>
            <w:t>46</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_Toc9757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7 环境管理与监测计划的落实</w:t>
          </w:r>
          <w:r>
            <w:tab/>
          </w:r>
          <w:r>
            <w:fldChar w:fldCharType="begin"/>
          </w:r>
          <w:r>
            <w:instrText xml:space="preserve"> PAGEREF _Toc9757 </w:instrText>
          </w:r>
          <w:r>
            <w:fldChar w:fldCharType="separate"/>
          </w:r>
          <w:r>
            <w:t>46</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_Toc11602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7.1环境管理情况</w:t>
          </w:r>
          <w:r>
            <w:tab/>
          </w:r>
          <w:r>
            <w:fldChar w:fldCharType="begin"/>
          </w:r>
          <w:r>
            <w:instrText xml:space="preserve"> PAGEREF _Toc11602 </w:instrText>
          </w:r>
          <w:r>
            <w:fldChar w:fldCharType="separate"/>
          </w:r>
          <w:r>
            <w:t>46</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_Toc30501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7.1.1施工期环境管理</w:t>
          </w:r>
          <w:r>
            <w:tab/>
          </w:r>
          <w:r>
            <w:fldChar w:fldCharType="begin"/>
          </w:r>
          <w:r>
            <w:instrText xml:space="preserve"> PAGEREF _Toc30501 </w:instrText>
          </w:r>
          <w:r>
            <w:fldChar w:fldCharType="separate"/>
          </w:r>
          <w:r>
            <w:t>47</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_Toc10565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7.1.2运营期环境管理</w:t>
          </w:r>
          <w:r>
            <w:tab/>
          </w:r>
          <w:r>
            <w:fldChar w:fldCharType="begin"/>
          </w:r>
          <w:r>
            <w:instrText xml:space="preserve"> PAGEREF _Toc10565 </w:instrText>
          </w:r>
          <w:r>
            <w:fldChar w:fldCharType="separate"/>
          </w:r>
          <w:r>
            <w:t>47</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_Toc6733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7.1.3建议</w:t>
          </w:r>
          <w:r>
            <w:tab/>
          </w:r>
          <w:r>
            <w:fldChar w:fldCharType="begin"/>
          </w:r>
          <w:r>
            <w:instrText xml:space="preserve"> PAGEREF _Toc6733 </w:instrText>
          </w:r>
          <w:r>
            <w:fldChar w:fldCharType="separate"/>
          </w:r>
          <w:r>
            <w:t>47</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_Toc20075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7.2监测计划的落实</w:t>
          </w:r>
          <w:r>
            <w:tab/>
          </w:r>
          <w:r>
            <w:fldChar w:fldCharType="begin"/>
          </w:r>
          <w:r>
            <w:instrText xml:space="preserve"> PAGEREF _Toc20075 </w:instrText>
          </w:r>
          <w:r>
            <w:fldChar w:fldCharType="separate"/>
          </w:r>
          <w:r>
            <w:t>47</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_Toc1055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8 公众意见调查</w:t>
          </w:r>
          <w:r>
            <w:tab/>
          </w:r>
          <w:r>
            <w:fldChar w:fldCharType="begin"/>
          </w:r>
          <w:r>
            <w:instrText xml:space="preserve"> PAGEREF _Toc1055 </w:instrText>
          </w:r>
          <w:r>
            <w:fldChar w:fldCharType="separate"/>
          </w:r>
          <w:r>
            <w:t>49</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_Toc30154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8.1调查的目的、对象、方法</w:t>
          </w:r>
          <w:r>
            <w:tab/>
          </w:r>
          <w:r>
            <w:fldChar w:fldCharType="begin"/>
          </w:r>
          <w:r>
            <w:instrText xml:space="preserve"> PAGEREF _Toc30154 </w:instrText>
          </w:r>
          <w:r>
            <w:fldChar w:fldCharType="separate"/>
          </w:r>
          <w:r>
            <w:t>49</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_Toc3490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8.1.1调查的目的</w:t>
          </w:r>
          <w:r>
            <w:tab/>
          </w:r>
          <w:r>
            <w:fldChar w:fldCharType="begin"/>
          </w:r>
          <w:r>
            <w:instrText xml:space="preserve"> PAGEREF _Toc3490 </w:instrText>
          </w:r>
          <w:r>
            <w:fldChar w:fldCharType="separate"/>
          </w:r>
          <w:r>
            <w:t>49</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_Toc20479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8.1.2调查的对象</w:t>
          </w:r>
          <w:r>
            <w:tab/>
          </w:r>
          <w:r>
            <w:fldChar w:fldCharType="begin"/>
          </w:r>
          <w:r>
            <w:instrText xml:space="preserve"> PAGEREF _Toc20479 </w:instrText>
          </w:r>
          <w:r>
            <w:fldChar w:fldCharType="separate"/>
          </w:r>
          <w:r>
            <w:t>49</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_Toc14827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8.1.3调查的方式</w:t>
          </w:r>
          <w:r>
            <w:tab/>
          </w:r>
          <w:r>
            <w:fldChar w:fldCharType="begin"/>
          </w:r>
          <w:r>
            <w:instrText xml:space="preserve"> PAGEREF _Toc14827 </w:instrText>
          </w:r>
          <w:r>
            <w:fldChar w:fldCharType="separate"/>
          </w:r>
          <w:r>
            <w:t>49</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_Toc15628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8.2调查结果</w:t>
          </w:r>
          <w:r>
            <w:tab/>
          </w:r>
          <w:r>
            <w:fldChar w:fldCharType="begin"/>
          </w:r>
          <w:r>
            <w:instrText xml:space="preserve"> PAGEREF _Toc15628 </w:instrText>
          </w:r>
          <w:r>
            <w:fldChar w:fldCharType="separate"/>
          </w:r>
          <w:r>
            <w:t>49</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_Toc13615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9 风险事故防范与应急措施调查</w:t>
          </w:r>
          <w:r>
            <w:tab/>
          </w:r>
          <w:r>
            <w:fldChar w:fldCharType="begin"/>
          </w:r>
          <w:r>
            <w:instrText xml:space="preserve"> PAGEREF _Toc13615 </w:instrText>
          </w:r>
          <w:r>
            <w:fldChar w:fldCharType="separate"/>
          </w:r>
          <w:r>
            <w:t>50</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_Toc15268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9.1风险因素调查</w:t>
          </w:r>
          <w:r>
            <w:tab/>
          </w:r>
          <w:r>
            <w:fldChar w:fldCharType="begin"/>
          </w:r>
          <w:r>
            <w:instrText xml:space="preserve"> PAGEREF _Toc15268 </w:instrText>
          </w:r>
          <w:r>
            <w:fldChar w:fldCharType="separate"/>
          </w:r>
          <w:r>
            <w:t>50</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_Toc16732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9.2风险防范与预防措施</w:t>
          </w:r>
          <w:r>
            <w:tab/>
          </w:r>
          <w:r>
            <w:fldChar w:fldCharType="begin"/>
          </w:r>
          <w:r>
            <w:instrText xml:space="preserve"> PAGEREF _Toc16732 </w:instrText>
          </w:r>
          <w:r>
            <w:fldChar w:fldCharType="separate"/>
          </w:r>
          <w:r>
            <w:t>50</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_Toc29663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9.2.1主要预防措施</w:t>
          </w:r>
          <w:r>
            <w:tab/>
          </w:r>
          <w:r>
            <w:fldChar w:fldCharType="begin"/>
          </w:r>
          <w:r>
            <w:instrText xml:space="preserve"> PAGEREF _Toc29663 </w:instrText>
          </w:r>
          <w:r>
            <w:fldChar w:fldCharType="separate"/>
          </w:r>
          <w:r>
            <w:t>50</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_Toc9348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9.2.2</w:t>
          </w:r>
          <w:r>
            <w:rPr>
              <w:rFonts w:hint="default" w:ascii="Times New Roman" w:hAnsi="Times New Roman" w:eastAsia="宋体" w:cs="Times New Roman"/>
              <w:szCs w:val="24"/>
              <w:lang w:val="en-US" w:eastAsia="zh-CN"/>
            </w:rPr>
            <w:t>主要应急措施</w:t>
          </w:r>
          <w:r>
            <w:tab/>
          </w:r>
          <w:r>
            <w:fldChar w:fldCharType="begin"/>
          </w:r>
          <w:r>
            <w:instrText xml:space="preserve"> PAGEREF _Toc9348 </w:instrText>
          </w:r>
          <w:r>
            <w:fldChar w:fldCharType="separate"/>
          </w:r>
          <w:r>
            <w:t>51</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_Toc16503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9.2.3应急预案</w:t>
          </w:r>
          <w:r>
            <w:tab/>
          </w:r>
          <w:r>
            <w:fldChar w:fldCharType="begin"/>
          </w:r>
          <w:r>
            <w:instrText xml:space="preserve"> PAGEREF _Toc16503 </w:instrText>
          </w:r>
          <w:r>
            <w:fldChar w:fldCharType="separate"/>
          </w:r>
          <w:r>
            <w:t>53</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_Toc4004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10 调查结论及建议</w:t>
          </w:r>
          <w:r>
            <w:tab/>
          </w:r>
          <w:r>
            <w:fldChar w:fldCharType="begin"/>
          </w:r>
          <w:r>
            <w:instrText xml:space="preserve"> PAGEREF _Toc4004 </w:instrText>
          </w:r>
          <w:r>
            <w:fldChar w:fldCharType="separate"/>
          </w:r>
          <w:r>
            <w:t>54</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_Toc29438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10.1调查结论</w:t>
          </w:r>
          <w:r>
            <w:tab/>
          </w:r>
          <w:r>
            <w:fldChar w:fldCharType="begin"/>
          </w:r>
          <w:r>
            <w:instrText xml:space="preserve"> PAGEREF _Toc29438 </w:instrText>
          </w:r>
          <w:r>
            <w:fldChar w:fldCharType="separate"/>
          </w:r>
          <w:r>
            <w:t>54</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_Toc26755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10.1.1工程概况</w:t>
          </w:r>
          <w:r>
            <w:tab/>
          </w:r>
          <w:r>
            <w:fldChar w:fldCharType="begin"/>
          </w:r>
          <w:r>
            <w:instrText xml:space="preserve"> PAGEREF _Toc26755 </w:instrText>
          </w:r>
          <w:r>
            <w:fldChar w:fldCharType="separate"/>
          </w:r>
          <w:r>
            <w:t>54</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_Toc12969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10.1.2环保措施落实情况</w:t>
          </w:r>
          <w:r>
            <w:tab/>
          </w:r>
          <w:r>
            <w:fldChar w:fldCharType="begin"/>
          </w:r>
          <w:r>
            <w:instrText xml:space="preserve"> PAGEREF _Toc12969 </w:instrText>
          </w:r>
          <w:r>
            <w:fldChar w:fldCharType="separate"/>
          </w:r>
          <w:r>
            <w:t>54</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_Toc30663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10.1.3生态环境</w:t>
          </w:r>
          <w:r>
            <w:tab/>
          </w:r>
          <w:r>
            <w:fldChar w:fldCharType="begin"/>
          </w:r>
          <w:r>
            <w:instrText xml:space="preserve"> PAGEREF _Toc30663 </w:instrText>
          </w:r>
          <w:r>
            <w:fldChar w:fldCharType="separate"/>
          </w:r>
          <w:r>
            <w:t>54</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_Toc4781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10.1.4水环境</w:t>
          </w:r>
          <w:r>
            <w:tab/>
          </w:r>
          <w:r>
            <w:fldChar w:fldCharType="begin"/>
          </w:r>
          <w:r>
            <w:instrText xml:space="preserve"> PAGEREF _Toc4781 </w:instrText>
          </w:r>
          <w:r>
            <w:fldChar w:fldCharType="separate"/>
          </w:r>
          <w:r>
            <w:t>55</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_Toc17519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10.1.5环境空气</w:t>
          </w:r>
          <w:r>
            <w:tab/>
          </w:r>
          <w:r>
            <w:fldChar w:fldCharType="begin"/>
          </w:r>
          <w:r>
            <w:instrText xml:space="preserve"> PAGEREF _Toc17519 </w:instrText>
          </w:r>
          <w:r>
            <w:fldChar w:fldCharType="separate"/>
          </w:r>
          <w:r>
            <w:t>55</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_Toc9275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10.1.6声环境</w:t>
          </w:r>
          <w:r>
            <w:tab/>
          </w:r>
          <w:r>
            <w:fldChar w:fldCharType="begin"/>
          </w:r>
          <w:r>
            <w:instrText xml:space="preserve"> PAGEREF _Toc9275 </w:instrText>
          </w:r>
          <w:r>
            <w:fldChar w:fldCharType="separate"/>
          </w:r>
          <w:r>
            <w:t>55</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_Toc28751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10.1.7固体废物</w:t>
          </w:r>
          <w:r>
            <w:tab/>
          </w:r>
          <w:r>
            <w:fldChar w:fldCharType="begin"/>
          </w:r>
          <w:r>
            <w:instrText xml:space="preserve"> PAGEREF _Toc28751 </w:instrText>
          </w:r>
          <w:r>
            <w:fldChar w:fldCharType="separate"/>
          </w:r>
          <w:r>
            <w:t>55</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_Toc10652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10.1.8应急预案</w:t>
          </w:r>
          <w:r>
            <w:tab/>
          </w:r>
          <w:r>
            <w:fldChar w:fldCharType="begin"/>
          </w:r>
          <w:r>
            <w:instrText xml:space="preserve"> PAGEREF _Toc10652 </w:instrText>
          </w:r>
          <w:r>
            <w:fldChar w:fldCharType="separate"/>
          </w:r>
          <w:r>
            <w:t>55</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_Toc17734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10.2建议</w:t>
          </w:r>
          <w:r>
            <w:tab/>
          </w:r>
          <w:r>
            <w:fldChar w:fldCharType="begin"/>
          </w:r>
          <w:r>
            <w:instrText xml:space="preserve"> PAGEREF _Toc17734 </w:instrText>
          </w:r>
          <w:r>
            <w:fldChar w:fldCharType="separate"/>
          </w:r>
          <w:r>
            <w:t>56</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_Toc31493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附件一：立项文件批复</w:t>
          </w:r>
          <w:r>
            <w:tab/>
          </w:r>
          <w:r>
            <w:fldChar w:fldCharType="begin"/>
          </w:r>
          <w:r>
            <w:instrText xml:space="preserve"> PAGEREF _Toc31493 </w:instrText>
          </w:r>
          <w:r>
            <w:fldChar w:fldCharType="separate"/>
          </w:r>
          <w:r>
            <w:t>57</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_Toc24898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附件二：初步设计批复文件</w:t>
          </w:r>
          <w:r>
            <w:tab/>
          </w:r>
          <w:r>
            <w:fldChar w:fldCharType="begin"/>
          </w:r>
          <w:r>
            <w:instrText xml:space="preserve"> PAGEREF _Toc24898 </w:instrText>
          </w:r>
          <w:r>
            <w:fldChar w:fldCharType="separate"/>
          </w:r>
          <w:r>
            <w:t>59</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_Toc29455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附件三：环评批复文件</w:t>
          </w:r>
          <w:r>
            <w:tab/>
          </w:r>
          <w:r>
            <w:fldChar w:fldCharType="begin"/>
          </w:r>
          <w:r>
            <w:instrText xml:space="preserve"> PAGEREF _Toc29455 </w:instrText>
          </w:r>
          <w:r>
            <w:fldChar w:fldCharType="separate"/>
          </w:r>
          <w:r>
            <w:t>61</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_Toc8017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附件四：验收监测报告</w:t>
          </w:r>
          <w:r>
            <w:tab/>
          </w:r>
          <w:r>
            <w:fldChar w:fldCharType="begin"/>
          </w:r>
          <w:r>
            <w:instrText xml:space="preserve"> PAGEREF _Toc8017 </w:instrText>
          </w:r>
          <w:r>
            <w:fldChar w:fldCharType="separate"/>
          </w:r>
          <w:r>
            <w:t>63</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_Toc10237 </w:instrText>
          </w:r>
          <w:r>
            <w:rPr>
              <w:rFonts w:hint="default" w:ascii="仿宋" w:hAnsi="仿宋" w:eastAsia="仿宋" w:cs="仿宋"/>
              <w:szCs w:val="32"/>
              <w:lang w:val="en-US" w:eastAsia="zh-CN"/>
            </w:rPr>
            <w:fldChar w:fldCharType="separate"/>
          </w:r>
          <w:r>
            <w:rPr>
              <w:rFonts w:hint="eastAsia"/>
              <w:lang w:val="en-US" w:eastAsia="zh-CN"/>
            </w:rPr>
            <w:t>附件五：验收意见</w:t>
          </w:r>
          <w:r>
            <w:tab/>
          </w:r>
          <w:r>
            <w:fldChar w:fldCharType="begin"/>
          </w:r>
          <w:r>
            <w:instrText xml:space="preserve"> PAGEREF _Toc10237 </w:instrText>
          </w:r>
          <w:r>
            <w:fldChar w:fldCharType="separate"/>
          </w:r>
          <w:r>
            <w:t>102</w:t>
          </w:r>
          <w:r>
            <w:fldChar w:fldCharType="end"/>
          </w:r>
          <w:r>
            <w:rPr>
              <w:rFonts w:hint="default" w:ascii="仿宋" w:hAnsi="仿宋" w:eastAsia="仿宋" w:cs="仿宋"/>
              <w:szCs w:val="32"/>
              <w:lang w:val="en-US" w:eastAsia="zh-CN"/>
            </w:rPr>
            <w:fldChar w:fldCharType="end"/>
          </w:r>
        </w:p>
        <w:p>
          <w:pPr>
            <w:jc w:val="left"/>
            <w:rPr>
              <w:rFonts w:hint="default" w:ascii="仿宋" w:hAnsi="仿宋" w:eastAsia="仿宋" w:cs="仿宋"/>
              <w:sz w:val="32"/>
              <w:szCs w:val="32"/>
              <w:lang w:val="en-US" w:eastAsia="zh-CN"/>
            </w:rPr>
            <w:sectPr>
              <w:pgSz w:w="11906" w:h="16838"/>
              <w:pgMar w:top="1440" w:right="1800" w:bottom="1440" w:left="1800" w:header="851" w:footer="992" w:gutter="0"/>
              <w:cols w:space="425" w:num="1"/>
              <w:docGrid w:type="lines" w:linePitch="312" w:charSpace="0"/>
            </w:sectPr>
          </w:pPr>
          <w:r>
            <w:rPr>
              <w:rFonts w:hint="default" w:ascii="仿宋" w:hAnsi="仿宋" w:eastAsia="仿宋" w:cs="仿宋"/>
              <w:szCs w:val="32"/>
              <w:lang w:val="en-US" w:eastAsia="zh-CN"/>
            </w:rPr>
            <w:fldChar w:fldCharType="end"/>
          </w:r>
        </w:p>
      </w:sdtContent>
    </w:sdt>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bCs/>
          <w:sz w:val="32"/>
          <w:szCs w:val="32"/>
          <w:lang w:val="en-US" w:eastAsia="zh-CN"/>
        </w:rPr>
      </w:pPr>
      <w:bookmarkStart w:id="0" w:name="_Toc20962"/>
      <w:r>
        <w:rPr>
          <w:rFonts w:hint="eastAsia" w:ascii="宋体" w:hAnsi="宋体" w:eastAsia="宋体" w:cs="宋体"/>
          <w:b/>
          <w:bCs/>
          <w:sz w:val="32"/>
          <w:szCs w:val="32"/>
          <w:lang w:val="en-US" w:eastAsia="zh-CN"/>
        </w:rPr>
        <w:t>前  言</w:t>
      </w:r>
      <w:bookmarkEnd w:id="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贵阳高新技术产业经济带沙文生态科技产业园位于贵阳市白云区北端，园区以发展高科技产业、实行高效能管理、培育高品位文化、体现高文明素质为目标，着力建设科技园区、生态科技产业园、文明园区。为进一步做好贵阳高新技术产业经济带用地规划布局和用地规划控制，并为启动建设沙文生态科技产业园提供规划建设和规划管理的法定依据，贵阳市城市规划设计研究院编制了《沙文生态科技产业园控制性详细规划》，贵阳市人民政府以筑府通[2009]77号文件对该规划进行了批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遵照《中华人民共和国环境影响评价法》及有关规划环境影响评价的管理规定，贵阳国家高新技术产业开发区规划建设局委托贵州省环境科学研究设计院，承担贵阳高新技术产业经济带沙文生态科技产业园综合规划环境影响评价工作。2009年3月26日，贵阳市环境保护局组织专家对《贵阳高新技术产业经济带沙文生态科技产业园规划环境影响报告书》进行了审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根据片区的总体规划，沙文生态科技产业园苏庄路道路工程是园区内重要道路之，其工程项目的实施对建设完善园区主干路网，带动整个园区路网建设，从而全面完成园区城市基础设施建设都具有积极推动作用，是构成园区前期开发地块的骨架路网的重要组成部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苏庄路道路工程为新建城市</w:t>
      </w:r>
      <w:r>
        <w:rPr>
          <w:rFonts w:hint="eastAsia" w:ascii="宋体" w:hAnsi="宋体" w:eastAsia="宋体" w:cs="宋体"/>
          <w:b w:val="0"/>
          <w:bCs w:val="0"/>
          <w:sz w:val="24"/>
          <w:szCs w:val="24"/>
          <w:lang w:val="en-US" w:eastAsia="zh-CN"/>
        </w:rPr>
        <w:t>Ⅰ级次干道</w:t>
      </w:r>
      <w:r>
        <w:rPr>
          <w:rFonts w:hint="eastAsia" w:ascii="Times New Roman" w:hAnsi="Times New Roman" w:eastAsia="宋体" w:cs="Times New Roman"/>
          <w:b w:val="0"/>
          <w:bCs w:val="0"/>
          <w:sz w:val="24"/>
          <w:szCs w:val="24"/>
          <w:lang w:val="en-US" w:eastAsia="zh-CN"/>
        </w:rPr>
        <w:t>，项目起于白云区下高山，接青龙路，沿线经下高山小寨、南六、终点位于海马洞村，连接南海路。道路总长3493m，宽30m，设计车速40km/h。项目总投资额28410万元。贵阳市发展和改革委员会于2010年4月以筑发改投字[2010]828号文同意项目建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2010年10月，贵州省建筑设计研究院编制完成了《沙文生态科技产业园苏庄路道路工程可行性研究报告》。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eastAsia" w:ascii="Times New Roman" w:hAnsi="Times New Roman" w:eastAsia="宋体" w:cs="Times New Roman"/>
          <w:b w:val="0"/>
          <w:bCs w:val="0"/>
          <w:sz w:val="24"/>
          <w:szCs w:val="24"/>
          <w:lang w:val="en-US" w:eastAsia="zh-CN"/>
        </w:rPr>
        <w:t>2010年11月，贵州省环境科学研究设计院受贵阳高科控股集团有限公司委托编制了《沙文生态科技产业园苏庄路道路工程环境影响评价报告书》并获得相应批复文件</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根据《中华人民共和国环境保护法》及《建设项目竣工环境保护验收管理办法》（国家环保总局第</w:t>
      </w:r>
      <w:r>
        <w:rPr>
          <w:rFonts w:hint="default" w:ascii="Times New Roman" w:hAnsi="Times New Roman" w:eastAsia="宋体" w:cs="Times New Roman"/>
          <w:sz w:val="24"/>
          <w:szCs w:val="24"/>
          <w:lang w:val="en-US" w:eastAsia="zh-CN"/>
        </w:rPr>
        <w:t>13</w:t>
      </w:r>
      <w:r>
        <w:rPr>
          <w:rFonts w:hint="eastAsia" w:ascii="Times New Roman" w:hAnsi="Times New Roman" w:eastAsia="宋体" w:cs="Times New Roman"/>
          <w:sz w:val="24"/>
          <w:szCs w:val="24"/>
          <w:lang w:val="en-US" w:eastAsia="zh-CN"/>
        </w:rPr>
        <w:t>号令）等有关规定，按照环境保护设施与主体工程同时设计、同时施工、同时投入使用的“三同时”制度的要求，需查清工程在施工过程中对环境影响报告书和工程设计文件所提出的环境保护措施和建议的落实情况，调查分析公路在建设和运营期间对环境已造成的实际影响及可能存在的潜在影响，以便采取有效的环境保护补救措施，全面做好环境保护工作，为工程竣工环境保护验收提供依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贵州明德工程咨询有限公司（以下简称“我公司”）于2020年3月份接受贵阳高科控股集团有限公司委托，对苏庄路道路工程进行竣工环境保护验收调查并组织监测，编制《沙文生态科技产业园苏庄路道路工程竣工环境保护验收调查报告》。</w:t>
      </w:r>
    </w:p>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default" w:ascii="Times New Roman" w:hAnsi="Times New Roman" w:eastAsia="宋体" w:cs="Times New Roman"/>
          <w:b/>
          <w:bCs/>
          <w:sz w:val="28"/>
          <w:szCs w:val="28"/>
          <w:lang w:val="en-US" w:eastAsia="zh-CN"/>
        </w:rPr>
      </w:pPr>
      <w:bookmarkStart w:id="1" w:name="_Toc3350"/>
      <w:r>
        <w:rPr>
          <w:rFonts w:hint="default" w:ascii="Times New Roman" w:hAnsi="Times New Roman" w:eastAsia="宋体" w:cs="Times New Roman"/>
          <w:b/>
          <w:bCs/>
          <w:sz w:val="28"/>
          <w:szCs w:val="28"/>
          <w:lang w:val="en-US" w:eastAsia="zh-CN"/>
        </w:rPr>
        <w:t>1 总论</w:t>
      </w:r>
      <w:bookmarkEnd w:id="1"/>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1"/>
        <w:rPr>
          <w:rFonts w:hint="default" w:ascii="Times New Roman" w:hAnsi="Times New Roman" w:eastAsia="宋体" w:cs="Times New Roman"/>
          <w:sz w:val="24"/>
          <w:szCs w:val="24"/>
          <w:lang w:val="en-US" w:eastAsia="zh-CN"/>
        </w:rPr>
      </w:pPr>
      <w:bookmarkStart w:id="2" w:name="_Toc27698"/>
      <w:r>
        <w:rPr>
          <w:rFonts w:hint="default" w:ascii="Times New Roman" w:hAnsi="Times New Roman" w:eastAsia="宋体" w:cs="Times New Roman"/>
          <w:sz w:val="24"/>
          <w:szCs w:val="24"/>
          <w:lang w:val="en-US" w:eastAsia="zh-CN"/>
        </w:rPr>
        <w:t>1.1编制依据</w:t>
      </w:r>
      <w:bookmarkEnd w:id="2"/>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宋体" w:cs="Times New Roman"/>
          <w:sz w:val="24"/>
          <w:szCs w:val="24"/>
          <w:lang w:val="en-US" w:eastAsia="zh-CN"/>
        </w:rPr>
      </w:pPr>
      <w:bookmarkStart w:id="3" w:name="_Toc5216"/>
      <w:r>
        <w:rPr>
          <w:rFonts w:hint="default" w:ascii="Times New Roman" w:hAnsi="Times New Roman" w:eastAsia="宋体" w:cs="Times New Roman"/>
          <w:sz w:val="24"/>
          <w:szCs w:val="24"/>
          <w:lang w:val="en-US" w:eastAsia="zh-CN"/>
        </w:rPr>
        <w:t>1.1.1法律法规</w:t>
      </w:r>
      <w:bookmarkEnd w:id="3"/>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《中华人民共和国环境保护法》（2014.4.24）</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《中华人民共和国水土保持法》（201</w:t>
      </w:r>
      <w:r>
        <w:rPr>
          <w:rFonts w:hint="eastAsia" w:ascii="Times New Roman" w:hAnsi="Times New Roman" w:eastAsia="宋体" w:cs="Times New Roman"/>
          <w:sz w:val="24"/>
          <w:szCs w:val="24"/>
          <w:lang w:val="en-US" w:eastAsia="zh-CN"/>
        </w:rPr>
        <w:t>0</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12.25</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《中华人民共和国土地管理法》（2004.8.28）</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《中华人民共和国环境噪声污染防治法》（1996.10.29）</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《中华人民共和国水污染防治法》（2008.2.28）</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《中华人民共和国大气污染防治法》（2000.4.29）</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《中华人民共和国固体废物污染环境防治法》（2004.12.29）</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《中华人民共和国环境影响评价法》（2002.10.28）</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《中华人民共和国公路法》（2004.8.28）</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《建设项目环境保护管理条例》（国务院令第</w:t>
      </w:r>
      <w:r>
        <w:rPr>
          <w:rFonts w:hint="eastAsia" w:ascii="Times New Roman" w:hAnsi="Times New Roman" w:eastAsia="宋体" w:cs="Times New Roman"/>
          <w:sz w:val="24"/>
          <w:szCs w:val="24"/>
          <w:lang w:val="en-US" w:eastAsia="zh-CN"/>
        </w:rPr>
        <w:t>682</w:t>
      </w:r>
      <w:r>
        <w:rPr>
          <w:rFonts w:hint="default" w:ascii="Times New Roman" w:hAnsi="Times New Roman" w:eastAsia="宋体" w:cs="Times New Roman"/>
          <w:sz w:val="24"/>
          <w:szCs w:val="24"/>
          <w:lang w:val="en-US" w:eastAsia="zh-CN"/>
        </w:rPr>
        <w:t>号，</w:t>
      </w:r>
      <w:r>
        <w:rPr>
          <w:rFonts w:hint="eastAsia" w:ascii="Times New Roman" w:hAnsi="Times New Roman" w:eastAsia="宋体" w:cs="Times New Roman"/>
          <w:sz w:val="24"/>
          <w:szCs w:val="24"/>
          <w:lang w:val="en-US" w:eastAsia="zh-CN"/>
        </w:rPr>
        <w:t>2017.07.16</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《建设项目竣工环境保护验收</w:t>
      </w:r>
      <w:r>
        <w:rPr>
          <w:rFonts w:hint="eastAsia" w:ascii="Times New Roman" w:hAnsi="Times New Roman" w:eastAsia="宋体" w:cs="Times New Roman"/>
          <w:sz w:val="24"/>
          <w:szCs w:val="24"/>
          <w:lang w:val="en-US" w:eastAsia="zh-CN"/>
        </w:rPr>
        <w:t>暂行</w:t>
      </w:r>
      <w:r>
        <w:rPr>
          <w:rFonts w:hint="default" w:ascii="Times New Roman" w:hAnsi="Times New Roman" w:eastAsia="宋体" w:cs="Times New Roman"/>
          <w:sz w:val="24"/>
          <w:szCs w:val="24"/>
          <w:lang w:val="en-US" w:eastAsia="zh-CN"/>
        </w:rPr>
        <w:t>办法》（</w:t>
      </w:r>
      <w:r>
        <w:rPr>
          <w:rFonts w:hint="eastAsia" w:ascii="Times New Roman" w:hAnsi="Times New Roman" w:eastAsia="宋体" w:cs="Times New Roman"/>
          <w:sz w:val="24"/>
          <w:szCs w:val="24"/>
          <w:lang w:val="en-US" w:eastAsia="zh-CN"/>
        </w:rPr>
        <w:t>国环规环评[2017]4号，2017.11.20</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《饮用水水源保护区污染防治管理规定》（国家环保总局</w:t>
      </w:r>
      <w:r>
        <w:rPr>
          <w:rFonts w:hint="eastAsia" w:ascii="Times New Roman" w:hAnsi="Times New Roman" w:eastAsia="宋体" w:cs="Times New Roman"/>
          <w:sz w:val="24"/>
          <w:szCs w:val="24"/>
          <w:lang w:val="en-US" w:eastAsia="zh-CN"/>
        </w:rPr>
        <w:t>2010.12.22</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《基本农田保护条例》（国务院第257号令，1998.12.2</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《土地复垦规定》（国务院，198</w:t>
      </w:r>
      <w:r>
        <w:rPr>
          <w:rFonts w:hint="eastAsia" w:ascii="Times New Roman" w:hAnsi="Times New Roman" w:eastAsia="宋体" w:cs="Times New Roman"/>
          <w:sz w:val="24"/>
          <w:szCs w:val="24"/>
          <w:lang w:val="en-US" w:eastAsia="zh-CN"/>
        </w:rPr>
        <w:t>9.1.1</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《关于环境保护若干问题的决定》（国发</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1996</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31号）</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《关于建设项目环境保护设施竣工验收监测管理有关问题的通知》（环发</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2000</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38号）</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《国务院进一步推行全国绿色通道建设的通知》（国发</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2000</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31号）</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《国务院关于坚决制止占用基本农田进行植树等行为的紧急通知》（国发明电</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2004</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1号）</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《国家环境保护总局、国家发展和改革委员会、交通部关于加强公路规划和建设环境影响评价工作的通知》（环发</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2007</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184号）</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《关于建设项目竣工环境保护验收实行公示的通知》（国家环保总局26号文，2003）</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《建设项目竣工环境保护验收技术规范生态影响类》（HJ/T394/2007，国家环境保护总局，2008.2.1）</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《环境保护部建设项目</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三同时</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监督检查和竣工环保验收管理规程（试行）》（环发</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2009</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150号，环境保护部）</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《建设项目竣工环境保护验收技术规范 公路》（HJ552-2010）</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《公路建设项目环境影响评价规范》（JT05-20</w:t>
      </w:r>
      <w:r>
        <w:rPr>
          <w:rFonts w:hint="eastAsia" w:ascii="Times New Roman" w:hAnsi="Times New Roman" w:eastAsia="宋体" w:cs="Times New Roman"/>
          <w:sz w:val="24"/>
          <w:szCs w:val="24"/>
          <w:lang w:val="en-US" w:eastAsia="zh-CN"/>
        </w:rPr>
        <w:t>0</w:t>
      </w:r>
      <w:r>
        <w:rPr>
          <w:rFonts w:hint="default" w:ascii="Times New Roman" w:hAnsi="Times New Roman" w:eastAsia="宋体" w:cs="Times New Roman"/>
          <w:sz w:val="24"/>
          <w:szCs w:val="24"/>
          <w:lang w:val="en-US" w:eastAsia="zh-CN"/>
        </w:rPr>
        <w:t>6，交通部）</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《贵州省环境保护条例》（2009.6）。</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imes New Roman"/>
          <w:sz w:val="24"/>
          <w:szCs w:val="24"/>
          <w:lang w:val="en-US" w:eastAsia="zh-CN"/>
        </w:rPr>
      </w:pPr>
      <w:bookmarkStart w:id="4" w:name="_Toc9284"/>
      <w:r>
        <w:rPr>
          <w:rFonts w:hint="eastAsia" w:ascii="Times New Roman" w:hAnsi="Times New Roman" w:eastAsia="宋体" w:cs="Times New Roman"/>
          <w:sz w:val="24"/>
          <w:szCs w:val="24"/>
          <w:lang w:val="en-US" w:eastAsia="zh-CN"/>
        </w:rPr>
        <w:t>1.1.2工程技术资料</w:t>
      </w:r>
      <w:bookmarkEnd w:id="4"/>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《关于沙文生态科技产业园苏庄路道路工程建设项目立项的批复》（筑发改投字[2010]828号），贵阳市发展和和改革委员会，2010.08.18；</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《沙文生态科技产业园苏庄路道路工程环境影响评价报告书》，贵州省环境科学研究院，2011.02；</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《关于〈沙文生态科技产业园苏庄路道路工程环境影响评价报告书〉的批复》（筑环审</w:t>
      </w:r>
      <w:r>
        <w:rPr>
          <w:rFonts w:hint="eastAsia" w:ascii="Times New Roman" w:hAnsi="Times New Roman" w:eastAsia="宋体" w:cs="Times New Roman"/>
          <w:color w:val="auto"/>
          <w:sz w:val="24"/>
          <w:szCs w:val="24"/>
          <w:lang w:val="en-US" w:eastAsia="zh-CN"/>
        </w:rPr>
        <w:t>[2011]11号）</w:t>
      </w:r>
      <w:r>
        <w:rPr>
          <w:rFonts w:hint="eastAsia" w:ascii="Times New Roman" w:hAnsi="Times New Roman" w:eastAsia="宋体" w:cs="Times New Roman"/>
          <w:sz w:val="24"/>
          <w:szCs w:val="24"/>
          <w:lang w:val="en-US" w:eastAsia="zh-CN"/>
        </w:rPr>
        <w:t>，贵阳市环境保护局，2011.02.22。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eastAsia" w:ascii="Times New Roman" w:hAnsi="Times New Roman" w:eastAsia="宋体" w:cs="Times New Roman"/>
          <w:sz w:val="24"/>
          <w:szCs w:val="24"/>
          <w:lang w:val="en-US" w:eastAsia="zh-CN"/>
        </w:rPr>
      </w:pPr>
      <w:bookmarkStart w:id="5" w:name="_Toc4229"/>
      <w:r>
        <w:rPr>
          <w:rFonts w:hint="eastAsia" w:ascii="Times New Roman" w:hAnsi="Times New Roman" w:eastAsia="宋体" w:cs="Times New Roman"/>
          <w:sz w:val="24"/>
          <w:szCs w:val="24"/>
          <w:lang w:val="en-US" w:eastAsia="zh-CN"/>
        </w:rPr>
        <w:t>1.2调查目的</w:t>
      </w:r>
      <w:bookmarkEnd w:id="5"/>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调查工程在设计、施工、运行和管理等方面落实环境影响报告书提出的环保措施情况，以及对各级行政主管部门批复要求的落实情况；</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调查本工程已采取的生态保护、水土保持及污染控制措施，并通过对项目所在区域环境现状监测和调查结果，分析各项措施实施的有效性，针对已产生的环境问题及可能存在的潜在环境影响，提出切实可行的补救措施，对已实施的尚不完善的措施提出改进意见；</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根据工程环境影响情况的调查，客观、公正地从技术上论证该公路是否符合竣工环境保护验收条件。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eastAsia" w:ascii="Times New Roman" w:hAnsi="Times New Roman" w:eastAsia="宋体" w:cs="Times New Roman"/>
          <w:sz w:val="24"/>
          <w:szCs w:val="24"/>
          <w:lang w:val="en-US" w:eastAsia="zh-CN"/>
        </w:rPr>
      </w:pPr>
      <w:bookmarkStart w:id="6" w:name="_Toc6249"/>
      <w:r>
        <w:rPr>
          <w:rFonts w:hint="eastAsia" w:ascii="Times New Roman" w:hAnsi="Times New Roman" w:eastAsia="宋体" w:cs="Times New Roman"/>
          <w:sz w:val="24"/>
          <w:szCs w:val="24"/>
          <w:lang w:val="en-US" w:eastAsia="zh-CN"/>
        </w:rPr>
        <w:t>1.3调查方法</w:t>
      </w:r>
      <w:bookmarkEnd w:id="6"/>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原则上采用《建设项目竣工环境保护验收技术规范</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生态影响类》和《建设项目竣工环境保护验收技术规范 公路》要求执行，并参照《公路建设项目环境影响评价规范》规定的方法；</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环境影响分析采用资料调研、现场调查和现状监测相结合的方法；</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线路调查采用</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逐点逐段、点段结合、突出重点</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的方法；</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环境保护措施有效性分析采用改进已有措施与提出补救措施相结合的方法。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pPr>
      <w:r>
        <w:drawing>
          <wp:inline distT="0" distB="0" distL="114300" distR="114300">
            <wp:extent cx="5271135" cy="6235065"/>
            <wp:effectExtent l="0" t="0" r="5715" b="133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5271135" cy="62350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lang w:eastAsia="zh-CN"/>
        </w:rPr>
      </w:pPr>
      <w:r>
        <w:rPr>
          <w:rFonts w:hint="eastAsia"/>
          <w:lang w:eastAsia="zh-CN"/>
        </w:rPr>
        <w:t>验收调查工作流程图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default" w:ascii="Times New Roman" w:hAnsi="Times New Roman" w:cs="Times New Roman"/>
          <w:sz w:val="24"/>
          <w:szCs w:val="24"/>
          <w:lang w:val="en-US" w:eastAsia="zh-CN"/>
        </w:rPr>
      </w:pPr>
      <w:bookmarkStart w:id="7" w:name="_Toc31093"/>
      <w:r>
        <w:rPr>
          <w:rFonts w:hint="default" w:ascii="Times New Roman" w:hAnsi="Times New Roman" w:cs="Times New Roman"/>
          <w:sz w:val="24"/>
          <w:szCs w:val="24"/>
          <w:lang w:val="en-US" w:eastAsia="zh-CN"/>
        </w:rPr>
        <w:t>1.4调查范围及因子</w:t>
      </w:r>
      <w:bookmarkEnd w:id="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2"/>
        <w:rPr>
          <w:rFonts w:hint="default" w:ascii="Times New Roman" w:hAnsi="Times New Roman" w:cs="Times New Roman"/>
          <w:sz w:val="24"/>
          <w:szCs w:val="24"/>
          <w:lang w:val="en-US" w:eastAsia="zh-CN"/>
        </w:rPr>
      </w:pPr>
      <w:bookmarkStart w:id="8" w:name="_Toc4120"/>
      <w:r>
        <w:rPr>
          <w:rFonts w:hint="default" w:ascii="Times New Roman" w:hAnsi="Times New Roman" w:cs="Times New Roman"/>
          <w:sz w:val="24"/>
          <w:szCs w:val="24"/>
          <w:lang w:val="en-US" w:eastAsia="zh-CN"/>
        </w:rPr>
        <w:t>1.4.1</w:t>
      </w:r>
      <w:r>
        <w:rPr>
          <w:rFonts w:hint="eastAsia" w:ascii="Times New Roman" w:hAnsi="Times New Roman" w:cs="Times New Roman"/>
          <w:sz w:val="24"/>
          <w:szCs w:val="24"/>
          <w:lang w:val="en-US" w:eastAsia="zh-CN"/>
        </w:rPr>
        <w:t>调查范围</w:t>
      </w:r>
      <w:bookmarkEnd w:id="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本次竣工环境保护验收调查的范围为沙文生态科技产业园苏庄路道路工程沿线设施、敏感点等。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w:t>
      </w:r>
      <w:r>
        <w:rPr>
          <w:rFonts w:hint="eastAsia" w:ascii="Times New Roman" w:hAnsi="Times New Roman" w:eastAsia="宋体" w:cs="Times New Roman"/>
          <w:b w:val="0"/>
          <w:bCs w:val="0"/>
          <w:sz w:val="24"/>
          <w:szCs w:val="24"/>
          <w:lang w:val="en-US" w:eastAsia="zh-CN"/>
        </w:rPr>
        <w:t>项目起于白云区下高山，接青龙路，沿线经下高山小寨、南六、终点位于海马洞村，连接南海路。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color w:val="auto"/>
          <w:sz w:val="24"/>
          <w:szCs w:val="24"/>
          <w:lang w:val="en-US" w:eastAsia="zh-CN"/>
        </w:rPr>
        <w:t>本工程主要控制点主要控制点：起点T字形平交于青龙路、</w:t>
      </w:r>
      <w:r>
        <w:rPr>
          <w:rFonts w:hint="eastAsia" w:ascii="Times New Roman" w:hAnsi="Times New Roman" w:eastAsia="宋体" w:cs="Times New Roman"/>
          <w:b w:val="0"/>
          <w:bCs w:val="0"/>
          <w:sz w:val="24"/>
          <w:szCs w:val="24"/>
          <w:lang w:val="en-US" w:eastAsia="zh-CN"/>
        </w:rPr>
        <w:t>下高山居民点，下高山小寨、南六、终点海马洞村，连接南海路</w:t>
      </w:r>
      <w:r>
        <w:rPr>
          <w:rFonts w:hint="eastAsia" w:ascii="Times New Roman" w:hAnsi="Times New Roman" w:eastAsia="宋体" w:cs="Times New Roman"/>
          <w:color w:val="auto"/>
          <w:sz w:val="24"/>
          <w:szCs w:val="24"/>
          <w:lang w:val="en-US" w:eastAsia="zh-CN"/>
        </w:rPr>
        <w:t>等相交道路及沿线地形、敏感点。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依据环境影响报告书，结合工程的具体情况，此次验收调查范围如下：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（1）生态调查范围：公路中心线两侧各300m以内区域，弃渣场、料场等。经过景区范围内时调查范围扩大到2~8km或整个敏感区内。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（2）声环境调查范围：道路中心线两侧200m范围内的居民住宅、学校等声环境敏感点，重点调查100m范围内受影响的敏感点。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（3）地表水环境（含运输事故风险）调查范围：公路中心线两侧各200m以内的水库、河流、湖泊区域。跨河路段，范围延至桥位上游100m，下游1000m区域。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（4）环境空气调查范围：路中心线两侧各200m范围内。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（5）社会环境调查范围：公路中心线两侧各200m以内的敏感点（如居民点、学校等）</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default" w:ascii="Times New Roman" w:hAnsi="Times New Roman" w:eastAsia="宋体" w:cs="Times New Roman"/>
          <w:sz w:val="24"/>
          <w:szCs w:val="24"/>
          <w:lang w:val="en-US" w:eastAsia="zh-CN"/>
        </w:rPr>
      </w:pPr>
      <w:bookmarkStart w:id="9" w:name="_Toc29451"/>
      <w:r>
        <w:rPr>
          <w:rFonts w:hint="eastAsia" w:ascii="Times New Roman" w:hAnsi="Times New Roman" w:eastAsia="宋体" w:cs="Times New Roman"/>
          <w:sz w:val="24"/>
          <w:szCs w:val="24"/>
          <w:lang w:val="en-US" w:eastAsia="zh-CN"/>
        </w:rPr>
        <w:t>1.4.2调查因子</w:t>
      </w:r>
      <w:bookmarkEnd w:id="9"/>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生态环境：野生动植物、工程占地类型、取弃土（渣）场的生态恢复状况及已采取的措施、护坡工程及其效果、土地整治工程及其效果、绿化工程及其效果、路基及边坡排水工程的实施效果的调查等；</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声环境：等效声级L</w:t>
      </w:r>
      <w:r>
        <w:rPr>
          <w:rFonts w:hint="default" w:ascii="Times New Roman" w:hAnsi="Times New Roman" w:eastAsia="宋体" w:cs="Times New Roman"/>
          <w:sz w:val="24"/>
          <w:szCs w:val="24"/>
          <w:vertAlign w:val="subscript"/>
          <w:lang w:val="en-US" w:eastAsia="zh-CN"/>
        </w:rPr>
        <w:t>Aeq</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水污染源：</w:t>
      </w:r>
      <w:r>
        <w:rPr>
          <w:rFonts w:hint="eastAsia" w:ascii="Times New Roman" w:hAnsi="Times New Roman" w:eastAsia="宋体" w:cs="Times New Roman"/>
          <w:sz w:val="24"/>
          <w:szCs w:val="24"/>
          <w:lang w:val="en-US" w:eastAsia="zh-CN"/>
        </w:rPr>
        <w:t>COD</w:t>
      </w:r>
      <w:r>
        <w:rPr>
          <w:rFonts w:hint="default" w:ascii="Times New Roman" w:hAnsi="Times New Roman" w:eastAsia="宋体" w:cs="Times New Roman"/>
          <w:sz w:val="24"/>
          <w:szCs w:val="24"/>
          <w:lang w:val="en-US" w:eastAsia="zh-CN"/>
        </w:rPr>
        <w:t>、SS、石油类、氨氮、</w:t>
      </w:r>
      <w:r>
        <w:rPr>
          <w:rFonts w:hint="eastAsia" w:ascii="Times New Roman" w:hAnsi="Times New Roman" w:eastAsia="宋体" w:cs="Times New Roman"/>
          <w:sz w:val="24"/>
          <w:szCs w:val="24"/>
          <w:lang w:val="en-US" w:eastAsia="zh-CN"/>
        </w:rPr>
        <w:t>p</w:t>
      </w:r>
      <w:r>
        <w:rPr>
          <w:rFonts w:hint="default" w:ascii="Times New Roman" w:hAnsi="Times New Roman" w:eastAsia="宋体" w:cs="Times New Roman"/>
          <w:sz w:val="24"/>
          <w:szCs w:val="24"/>
          <w:lang w:val="en-US" w:eastAsia="zh-CN"/>
        </w:rPr>
        <w:t>H，以及污（废）水排放量及排放去向；</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运输事故风险：排水设施、相关防范措施、应急预案及管理办法；</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大气污染源：NO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、TSP。</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eastAsia" w:ascii="Times New Roman" w:hAnsi="Times New Roman" w:eastAsia="宋体" w:cs="Times New Roman"/>
          <w:sz w:val="24"/>
          <w:szCs w:val="24"/>
          <w:lang w:val="en-US" w:eastAsia="zh-CN"/>
        </w:rPr>
      </w:pPr>
      <w:bookmarkStart w:id="10" w:name="_Toc6419"/>
      <w:r>
        <w:rPr>
          <w:rFonts w:hint="eastAsia" w:ascii="Times New Roman" w:hAnsi="Times New Roman" w:eastAsia="宋体" w:cs="Times New Roman"/>
          <w:sz w:val="24"/>
          <w:szCs w:val="24"/>
          <w:lang w:val="en-US" w:eastAsia="zh-CN"/>
        </w:rPr>
        <w:t>1.5验收标准</w:t>
      </w:r>
      <w:bookmarkEnd w:id="1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jc w:val="both"/>
        <w:textAlignment w:val="auto"/>
        <w:outlineLvl w:val="9"/>
        <w:rPr>
          <w:rFonts w:hint="eastAsia" w:ascii="宋体" w:hAnsi="宋体" w:eastAsia="宋体" w:cs="宋体"/>
          <w:sz w:val="24"/>
          <w:szCs w:val="24"/>
        </w:rPr>
      </w:pPr>
      <w:r>
        <w:rPr>
          <w:rFonts w:hint="eastAsia" w:ascii="宋体" w:hAnsi="宋体" w:eastAsia="宋体" w:cs="宋体"/>
          <w:spacing w:val="-5"/>
          <w:sz w:val="24"/>
          <w:szCs w:val="24"/>
        </w:rPr>
        <w:t>验收调查原则上采用环境影响报告书所采用的环境标准，对已修订重新颁布</w:t>
      </w:r>
      <w:r>
        <w:rPr>
          <w:rFonts w:hint="eastAsia" w:ascii="宋体" w:hAnsi="宋体" w:eastAsia="宋体" w:cs="宋体"/>
          <w:sz w:val="24"/>
          <w:szCs w:val="24"/>
        </w:rPr>
        <w:t>的标准则采用替代后的新标准进行校核。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cs="Times New Roman"/>
          <w:sz w:val="24"/>
          <w:szCs w:val="24"/>
          <w:lang w:val="en-US" w:eastAsia="zh-CN"/>
        </w:rPr>
      </w:pPr>
      <w:bookmarkStart w:id="11" w:name="_Toc12293"/>
      <w:r>
        <w:rPr>
          <w:rFonts w:hint="default" w:ascii="Times New Roman" w:hAnsi="Times New Roman" w:cs="Times New Roman"/>
          <w:sz w:val="24"/>
          <w:szCs w:val="24"/>
          <w:lang w:val="en-US" w:eastAsia="zh-CN"/>
        </w:rPr>
        <w:t>1.5.1</w:t>
      </w:r>
      <w:r>
        <w:rPr>
          <w:rFonts w:hint="eastAsia" w:ascii="Times New Roman" w:hAnsi="Times New Roman" w:cs="Times New Roman"/>
          <w:sz w:val="24"/>
          <w:szCs w:val="24"/>
          <w:lang w:val="en-US" w:eastAsia="zh-CN"/>
        </w:rPr>
        <w:t>环境质量标准</w:t>
      </w:r>
      <w:bookmarkEnd w:id="11"/>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声环境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环境噪声执行《声环境质量标准》（GB3096-2008）。公路两侧红线外35m以内的区域执行4a 标准（昼70dB夜55dB），35m以外200m以内的区域执行2类标准（昼60dB夜50dB）；调查范围内的学校、医院等特殊敏感区域一律执行2类标准（昼60dB夜 0dB）。具体标准值见表1.5</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表1.5.1-1 声环境质量标准（GB 3096-2008）</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7"/>
        <w:gridCol w:w="1450"/>
        <w:gridCol w:w="1317"/>
        <w:gridCol w:w="4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宋体" w:hAnsi="Times New Roman" w:eastAsia="宋体" w:cs="Times New Roman"/>
                <w:b/>
                <w:kern w:val="2"/>
                <w:sz w:val="21"/>
                <w:szCs w:val="21"/>
                <w:lang w:val="en-US" w:eastAsia="zh-CN" w:bidi="zh-CN"/>
              </w:rPr>
            </w:pPr>
            <w:r>
              <w:rPr>
                <w:rFonts w:hint="eastAsia" w:ascii="宋体" w:eastAsia="宋体"/>
                <w:b/>
                <w:sz w:val="21"/>
                <w:szCs w:val="21"/>
              </w:rPr>
              <w:t>类别</w:t>
            </w:r>
          </w:p>
        </w:tc>
        <w:tc>
          <w:tcPr>
            <w:tcW w:w="1450"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宋体" w:hAnsi="Times New Roman" w:eastAsia="宋体" w:cs="Times New Roman"/>
                <w:b/>
                <w:kern w:val="2"/>
                <w:sz w:val="21"/>
                <w:szCs w:val="21"/>
                <w:lang w:val="en-US" w:eastAsia="zh-CN" w:bidi="zh-CN"/>
              </w:rPr>
            </w:pPr>
            <w:r>
              <w:rPr>
                <w:rFonts w:hint="eastAsia" w:ascii="宋体" w:eastAsia="宋体"/>
                <w:b/>
                <w:sz w:val="21"/>
                <w:szCs w:val="21"/>
              </w:rPr>
              <w:t>昼间</w:t>
            </w:r>
          </w:p>
        </w:tc>
        <w:tc>
          <w:tcPr>
            <w:tcW w:w="1317"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宋体" w:hAnsi="Times New Roman" w:eastAsia="宋体" w:cs="Times New Roman"/>
                <w:b/>
                <w:kern w:val="2"/>
                <w:sz w:val="21"/>
                <w:szCs w:val="21"/>
                <w:lang w:val="en-US" w:eastAsia="zh-CN" w:bidi="zh-CN"/>
              </w:rPr>
            </w:pPr>
            <w:r>
              <w:rPr>
                <w:rFonts w:hint="eastAsia" w:ascii="宋体" w:eastAsia="宋体"/>
                <w:b/>
                <w:sz w:val="21"/>
                <w:szCs w:val="21"/>
              </w:rPr>
              <w:t>夜间</w:t>
            </w:r>
          </w:p>
        </w:tc>
        <w:tc>
          <w:tcPr>
            <w:tcW w:w="4688"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宋体" w:eastAsia="宋体"/>
                <w:b/>
                <w:sz w:val="21"/>
                <w:szCs w:val="21"/>
                <w:lang w:val="en-US" w:eastAsia="zh-CN"/>
              </w:rPr>
            </w:pPr>
            <w:r>
              <w:rPr>
                <w:rFonts w:hint="eastAsia" w:ascii="宋体" w:eastAsia="宋体"/>
                <w:b/>
                <w:sz w:val="21"/>
                <w:szCs w:val="21"/>
              </w:rPr>
              <w:t>适用区域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2类</w:t>
            </w:r>
          </w:p>
        </w:tc>
        <w:tc>
          <w:tcPr>
            <w:tcW w:w="14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60dB</w:t>
            </w:r>
          </w:p>
        </w:tc>
        <w:tc>
          <w:tcPr>
            <w:tcW w:w="131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50dB</w:t>
            </w:r>
          </w:p>
        </w:tc>
        <w:tc>
          <w:tcPr>
            <w:tcW w:w="46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以商业金融、集市贸易为主要功能，或者居住、商业、工业混 杂，需要维护住宅安静的区域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4a类</w:t>
            </w:r>
          </w:p>
        </w:tc>
        <w:tc>
          <w:tcPr>
            <w:tcW w:w="14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70dB</w:t>
            </w:r>
          </w:p>
        </w:tc>
        <w:tc>
          <w:tcPr>
            <w:tcW w:w="131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55dB</w:t>
            </w:r>
          </w:p>
        </w:tc>
        <w:tc>
          <w:tcPr>
            <w:tcW w:w="46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高速公路、一级公路、二级公路、城市快速路、城市主干路 城市次干路、城市轨道交通（地面段）、内河航道两侧区域</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（2）环境空气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default" w:ascii="Times New Roman" w:hAnsi="Times New Roman" w:eastAsia="宋体" w:cs="Times New Roman"/>
          <w:position w:val="2"/>
          <w:sz w:val="24"/>
          <w:szCs w:val="24"/>
        </w:rPr>
        <w:t>NO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pacing w:val="-17"/>
          <w:position w:val="2"/>
          <w:sz w:val="24"/>
          <w:szCs w:val="24"/>
        </w:rPr>
        <w:t>、</w:t>
      </w:r>
      <w:r>
        <w:rPr>
          <w:rFonts w:hint="default" w:ascii="Times New Roman" w:hAnsi="Times New Roman" w:eastAsia="宋体" w:cs="Times New Roman"/>
          <w:position w:val="2"/>
          <w:sz w:val="24"/>
          <w:szCs w:val="24"/>
        </w:rPr>
        <w:t>TSP</w:t>
      </w:r>
      <w:r>
        <w:rPr>
          <w:rFonts w:hint="default" w:ascii="Times New Roman" w:hAnsi="Times New Roman" w:eastAsia="宋体" w:cs="Times New Roman"/>
          <w:spacing w:val="-4"/>
          <w:position w:val="2"/>
          <w:sz w:val="24"/>
          <w:szCs w:val="24"/>
        </w:rPr>
        <w:t>均执行《环境空气质量标准</w:t>
      </w:r>
      <w:r>
        <w:rPr>
          <w:rFonts w:hint="default" w:ascii="Times New Roman" w:hAnsi="Times New Roman" w:eastAsia="宋体" w:cs="Times New Roman"/>
          <w:spacing w:val="-137"/>
          <w:position w:val="2"/>
          <w:sz w:val="24"/>
          <w:szCs w:val="24"/>
        </w:rPr>
        <w:t>》</w:t>
      </w:r>
      <w:r>
        <w:rPr>
          <w:rFonts w:hint="default" w:ascii="Times New Roman" w:hAnsi="Times New Roman" w:eastAsia="宋体" w:cs="Times New Roman"/>
          <w:position w:val="2"/>
          <w:sz w:val="24"/>
          <w:szCs w:val="24"/>
        </w:rPr>
        <w:t>（GB3095-1996）</w:t>
      </w:r>
      <w:r>
        <w:rPr>
          <w:rFonts w:hint="default" w:ascii="Times New Roman" w:hAnsi="Times New Roman" w:eastAsia="宋体" w:cs="Times New Roman"/>
          <w:spacing w:val="-4"/>
          <w:position w:val="2"/>
          <w:sz w:val="24"/>
          <w:szCs w:val="24"/>
        </w:rPr>
        <w:t>中的二级标准</w:t>
      </w:r>
      <w:r>
        <w:rPr>
          <w:rFonts w:hint="eastAsia" w:ascii="Times New Roman" w:hAnsi="Times New Roman" w:eastAsia="宋体" w:cs="Times New Roman"/>
          <w:spacing w:val="-4"/>
          <w:position w:val="2"/>
          <w:sz w:val="24"/>
          <w:szCs w:val="24"/>
          <w:lang w:eastAsia="zh-CN"/>
        </w:rPr>
        <w:t>。</w:t>
      </w:r>
      <w:r>
        <w:rPr>
          <w:rFonts w:hint="default" w:ascii="Times New Roman" w:hAnsi="Times New Roman" w:cs="Times New Roman"/>
          <w:sz w:val="24"/>
          <w:szCs w:val="24"/>
          <w:lang w:val="en-US" w:eastAsia="zh-CN"/>
        </w:rPr>
        <w:t>具体标准值见表1.5</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lang w:val="en-US" w:eastAsia="zh-CN"/>
        </w:rPr>
        <w:t>表1.5.1-2 环境空气质量标准</w:t>
      </w:r>
    </w:p>
    <w:tbl>
      <w:tblPr>
        <w:tblStyle w:val="10"/>
        <w:tblW w:w="85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4"/>
        <w:gridCol w:w="1093"/>
        <w:gridCol w:w="2330"/>
        <w:gridCol w:w="2284"/>
        <w:gridCol w:w="1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trPr>
        <w:tc>
          <w:tcPr>
            <w:tcW w:w="2155"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项目</w:t>
            </w:r>
          </w:p>
        </w:tc>
        <w:tc>
          <w:tcPr>
            <w:tcW w:w="236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评价等级</w:t>
            </w:r>
          </w:p>
        </w:tc>
        <w:tc>
          <w:tcPr>
            <w:tcW w:w="231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标准要求</w:t>
            </w:r>
          </w:p>
        </w:tc>
        <w:tc>
          <w:tcPr>
            <w:tcW w:w="170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53"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日均值（</w:t>
            </w:r>
            <w:r>
              <w:rPr>
                <w:rFonts w:hint="default" w:ascii="Times New Roman" w:hAnsi="Times New Roman" w:cs="Times New Roman"/>
                <w:sz w:val="21"/>
                <w:szCs w:val="21"/>
                <w:vertAlign w:val="baseline"/>
                <w:lang w:val="en-US" w:eastAsia="zh-CN"/>
              </w:rPr>
              <w:t>μ</w:t>
            </w:r>
            <w:r>
              <w:rPr>
                <w:rFonts w:hint="eastAsia" w:ascii="Times New Roman" w:hAnsi="Times New Roman" w:cs="Times New Roman"/>
                <w:sz w:val="21"/>
                <w:szCs w:val="21"/>
                <w:vertAlign w:val="baseline"/>
                <w:lang w:val="en-US" w:eastAsia="zh-CN"/>
              </w:rPr>
              <w:t>g/m</w:t>
            </w:r>
            <w:r>
              <w:rPr>
                <w:rFonts w:hint="eastAsia" w:ascii="Times New Roman" w:hAnsi="Times New Roman" w:cs="Times New Roman"/>
                <w:sz w:val="21"/>
                <w:szCs w:val="21"/>
                <w:vertAlign w:val="superscript"/>
                <w:lang w:val="en-US" w:eastAsia="zh-CN"/>
              </w:rPr>
              <w:t>3</w:t>
            </w:r>
            <w:r>
              <w:rPr>
                <w:rFonts w:hint="eastAsia" w:ascii="Times New Roman" w:hAnsi="Times New Roman" w:cs="Times New Roman"/>
                <w:sz w:val="21"/>
                <w:szCs w:val="21"/>
                <w:vertAlign w:val="baseline"/>
                <w:lang w:val="en-US" w:eastAsia="zh-CN"/>
              </w:rPr>
              <w:t>）</w:t>
            </w:r>
          </w:p>
        </w:tc>
        <w:tc>
          <w:tcPr>
            <w:tcW w:w="110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position w:val="2"/>
                <w:sz w:val="21"/>
                <w:szCs w:val="21"/>
              </w:rPr>
              <w:t>NO</w:t>
            </w:r>
            <w:r>
              <w:rPr>
                <w:rFonts w:hint="default" w:ascii="Times New Roman" w:hAnsi="Times New Roman" w:eastAsia="宋体" w:cs="Times New Roman"/>
                <w:sz w:val="21"/>
                <w:szCs w:val="21"/>
                <w:vertAlign w:val="subscript"/>
              </w:rPr>
              <w:t>2</w:t>
            </w:r>
          </w:p>
        </w:tc>
        <w:tc>
          <w:tcPr>
            <w:tcW w:w="236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二级标准</w:t>
            </w:r>
          </w:p>
        </w:tc>
        <w:tc>
          <w:tcPr>
            <w:tcW w:w="231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80</w:t>
            </w:r>
          </w:p>
        </w:tc>
        <w:tc>
          <w:tcPr>
            <w:tcW w:w="170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053"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p>
        </w:tc>
        <w:tc>
          <w:tcPr>
            <w:tcW w:w="110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position w:val="2"/>
                <w:sz w:val="21"/>
                <w:szCs w:val="21"/>
              </w:rPr>
              <w:t>TSP</w:t>
            </w:r>
          </w:p>
        </w:tc>
        <w:tc>
          <w:tcPr>
            <w:tcW w:w="236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二级标准</w:t>
            </w:r>
          </w:p>
        </w:tc>
        <w:tc>
          <w:tcPr>
            <w:tcW w:w="231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300</w:t>
            </w:r>
          </w:p>
        </w:tc>
        <w:tc>
          <w:tcPr>
            <w:tcW w:w="170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（3）地表水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本项目于K2+550处建设桥梁跨越大泥窝河，大泥窝河水质执行《地表水环境质量标准》（GB3838-2002）</w:t>
      </w:r>
      <w:r>
        <w:rPr>
          <w:rFonts w:hint="eastAsia" w:ascii="宋体" w:hAnsi="宋体" w:eastAsia="宋体" w:cs="宋体"/>
          <w:sz w:val="24"/>
          <w:szCs w:val="24"/>
          <w:lang w:val="en-US" w:eastAsia="zh-CN"/>
        </w:rPr>
        <w:t>Ⅲ</w:t>
      </w:r>
      <w:r>
        <w:rPr>
          <w:rFonts w:hint="eastAsia" w:ascii="Times New Roman" w:hAnsi="Times New Roman" w:cs="Times New Roman"/>
          <w:sz w:val="24"/>
          <w:szCs w:val="24"/>
          <w:lang w:val="en-US" w:eastAsia="zh-CN"/>
        </w:rPr>
        <w:t>类水标准。</w:t>
      </w:r>
      <w:r>
        <w:rPr>
          <w:rFonts w:hint="default" w:ascii="Times New Roman" w:hAnsi="Times New Roman" w:cs="Times New Roman"/>
          <w:sz w:val="24"/>
          <w:szCs w:val="24"/>
          <w:lang w:val="en-US" w:eastAsia="zh-CN"/>
        </w:rPr>
        <w:t>具体标准值见表1.5</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3</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表1.5.1-3地表水环境质量标准</w:t>
      </w:r>
    </w:p>
    <w:tbl>
      <w:tblPr>
        <w:tblStyle w:val="9"/>
        <w:tblW w:w="813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7"/>
        <w:gridCol w:w="1764"/>
        <w:gridCol w:w="1184"/>
        <w:gridCol w:w="1184"/>
        <w:gridCol w:w="953"/>
        <w:gridCol w:w="15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jc w:val="center"/>
        </w:trPr>
        <w:tc>
          <w:tcPr>
            <w:tcW w:w="1487" w:type="dxa"/>
            <w:vAlign w:val="center"/>
          </w:tcPr>
          <w:p>
            <w:pPr>
              <w:pStyle w:val="15"/>
              <w:spacing w:before="34"/>
              <w:ind w:left="237" w:right="223"/>
              <w:jc w:val="center"/>
              <w:rPr>
                <w:rFonts w:hint="eastAsia" w:ascii="宋体" w:eastAsia="宋体"/>
                <w:b/>
                <w:sz w:val="21"/>
              </w:rPr>
            </w:pPr>
            <w:r>
              <w:rPr>
                <w:rFonts w:hint="eastAsia" w:ascii="宋体" w:eastAsia="宋体"/>
                <w:b/>
                <w:sz w:val="21"/>
              </w:rPr>
              <w:t>污染物</w:t>
            </w:r>
          </w:p>
        </w:tc>
        <w:tc>
          <w:tcPr>
            <w:tcW w:w="1764" w:type="dxa"/>
            <w:vAlign w:val="center"/>
          </w:tcPr>
          <w:p>
            <w:pPr>
              <w:pStyle w:val="15"/>
              <w:spacing w:before="34"/>
              <w:ind w:left="153" w:right="141"/>
              <w:jc w:val="center"/>
              <w:rPr>
                <w:rFonts w:hint="default" w:ascii="宋体" w:eastAsia="宋体"/>
                <w:b/>
                <w:sz w:val="21"/>
                <w:lang w:val="en-US" w:eastAsia="zh-CN"/>
              </w:rPr>
            </w:pPr>
            <w:r>
              <w:rPr>
                <w:rFonts w:hint="eastAsia" w:ascii="宋体" w:eastAsia="宋体"/>
                <w:b/>
                <w:sz w:val="21"/>
                <w:lang w:val="en-US" w:eastAsia="zh-CN"/>
              </w:rPr>
              <w:t>COD</w:t>
            </w:r>
          </w:p>
        </w:tc>
        <w:tc>
          <w:tcPr>
            <w:tcW w:w="1184" w:type="dxa"/>
            <w:vAlign w:val="center"/>
          </w:tcPr>
          <w:p>
            <w:pPr>
              <w:pStyle w:val="15"/>
              <w:spacing w:before="34"/>
              <w:ind w:left="13"/>
              <w:jc w:val="center"/>
              <w:rPr>
                <w:rFonts w:hint="eastAsia" w:ascii="宋体" w:eastAsia="宋体"/>
                <w:b/>
                <w:sz w:val="21"/>
              </w:rPr>
            </w:pPr>
            <w:r>
              <w:rPr>
                <w:rFonts w:hint="eastAsia" w:ascii="宋体" w:eastAsia="宋体"/>
                <w:b/>
                <w:sz w:val="21"/>
              </w:rPr>
              <w:t>石油类</w:t>
            </w:r>
          </w:p>
        </w:tc>
        <w:tc>
          <w:tcPr>
            <w:tcW w:w="1184" w:type="dxa"/>
            <w:vAlign w:val="center"/>
          </w:tcPr>
          <w:p>
            <w:pPr>
              <w:pStyle w:val="15"/>
              <w:spacing w:before="34"/>
              <w:ind w:left="13"/>
              <w:jc w:val="center"/>
              <w:rPr>
                <w:rFonts w:hint="eastAsia" w:ascii="宋体" w:eastAsia="宋体"/>
                <w:b/>
                <w:sz w:val="21"/>
              </w:rPr>
            </w:pPr>
            <w:r>
              <w:rPr>
                <w:rFonts w:hint="eastAsia" w:ascii="宋体" w:eastAsia="宋体"/>
                <w:b/>
                <w:sz w:val="21"/>
              </w:rPr>
              <w:t>氨氮</w:t>
            </w:r>
          </w:p>
        </w:tc>
        <w:tc>
          <w:tcPr>
            <w:tcW w:w="953" w:type="dxa"/>
            <w:vAlign w:val="center"/>
          </w:tcPr>
          <w:p>
            <w:pPr>
              <w:pStyle w:val="15"/>
              <w:spacing w:before="48"/>
              <w:ind w:left="202" w:right="195"/>
              <w:jc w:val="center"/>
              <w:rPr>
                <w:b/>
                <w:sz w:val="21"/>
              </w:rPr>
            </w:pPr>
            <w:r>
              <w:rPr>
                <w:b/>
                <w:sz w:val="21"/>
              </w:rPr>
              <w:t>SS</w:t>
            </w:r>
          </w:p>
        </w:tc>
        <w:tc>
          <w:tcPr>
            <w:tcW w:w="1565" w:type="dxa"/>
            <w:vAlign w:val="center"/>
          </w:tcPr>
          <w:p>
            <w:pPr>
              <w:pStyle w:val="15"/>
              <w:spacing w:before="34"/>
              <w:ind w:left="162" w:right="151"/>
              <w:jc w:val="center"/>
              <w:rPr>
                <w:b/>
                <w:sz w:val="21"/>
              </w:rPr>
            </w:pPr>
            <w:r>
              <w:rPr>
                <w:b/>
                <w:sz w:val="21"/>
              </w:rPr>
              <w:t>PH(</w:t>
            </w:r>
            <w:r>
              <w:rPr>
                <w:rFonts w:hint="eastAsia" w:ascii="宋体" w:eastAsia="宋体"/>
                <w:b/>
                <w:sz w:val="21"/>
              </w:rPr>
              <w:t>无量纲</w:t>
            </w:r>
            <w:r>
              <w:rPr>
                <w:b/>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jc w:val="center"/>
        </w:trPr>
        <w:tc>
          <w:tcPr>
            <w:tcW w:w="1487" w:type="dxa"/>
            <w:vAlign w:val="center"/>
          </w:tcPr>
          <w:p>
            <w:pPr>
              <w:pStyle w:val="15"/>
              <w:spacing w:before="33"/>
              <w:ind w:left="237" w:right="230"/>
              <w:jc w:val="center"/>
              <w:rPr>
                <w:rFonts w:hint="eastAsia" w:ascii="宋体" w:hAnsi="宋体" w:eastAsia="宋体"/>
                <w:sz w:val="21"/>
              </w:rPr>
            </w:pPr>
            <w:r>
              <w:rPr>
                <w:rFonts w:hint="eastAsia" w:ascii="宋体" w:hAnsi="宋体" w:eastAsia="宋体"/>
                <w:sz w:val="21"/>
              </w:rPr>
              <w:t>Ⅲ类标准</w:t>
            </w:r>
          </w:p>
        </w:tc>
        <w:tc>
          <w:tcPr>
            <w:tcW w:w="1764" w:type="dxa"/>
            <w:vAlign w:val="center"/>
          </w:tcPr>
          <w:p>
            <w:pPr>
              <w:pStyle w:val="15"/>
              <w:spacing w:before="49"/>
              <w:ind w:left="8"/>
              <w:jc w:val="center"/>
              <w:rPr>
                <w:sz w:val="21"/>
              </w:rPr>
            </w:pPr>
            <w:r>
              <w:rPr>
                <w:w w:val="99"/>
                <w:sz w:val="21"/>
              </w:rPr>
              <w:t>6</w:t>
            </w:r>
          </w:p>
        </w:tc>
        <w:tc>
          <w:tcPr>
            <w:tcW w:w="1184" w:type="dxa"/>
            <w:vAlign w:val="center"/>
          </w:tcPr>
          <w:p>
            <w:pPr>
              <w:pStyle w:val="15"/>
              <w:spacing w:before="49"/>
              <w:ind w:left="8"/>
              <w:jc w:val="center"/>
              <w:rPr>
                <w:sz w:val="21"/>
              </w:rPr>
            </w:pPr>
            <w:r>
              <w:rPr>
                <w:sz w:val="21"/>
              </w:rPr>
              <w:t>0.05</w:t>
            </w:r>
          </w:p>
        </w:tc>
        <w:tc>
          <w:tcPr>
            <w:tcW w:w="1184" w:type="dxa"/>
            <w:vAlign w:val="center"/>
          </w:tcPr>
          <w:p>
            <w:pPr>
              <w:pStyle w:val="15"/>
              <w:spacing w:before="49"/>
              <w:ind w:left="7"/>
              <w:jc w:val="center"/>
              <w:rPr>
                <w:sz w:val="21"/>
              </w:rPr>
            </w:pPr>
            <w:r>
              <w:rPr>
                <w:w w:val="99"/>
                <w:sz w:val="21"/>
              </w:rPr>
              <w:t>1</w:t>
            </w:r>
          </w:p>
        </w:tc>
        <w:tc>
          <w:tcPr>
            <w:tcW w:w="953" w:type="dxa"/>
            <w:vAlign w:val="center"/>
          </w:tcPr>
          <w:p>
            <w:pPr>
              <w:pStyle w:val="15"/>
              <w:spacing w:before="49"/>
              <w:ind w:left="204" w:right="192"/>
              <w:jc w:val="center"/>
              <w:rPr>
                <w:sz w:val="21"/>
              </w:rPr>
            </w:pPr>
            <w:r>
              <w:rPr>
                <w:sz w:val="21"/>
              </w:rPr>
              <w:t>30</w:t>
            </w:r>
          </w:p>
        </w:tc>
        <w:tc>
          <w:tcPr>
            <w:tcW w:w="1565" w:type="dxa"/>
            <w:vAlign w:val="center"/>
          </w:tcPr>
          <w:p>
            <w:pPr>
              <w:pStyle w:val="15"/>
              <w:spacing w:before="49"/>
              <w:ind w:left="158" w:right="151"/>
              <w:jc w:val="center"/>
              <w:rPr>
                <w:sz w:val="21"/>
              </w:rPr>
            </w:pPr>
            <w:r>
              <w:rPr>
                <w:sz w:val="21"/>
              </w:rPr>
              <w:t>6-9</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（4）地下水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本项目调查范围内原环评在K3+410处的海马洞水井，经调查，由于此处附近居民已搬迁，该处也已规划为园区建设项目用地，此处水井已因周边建设项目施工而填埋。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2"/>
        <w:rPr>
          <w:rFonts w:hint="default" w:ascii="Times New Roman" w:hAnsi="Times New Roman" w:cs="Times New Roman"/>
          <w:sz w:val="24"/>
          <w:szCs w:val="24"/>
          <w:lang w:val="en-US" w:eastAsia="zh-CN"/>
        </w:rPr>
      </w:pPr>
      <w:bookmarkStart w:id="12" w:name="_Toc12031"/>
      <w:r>
        <w:rPr>
          <w:rFonts w:hint="eastAsia" w:ascii="Times New Roman" w:hAnsi="Times New Roman" w:cs="Times New Roman"/>
          <w:sz w:val="24"/>
          <w:szCs w:val="24"/>
          <w:lang w:val="en-US" w:eastAsia="zh-CN"/>
        </w:rPr>
        <w:t>1.5.2污染物排放标准</w:t>
      </w:r>
      <w:bookmarkEnd w:id="1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（1）废水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ascii="宋体" w:hAnsi="宋体" w:eastAsia="宋体" w:cs="宋体"/>
          <w:sz w:val="24"/>
          <w:szCs w:val="24"/>
        </w:rPr>
      </w:pPr>
      <w:r>
        <w:rPr>
          <w:rFonts w:ascii="宋体" w:hAnsi="宋体" w:eastAsia="宋体" w:cs="宋体"/>
          <w:sz w:val="24"/>
          <w:szCs w:val="24"/>
        </w:rPr>
        <w:t>本项目不设停车场和收费站，因此道路营运期间主要是路面径流雨水对沿线水体的影响。影响路面径流污染的因素众多，包括降雨时间、降雨量、车流量、大气污染程度、两场降雨之间的时间间隔、纳污路段长度等。各种因素随机性强、偶然性大。一般在公路建成初期和两场降雨间隔较长时，路面雨水径流对沿线水体有一定的影响。主要表现为路面径流携带悬浮颗粒物</w:t>
      </w:r>
      <w:r>
        <w:rPr>
          <w:rFonts w:hint="eastAsia" w:ascii="宋体" w:hAnsi="宋体" w:eastAsia="宋体" w:cs="宋体"/>
          <w:sz w:val="24"/>
          <w:szCs w:val="24"/>
          <w:lang w:val="en-US" w:eastAsia="zh-CN"/>
        </w:rPr>
        <w:t>及车辆行驶遗留污染物，</w:t>
      </w:r>
      <w:r>
        <w:rPr>
          <w:rFonts w:ascii="宋体" w:hAnsi="宋体" w:eastAsia="宋体" w:cs="宋体"/>
          <w:sz w:val="24"/>
          <w:szCs w:val="24"/>
        </w:rPr>
        <w:t>经道路两侧的排水沟从岸边排入沿河路段水体。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因此，本项目运营期产生的污水对环境影响很小。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（2）废</w:t>
      </w:r>
      <w:r>
        <w:rPr>
          <w:rFonts w:hint="eastAsia" w:ascii="Times New Roman" w:hAnsi="Times New Roman" w:eastAsia="宋体" w:cs="Times New Roman"/>
          <w:sz w:val="24"/>
          <w:szCs w:val="24"/>
          <w:lang w:val="en-US" w:eastAsia="zh-CN"/>
        </w:rPr>
        <w:t>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本项目运营期产生的废气主要为车辆行驶通过本项目路面所产生颗粒物及汽车尾气。道路沿线种植行道树、定期清扫路面，减少污染物的排放，经现场调查，其对环境空气影响很小。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（3）固废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本项目不设置服务区、收费站、养护工区等附属设施运营期，无固体废物产生，对环境影响很小。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eastAsia" w:ascii="Times New Roman" w:hAnsi="Times New Roman" w:eastAsia="宋体" w:cs="Times New Roman"/>
          <w:sz w:val="24"/>
          <w:szCs w:val="24"/>
          <w:lang w:val="en-US" w:eastAsia="zh-CN"/>
        </w:rPr>
      </w:pPr>
      <w:bookmarkStart w:id="13" w:name="_Toc2516"/>
      <w:r>
        <w:rPr>
          <w:rFonts w:hint="eastAsia" w:ascii="Times New Roman" w:hAnsi="Times New Roman" w:eastAsia="宋体" w:cs="Times New Roman"/>
          <w:sz w:val="24"/>
          <w:szCs w:val="24"/>
          <w:lang w:val="en-US" w:eastAsia="zh-CN"/>
        </w:rPr>
        <w:t>1.6保护目标及调查重点</w:t>
      </w:r>
      <w:bookmarkEnd w:id="1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次调查的重点是公路建设及试运营期造成的生态环境影响、声环境影响和水环境影响（含运输风险事故防范），环境影响报告书及批复中提出的各项环境保护措施落实情况及其有效性，并根据调查结果提出环境保护补救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14" w:name="_Toc18556"/>
      <w:r>
        <w:rPr>
          <w:rFonts w:hint="eastAsia" w:ascii="Times New Roman" w:hAnsi="Times New Roman" w:eastAsia="宋体" w:cs="Times New Roman"/>
          <w:sz w:val="24"/>
          <w:szCs w:val="24"/>
          <w:lang w:val="en-US" w:eastAsia="zh-CN"/>
        </w:rPr>
        <w:t>1.6.1生态环境保护目标</w:t>
      </w:r>
      <w:bookmarkEnd w:id="1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本项目生态环境保护目标为沿线植被、耕地、农田。本项目全线位于沙文科技产业园中，沿线耕地、农田已大部分完成征收，少部分亦正在进行征收事宜，规划为园区建设项目用地。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color w:val="FF0000"/>
          <w:sz w:val="24"/>
          <w:szCs w:val="24"/>
          <w:lang w:val="en-US" w:eastAsia="zh-CN"/>
        </w:rPr>
      </w:pPr>
      <w:bookmarkStart w:id="15" w:name="_Toc23484"/>
      <w:r>
        <w:rPr>
          <w:rFonts w:hint="eastAsia" w:ascii="Times New Roman" w:hAnsi="Times New Roman" w:eastAsia="宋体" w:cs="Times New Roman"/>
          <w:sz w:val="24"/>
          <w:szCs w:val="24"/>
          <w:lang w:val="en-US" w:eastAsia="zh-CN"/>
        </w:rPr>
        <w:t>1.6.2环境空气</w:t>
      </w:r>
      <w:r>
        <w:rPr>
          <w:rFonts w:hint="eastAsia" w:ascii="Times New Roman" w:hAnsi="Times New Roman" w:eastAsia="宋体" w:cs="Times New Roman"/>
          <w:color w:val="auto"/>
          <w:sz w:val="24"/>
          <w:szCs w:val="24"/>
          <w:lang w:val="en-US" w:eastAsia="zh-CN"/>
        </w:rPr>
        <w:t>及声环境保护目标</w:t>
      </w:r>
      <w:bookmarkEnd w:id="1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涉及的环境空气及声环境保护目标主要为项目沿线的学校、居民区等，原环评所列敏感点下高山、下高山小寨已大部分完成搬迁，仅余及少部分居民仍居于此处，南六、海马洞已完成搬迁，现已规划为建设项目用地，新增敏感点绿地·新都会、</w:t>
      </w:r>
      <w:r>
        <w:rPr>
          <w:rFonts w:hint="eastAsia" w:ascii="Times New Roman" w:hAnsi="Times New Roman" w:cs="Times New Roman"/>
          <w:b w:val="0"/>
          <w:bCs w:val="0"/>
          <w:color w:val="000000" w:themeColor="text1"/>
          <w:sz w:val="24"/>
          <w:szCs w:val="24"/>
          <w:vertAlign w:val="baseline"/>
          <w:lang w:val="en-US" w:eastAsia="zh-CN"/>
          <w14:textFill>
            <w14:solidFill>
              <w14:schemeClr w14:val="tx1"/>
            </w14:solidFill>
          </w14:textFill>
        </w:rPr>
        <w:t>永定河孔雀大卫城</w:t>
      </w:r>
      <w:r>
        <w:rPr>
          <w:rFonts w:hint="eastAsia" w:ascii="Times New Roman" w:hAnsi="Times New Roman" w:eastAsia="宋体" w:cs="Times New Roman"/>
          <w:sz w:val="24"/>
          <w:szCs w:val="24"/>
          <w:lang w:val="en-US" w:eastAsia="zh-CN"/>
        </w:rPr>
        <w:t>等。现有保护目标详见表1.6.2-1。</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表1.6.2-1环境空气及声环境保护目标</w:t>
      </w:r>
    </w:p>
    <w:tbl>
      <w:tblPr>
        <w:tblStyle w:val="10"/>
        <w:tblW w:w="94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
        <w:gridCol w:w="1065"/>
        <w:gridCol w:w="1830"/>
        <w:gridCol w:w="1170"/>
        <w:gridCol w:w="1200"/>
        <w:gridCol w:w="720"/>
        <w:gridCol w:w="720"/>
        <w:gridCol w:w="2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序号</w:t>
            </w:r>
          </w:p>
        </w:tc>
        <w:tc>
          <w:tcPr>
            <w:tcW w:w="10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道路名称</w:t>
            </w: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监测点位</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桩号</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距道路中心线距离（m）</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高差（m）</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备注</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422" w:type="dxa"/>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kern w:val="2"/>
                <w:sz w:val="24"/>
                <w:szCs w:val="24"/>
                <w:lang w:val="en-US" w:eastAsia="zh-CN" w:bidi="ar-SA"/>
              </w:rPr>
            </w:pPr>
          </w:p>
        </w:tc>
        <w:tc>
          <w:tcPr>
            <w:tcW w:w="1065"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金苏大道</w:t>
            </w: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下高山</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K0+070</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右侧60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-3</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原有</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34" name="图片 34" descr="IMG_20200519_18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0200519_184238"/>
                          <pic:cNvPicPr>
                            <a:picLocks noChangeAspect="1"/>
                          </pic:cNvPicPr>
                        </pic:nvPicPr>
                        <pic:blipFill>
                          <a:blip r:embed="rId13"/>
                          <a:stretch>
                            <a:fillRect/>
                          </a:stretch>
                        </pic:blipFill>
                        <pic:spPr>
                          <a:xfrm>
                            <a:off x="0" y="0"/>
                            <a:ext cx="1331595" cy="998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dxa"/>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kern w:val="2"/>
                <w:sz w:val="24"/>
                <w:szCs w:val="24"/>
                <w:lang w:val="en-US" w:eastAsia="zh-CN" w:bidi="ar-SA"/>
              </w:rPr>
            </w:pPr>
          </w:p>
        </w:tc>
        <w:tc>
          <w:tcPr>
            <w:tcW w:w="10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下高山小寨</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K0+550</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左侧175</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+0.5</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原有</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44" name="图片 44" descr="IMG_20200519_18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20200519_184549"/>
                          <pic:cNvPicPr>
                            <a:picLocks noChangeAspect="1"/>
                          </pic:cNvPicPr>
                        </pic:nvPicPr>
                        <pic:blipFill>
                          <a:blip r:embed="rId14"/>
                          <a:stretch>
                            <a:fillRect/>
                          </a:stretch>
                        </pic:blipFill>
                        <pic:spPr>
                          <a:xfrm>
                            <a:off x="0" y="0"/>
                            <a:ext cx="1331595" cy="998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dxa"/>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kern w:val="2"/>
                <w:sz w:val="24"/>
                <w:szCs w:val="24"/>
                <w:lang w:val="en-US" w:eastAsia="zh-CN" w:bidi="ar-SA"/>
              </w:rPr>
            </w:pPr>
          </w:p>
        </w:tc>
        <w:tc>
          <w:tcPr>
            <w:tcW w:w="10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绿地·新都会</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K1+690</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右侧</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+0.5</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新增</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45" name="图片 45" descr="IMG_20200519_18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20200519_184929"/>
                          <pic:cNvPicPr>
                            <a:picLocks noChangeAspect="1"/>
                          </pic:cNvPicPr>
                        </pic:nvPicPr>
                        <pic:blipFill>
                          <a:blip r:embed="rId15"/>
                          <a:stretch>
                            <a:fillRect/>
                          </a:stretch>
                        </pic:blipFill>
                        <pic:spPr>
                          <a:xfrm>
                            <a:off x="0" y="0"/>
                            <a:ext cx="1331595" cy="998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dxa"/>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kern w:val="2"/>
                <w:sz w:val="24"/>
                <w:szCs w:val="24"/>
                <w:lang w:val="en-US" w:eastAsia="zh-CN" w:bidi="ar-SA"/>
              </w:rPr>
            </w:pPr>
          </w:p>
        </w:tc>
        <w:tc>
          <w:tcPr>
            <w:tcW w:w="10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永定河孔雀大卫城</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K2+150</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右侧</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新增</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drawing>
                <wp:inline distT="0" distB="0" distL="114300" distR="114300">
                  <wp:extent cx="1331595" cy="998220"/>
                  <wp:effectExtent l="0" t="0" r="1905" b="11430"/>
                  <wp:docPr id="46" name="图片 46" descr="IMG_20200523_15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20200523_152517"/>
                          <pic:cNvPicPr>
                            <a:picLocks noChangeAspect="1"/>
                          </pic:cNvPicPr>
                        </pic:nvPicPr>
                        <pic:blipFill>
                          <a:blip r:embed="rId16"/>
                          <a:stretch>
                            <a:fillRect/>
                          </a:stretch>
                        </pic:blipFill>
                        <pic:spPr>
                          <a:xfrm>
                            <a:off x="0" y="0"/>
                            <a:ext cx="1331595" cy="998220"/>
                          </a:xfrm>
                          <a:prstGeom prst="rect">
                            <a:avLst/>
                          </a:prstGeom>
                        </pic:spPr>
                      </pic:pic>
                    </a:graphicData>
                  </a:graphic>
                </wp:inline>
              </w:drawing>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16" w:name="_Toc15936"/>
      <w:r>
        <w:rPr>
          <w:rFonts w:hint="eastAsia" w:ascii="Times New Roman" w:hAnsi="Times New Roman" w:eastAsia="宋体" w:cs="Times New Roman"/>
          <w:sz w:val="24"/>
          <w:szCs w:val="24"/>
          <w:lang w:val="en-US" w:eastAsia="zh-CN"/>
        </w:rPr>
        <w:t>1.6.3水环境保护目标</w:t>
      </w:r>
      <w:bookmarkEnd w:id="1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本项目于K2+550处建设桥梁跨越大泥窝河，大泥窝河水质执行《地表水环境质量标准》（GB3838-2002）</w:t>
      </w:r>
      <w:r>
        <w:rPr>
          <w:rFonts w:hint="eastAsia" w:ascii="宋体" w:hAnsi="宋体" w:eastAsia="宋体" w:cs="宋体"/>
          <w:sz w:val="24"/>
          <w:szCs w:val="24"/>
          <w:lang w:val="en-US" w:eastAsia="zh-CN"/>
        </w:rPr>
        <w:t>Ⅲ</w:t>
      </w:r>
      <w:r>
        <w:rPr>
          <w:rFonts w:hint="eastAsia" w:ascii="Times New Roman" w:hAnsi="Times New Roman" w:cs="Times New Roman"/>
          <w:sz w:val="24"/>
          <w:szCs w:val="24"/>
          <w:lang w:val="en-US" w:eastAsia="zh-CN"/>
        </w:rPr>
        <w:t>类水标准</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b/>
          <w:bCs/>
          <w:sz w:val="24"/>
          <w:szCs w:val="24"/>
          <w:lang w:val="en-US" w:eastAsia="zh-CN"/>
        </w:rPr>
      </w:pPr>
      <w:r>
        <w:rPr>
          <w:rFonts w:hint="eastAsia" w:ascii="Times New Roman" w:hAnsi="Times New Roman" w:cs="Times New Roman"/>
          <w:sz w:val="24"/>
          <w:szCs w:val="24"/>
          <w:lang w:val="en-US" w:eastAsia="zh-CN"/>
        </w:rPr>
        <w:t>本项目调查范围内原环评在K3+410处的海马洞水井，经调查，由于此处附近居民已搬迁，该处也已规划为园区建设项目用地，此处水井已因周边建设项目施工而填埋。</w:t>
      </w:r>
      <w:r>
        <w:rPr>
          <w:rFonts w:hint="eastAsia" w:ascii="Times New Roman" w:hAnsi="Times New Roman" w:eastAsia="宋体" w:cs="Times New Roman"/>
          <w:b/>
          <w:bCs/>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b/>
          <w:bCs/>
          <w:sz w:val="24"/>
          <w:szCs w:val="24"/>
          <w:lang w:val="en-US" w:eastAsia="zh-CN"/>
        </w:rPr>
      </w:pPr>
      <w:bookmarkStart w:id="17" w:name="_Toc25628"/>
      <w:r>
        <w:rPr>
          <w:rFonts w:hint="eastAsia" w:ascii="Times New Roman" w:hAnsi="Times New Roman" w:eastAsia="宋体" w:cs="Times New Roman"/>
          <w:b/>
          <w:bCs/>
          <w:sz w:val="24"/>
          <w:szCs w:val="24"/>
          <w:lang w:val="en-US" w:eastAsia="zh-CN"/>
        </w:rPr>
        <w:t>2 工程概况</w:t>
      </w:r>
      <w:bookmarkEnd w:id="1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18" w:name="_Toc25535"/>
      <w:r>
        <w:rPr>
          <w:rFonts w:hint="eastAsia" w:ascii="Times New Roman" w:hAnsi="Times New Roman" w:eastAsia="宋体" w:cs="Times New Roman"/>
          <w:sz w:val="24"/>
          <w:szCs w:val="24"/>
          <w:lang w:val="en-US" w:eastAsia="zh-CN"/>
        </w:rPr>
        <w:t>2.1地理位置及路线走向</w:t>
      </w:r>
      <w:bookmarkEnd w:id="1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苏庄路是沙文生态科技产业园园区道网的重要组成部分之一。通过本项目的建设，对加快沙文生态科技产业园园区道网的形成，带动沿线土地的开发，促进沙文及白云城市新区可持续发展和生态科技产业园的开发建设，完善城市交通网络具有重要意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val="0"/>
          <w:bCs w:val="0"/>
          <w:sz w:val="24"/>
          <w:szCs w:val="24"/>
          <w:lang w:val="en-US" w:eastAsia="zh-CN"/>
        </w:rPr>
        <w:t>项目西起于青龙路，</w:t>
      </w:r>
      <w:r>
        <w:rPr>
          <w:rFonts w:hint="eastAsia" w:ascii="Times New Roman" w:hAnsi="Times New Roman" w:eastAsia="宋体" w:cs="Times New Roman"/>
          <w:b w:val="0"/>
          <w:bCs w:val="0"/>
          <w:color w:val="auto"/>
          <w:sz w:val="24"/>
          <w:szCs w:val="24"/>
          <w:lang w:val="en-US" w:eastAsia="zh-CN"/>
        </w:rPr>
        <w:t>经沙果南路、麦五村、马场营、南坪、干田砖厂、贵阳变电所，终点与G210国道连接</w:t>
      </w:r>
      <w:r>
        <w:rPr>
          <w:rFonts w:hint="eastAsia" w:ascii="Times New Roman" w:hAnsi="Times New Roman" w:eastAsia="宋体" w:cs="Times New Roman"/>
          <w:b w:val="0"/>
          <w:bCs w:val="0"/>
          <w:sz w:val="24"/>
          <w:szCs w:val="24"/>
          <w:lang w:val="en-US" w:eastAsia="zh-CN"/>
        </w:rPr>
        <w:t>，路线全长约3493m，道路宽度30m，设计车速40km/h，项目总投资28410万元。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19" w:name="_Toc17627"/>
      <w:r>
        <w:rPr>
          <w:rFonts w:hint="eastAsia" w:ascii="Times New Roman" w:hAnsi="Times New Roman" w:eastAsia="宋体" w:cs="Times New Roman"/>
          <w:sz w:val="24"/>
          <w:szCs w:val="24"/>
          <w:lang w:val="en-US" w:eastAsia="zh-CN"/>
        </w:rPr>
        <w:t>2.2项目建设过程</w:t>
      </w:r>
      <w:bookmarkEnd w:id="19"/>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《关于沙文生态科技产业园苏庄路道路工程建设项目立项的批复》（筑发改投字[2010]828号），贵阳市发展和和改革委员会，2010.08.18；</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《沙文生态科技产业园苏庄路道路工程环境影响评价报告书》，贵州省环境科学研究院，2011.02；</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《关于〈沙文生态科技产业园苏庄路道路工程环境影响评价报告书〉的批复》（筑环审</w:t>
      </w:r>
      <w:r>
        <w:rPr>
          <w:rFonts w:hint="eastAsia" w:ascii="Times New Roman" w:hAnsi="Times New Roman" w:eastAsia="宋体" w:cs="Times New Roman"/>
          <w:color w:val="FF0000"/>
          <w:sz w:val="24"/>
          <w:szCs w:val="24"/>
          <w:lang w:val="en-US" w:eastAsia="zh-CN"/>
        </w:rPr>
        <w:t>[2011]11</w:t>
      </w:r>
      <w:r>
        <w:rPr>
          <w:rFonts w:hint="eastAsia" w:ascii="Times New Roman" w:hAnsi="Times New Roman" w:eastAsia="宋体" w:cs="Times New Roman"/>
          <w:sz w:val="24"/>
          <w:szCs w:val="24"/>
          <w:lang w:val="en-US" w:eastAsia="zh-CN"/>
        </w:rPr>
        <w:t>号），贵阳市环境保护局，2011.02.22；</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本项目于2011年05月06日开工建设，2014年01月16日所有标段完成验收并投入使用。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从以上建设过程分析，本项目建设过程中执行了建设项目环境保护管理程序和“三同时”管理制度。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sectPr>
          <w:headerReference r:id="rId3" w:type="default"/>
          <w:footerReference r:id="rId4" w:type="default"/>
          <w:pgSz w:w="11906" w:h="16838"/>
          <w:pgMar w:top="1440" w:right="1800" w:bottom="1440" w:left="1800" w:header="850" w:footer="992" w:gutter="0"/>
          <w:pgNumType w:fmt="decimal"/>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4"/>
          <w:szCs w:val="24"/>
          <w:lang w:val="en-US" w:eastAsia="zh-CN"/>
        </w:rPr>
      </w:pPr>
      <w:r>
        <w:drawing>
          <wp:inline distT="0" distB="0" distL="114300" distR="114300">
            <wp:extent cx="8566785" cy="4950460"/>
            <wp:effectExtent l="0" t="0" r="5715" b="254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7"/>
                    <a:srcRect t="4101" b="2408"/>
                    <a:stretch>
                      <a:fillRect/>
                    </a:stretch>
                  </pic:blipFill>
                  <pic:spPr>
                    <a:xfrm>
                      <a:off x="0" y="0"/>
                      <a:ext cx="8566785" cy="49504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sectPr>
          <w:pgSz w:w="16838" w:h="11906" w:orient="landscape"/>
          <w:pgMar w:top="1800" w:right="1440" w:bottom="1800" w:left="1440" w:header="850" w:footer="992" w:gutter="0"/>
          <w:pgNumType w:fmt="decimal"/>
          <w:cols w:space="425" w:num="1"/>
          <w:docGrid w:type="lines" w:linePitch="312" w:charSpace="0"/>
        </w:sectPr>
      </w:pPr>
      <w:r>
        <w:rPr>
          <w:rFonts w:hint="eastAsia" w:ascii="Times New Roman" w:hAnsi="Times New Roman" w:eastAsia="宋体" w:cs="Times New Roman"/>
          <w:sz w:val="24"/>
          <w:szCs w:val="24"/>
          <w:lang w:val="en-US" w:eastAsia="zh-CN"/>
        </w:rPr>
        <w:t>图2.1-1 项目地理位置及走势图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eastAsia" w:ascii="Times New Roman" w:hAnsi="Times New Roman" w:eastAsia="宋体" w:cs="Times New Roman"/>
          <w:sz w:val="24"/>
          <w:szCs w:val="24"/>
          <w:lang w:val="en-US" w:eastAsia="zh-CN"/>
        </w:rPr>
      </w:pPr>
      <w:bookmarkStart w:id="20" w:name="_Toc9834"/>
      <w:r>
        <w:rPr>
          <w:rFonts w:hint="eastAsia" w:ascii="Times New Roman" w:hAnsi="Times New Roman" w:eastAsia="宋体" w:cs="Times New Roman"/>
          <w:sz w:val="24"/>
          <w:szCs w:val="24"/>
          <w:lang w:val="en-US" w:eastAsia="zh-CN"/>
        </w:rPr>
        <w:t>2.3</w:t>
      </w:r>
      <w:r>
        <w:rPr>
          <w:rFonts w:hint="eastAsia" w:ascii="Times New Roman" w:hAnsi="Times New Roman" w:eastAsia="宋体" w:cs="Times New Roman"/>
          <w:color w:val="auto"/>
          <w:sz w:val="24"/>
          <w:szCs w:val="24"/>
          <w:lang w:val="en-US" w:eastAsia="zh-CN"/>
        </w:rPr>
        <w:t>建设内容</w:t>
      </w:r>
      <w:bookmarkEnd w:id="2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宋体" w:cs="Times New Roman"/>
          <w:sz w:val="24"/>
          <w:szCs w:val="24"/>
          <w:lang w:val="en-US" w:eastAsia="zh-CN"/>
        </w:rPr>
      </w:pPr>
      <w:bookmarkStart w:id="21" w:name="_Toc17478"/>
      <w:r>
        <w:rPr>
          <w:rFonts w:hint="eastAsia" w:ascii="Times New Roman" w:hAnsi="Times New Roman" w:eastAsia="宋体" w:cs="Times New Roman"/>
          <w:sz w:val="24"/>
          <w:szCs w:val="24"/>
          <w:lang w:val="en-US" w:eastAsia="zh-CN"/>
        </w:rPr>
        <w:t>2.3.1建设规模及主要技术指标</w:t>
      </w:r>
      <w:bookmarkEnd w:id="2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本项目全长3493m，路面宽30m，为沥青混凝土路面，设计时速40km/h，为双向4车道城市</w:t>
      </w:r>
      <w:r>
        <w:rPr>
          <w:rFonts w:hint="eastAsia" w:ascii="宋体" w:hAnsi="宋体" w:eastAsia="宋体" w:cs="宋体"/>
          <w:sz w:val="24"/>
          <w:szCs w:val="24"/>
          <w:lang w:val="en-US" w:eastAsia="zh-CN"/>
        </w:rPr>
        <w:t>Ⅰ</w:t>
      </w:r>
      <w:r>
        <w:rPr>
          <w:rFonts w:hint="eastAsia" w:ascii="Times New Roman" w:hAnsi="Times New Roman" w:eastAsia="宋体" w:cs="Times New Roman"/>
          <w:sz w:val="24"/>
          <w:szCs w:val="24"/>
          <w:lang w:val="en-US" w:eastAsia="zh-CN"/>
        </w:rPr>
        <w:t>级次干道，工程总投资28410万元。本项目为新建项目。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本项目线性较好，高填深挖路段较少。项目主要技术指标、工程内容见表2.3.1-1。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表2.3.1-1 项目主要技术指标及工程内容</w:t>
      </w:r>
    </w:p>
    <w:tbl>
      <w:tblPr>
        <w:tblStyle w:val="9"/>
        <w:tblW w:w="76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2231"/>
        <w:gridCol w:w="2231"/>
        <w:gridCol w:w="1330"/>
        <w:gridCol w:w="1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33" w:hRule="atLeast"/>
          <w:tblHeader/>
          <w:jc w:val="center"/>
        </w:trPr>
        <w:tc>
          <w:tcPr>
            <w:tcW w:w="4462" w:type="dxa"/>
            <w:gridSpan w:val="2"/>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2"/>
                <w:szCs w:val="22"/>
                <w:u w:val="none"/>
              </w:rPr>
            </w:pPr>
            <w:r>
              <w:rPr>
                <w:rStyle w:val="16"/>
                <w:rFonts w:hint="default" w:ascii="Times New Roman" w:hAnsi="Times New Roman" w:eastAsia="宋体" w:cs="Times New Roman"/>
                <w:b/>
                <w:bCs/>
                <w:lang w:val="en-US" w:eastAsia="zh-CN" w:bidi="ar"/>
              </w:rPr>
              <w:t>项目</w:t>
            </w:r>
          </w:p>
        </w:tc>
        <w:tc>
          <w:tcPr>
            <w:tcW w:w="133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2"/>
                <w:szCs w:val="22"/>
                <w:u w:val="none"/>
              </w:rPr>
            </w:pPr>
            <w:r>
              <w:rPr>
                <w:rStyle w:val="16"/>
                <w:rFonts w:hint="default" w:ascii="Times New Roman" w:hAnsi="Times New Roman" w:eastAsia="宋体" w:cs="Times New Roman"/>
                <w:b/>
                <w:bCs/>
                <w:lang w:val="en-US" w:eastAsia="zh-CN" w:bidi="ar"/>
              </w:rPr>
              <w:t>单位</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2"/>
                <w:szCs w:val="22"/>
                <w:u w:val="none"/>
              </w:rPr>
            </w:pPr>
            <w:r>
              <w:rPr>
                <w:rStyle w:val="16"/>
                <w:rFonts w:hint="eastAsia" w:ascii="Times New Roman" w:hAnsi="Times New Roman" w:eastAsia="宋体" w:cs="Times New Roman"/>
                <w:b/>
                <w:bCs/>
                <w:lang w:val="en-US" w:eastAsia="zh-CN" w:bidi="ar"/>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道路等级</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eastAsia="zh-CN"/>
              </w:rPr>
            </w:pPr>
            <w:r>
              <w:rPr>
                <w:rFonts w:hint="default" w:ascii="Times New Roman" w:hAnsi="Times New Roman" w:eastAsia="宋体" w:cs="Times New Roman"/>
                <w:b w:val="0"/>
                <w:bCs w:val="0"/>
                <w:i w:val="0"/>
                <w:color w:val="000000"/>
                <w:sz w:val="20"/>
                <w:szCs w:val="20"/>
                <w:u w:val="none"/>
                <w:lang w:eastAsia="zh-CN"/>
              </w:rPr>
              <w:t>—</w:t>
            </w:r>
          </w:p>
        </w:tc>
        <w:tc>
          <w:tcPr>
            <w:tcW w:w="185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rPr>
            </w:pPr>
            <w:r>
              <w:rPr>
                <w:rStyle w:val="16"/>
                <w:rFonts w:hint="default" w:ascii="Times New Roman" w:hAnsi="Times New Roman" w:eastAsia="宋体" w:cs="Times New Roman"/>
                <w:b w:val="0"/>
                <w:bCs w:val="0"/>
                <w:lang w:val="en-US" w:eastAsia="zh-CN" w:bidi="ar"/>
              </w:rPr>
              <w:t>城市</w:t>
            </w:r>
            <w:r>
              <w:rPr>
                <w:rStyle w:val="17"/>
                <w:rFonts w:hint="default" w:ascii="Times New Roman" w:hAnsi="Times New Roman" w:eastAsia="宋体" w:cs="Times New Roman"/>
                <w:b w:val="0"/>
                <w:bCs w:val="0"/>
                <w:lang w:val="en-US" w:eastAsia="zh-CN" w:bidi="ar"/>
              </w:rPr>
              <w:t>I</w:t>
            </w:r>
            <w:r>
              <w:rPr>
                <w:rStyle w:val="16"/>
                <w:rFonts w:hint="eastAsia" w:ascii="Times New Roman" w:hAnsi="Times New Roman" w:eastAsia="宋体" w:cs="Times New Roman"/>
                <w:b w:val="0"/>
                <w:bCs w:val="0"/>
                <w:lang w:val="en-US" w:eastAsia="zh-CN" w:bidi="ar"/>
              </w:rPr>
              <w:t>级次干道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计算行车速度</w:t>
            </w:r>
          </w:p>
        </w:tc>
        <w:tc>
          <w:tcPr>
            <w:tcW w:w="133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rPr>
            </w:pPr>
            <w:r>
              <w:rPr>
                <w:rStyle w:val="17"/>
                <w:rFonts w:hint="default" w:ascii="Times New Roman" w:hAnsi="Times New Roman" w:eastAsia="宋体" w:cs="Times New Roman"/>
                <w:b w:val="0"/>
                <w:bCs w:val="0"/>
                <w:lang w:val="en-US" w:eastAsia="zh-CN" w:bidi="ar"/>
              </w:rPr>
              <w:t>km/h</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rPr>
            </w:pPr>
            <w:r>
              <w:rPr>
                <w:rFonts w:hint="eastAsia" w:ascii="Times New Roman" w:hAnsi="Times New Roman" w:eastAsia="宋体" w:cs="Times New Roman"/>
                <w:b w:val="0"/>
                <w:bCs w:val="0"/>
                <w:i w:val="0"/>
                <w:color w:val="000000"/>
                <w:kern w:val="0"/>
                <w:sz w:val="22"/>
                <w:szCs w:val="22"/>
                <w:u w:val="none"/>
                <w:lang w:val="en-US" w:eastAsia="zh-CN" w:bidi="ar"/>
              </w:rPr>
              <w:t>4</w:t>
            </w:r>
            <w:r>
              <w:rPr>
                <w:rFonts w:hint="default" w:ascii="Times New Roman" w:hAnsi="Times New Roman" w:eastAsia="宋体" w:cs="Times New Roman"/>
                <w:b w:val="0"/>
                <w:bCs w:val="0"/>
                <w:i w:val="0"/>
                <w:color w:val="000000"/>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路基宽度</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lang w:val="en-US"/>
              </w:rPr>
            </w:pPr>
            <w:r>
              <w:rPr>
                <w:rStyle w:val="17"/>
                <w:rFonts w:hint="eastAsia" w:ascii="Times New Roman" w:hAnsi="Times New Roman" w:eastAsia="宋体" w:cs="Times New Roman"/>
                <w:b w:val="0"/>
                <w:bCs w:val="0"/>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2231" w:type="dxa"/>
            <w:vMerge w:val="restart"/>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土石方量工程</w:t>
            </w:r>
          </w:p>
        </w:tc>
        <w:tc>
          <w:tcPr>
            <w:tcW w:w="2231" w:type="dxa"/>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挖方</w:t>
            </w:r>
          </w:p>
        </w:tc>
        <w:tc>
          <w:tcPr>
            <w:tcW w:w="1330" w:type="dxa"/>
            <w:shd w:val="clear" w:color="auto" w:fill="auto"/>
            <w:noWrap/>
            <w:tcMar>
              <w:top w:w="15" w:type="dxa"/>
              <w:left w:w="15" w:type="dxa"/>
              <w:right w:w="15" w:type="dxa"/>
            </w:tcMar>
            <w:vAlign w:val="center"/>
          </w:tcPr>
          <w:p>
            <w:pPr>
              <w:jc w:val="center"/>
              <w:rPr>
                <w:rFonts w:hint="default"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万m</w:t>
            </w:r>
            <w:r>
              <w:rPr>
                <w:rFonts w:hint="eastAsia" w:ascii="Times New Roman" w:hAnsi="Times New Roman" w:eastAsia="宋体" w:cs="Times New Roman"/>
                <w:b w:val="0"/>
                <w:bCs w:val="0"/>
                <w:i w:val="0"/>
                <w:color w:val="000000"/>
                <w:sz w:val="20"/>
                <w:szCs w:val="20"/>
                <w:u w:val="none"/>
                <w:vertAlign w:val="superscript"/>
                <w:lang w:val="en-US" w:eastAsia="zh-CN"/>
              </w:rPr>
              <w:t>3</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7.22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2231" w:type="dxa"/>
            <w:vMerge w:val="continue"/>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p>
        </w:tc>
        <w:tc>
          <w:tcPr>
            <w:tcW w:w="2231" w:type="dxa"/>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填方</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万m</w:t>
            </w:r>
            <w:r>
              <w:rPr>
                <w:rFonts w:hint="eastAsia" w:ascii="Times New Roman" w:hAnsi="Times New Roman" w:eastAsia="宋体" w:cs="Times New Roman"/>
                <w:b w:val="0"/>
                <w:bCs w:val="0"/>
                <w:i w:val="0"/>
                <w:color w:val="000000"/>
                <w:sz w:val="20"/>
                <w:szCs w:val="20"/>
                <w:u w:val="none"/>
                <w:vertAlign w:val="superscript"/>
                <w:lang w:val="en-US" w:eastAsia="zh-CN"/>
              </w:rPr>
              <w:t>3</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2231" w:type="dxa"/>
            <w:vMerge w:val="restart"/>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路面工程</w:t>
            </w:r>
          </w:p>
        </w:tc>
        <w:tc>
          <w:tcPr>
            <w:tcW w:w="2231" w:type="dxa"/>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路面</w:t>
            </w:r>
          </w:p>
        </w:tc>
        <w:tc>
          <w:tcPr>
            <w:tcW w:w="1330" w:type="dxa"/>
            <w:shd w:val="clear" w:color="auto" w:fill="auto"/>
            <w:noWrap/>
            <w:tcMar>
              <w:top w:w="15" w:type="dxa"/>
              <w:left w:w="15" w:type="dxa"/>
              <w:right w:w="15" w:type="dxa"/>
            </w:tcMar>
            <w:vAlign w:val="center"/>
          </w:tcPr>
          <w:p>
            <w:pPr>
              <w:jc w:val="center"/>
              <w:rPr>
                <w:rFonts w:hint="default"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r>
              <w:rPr>
                <w:rFonts w:hint="eastAsia" w:ascii="Times New Roman" w:hAnsi="Times New Roman" w:eastAsia="宋体" w:cs="Times New Roman"/>
                <w:b w:val="0"/>
                <w:bCs w:val="0"/>
                <w:i w:val="0"/>
                <w:color w:val="000000"/>
                <w:sz w:val="20"/>
                <w:szCs w:val="20"/>
                <w:u w:val="none"/>
                <w:vertAlign w:val="superscript"/>
                <w:lang w:val="en-US" w:eastAsia="zh-CN"/>
              </w:rPr>
              <w:t>2</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55840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2231" w:type="dxa"/>
            <w:vMerge w:val="continue"/>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p>
        </w:tc>
        <w:tc>
          <w:tcPr>
            <w:tcW w:w="2231" w:type="dxa"/>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人行道</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路基防护工程</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r>
              <w:rPr>
                <w:rFonts w:hint="eastAsia" w:ascii="Times New Roman" w:hAnsi="Times New Roman" w:eastAsia="宋体" w:cs="Times New Roman"/>
                <w:b w:val="0"/>
                <w:bCs w:val="0"/>
                <w:i w:val="0"/>
                <w:color w:val="000000"/>
                <w:sz w:val="20"/>
                <w:szCs w:val="20"/>
                <w:u w:val="none"/>
                <w:vertAlign w:val="superscript"/>
                <w:lang w:val="en-US" w:eastAsia="zh-CN"/>
              </w:rPr>
              <w:t>2</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2503.61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雨水工程</w:t>
            </w:r>
          </w:p>
        </w:tc>
        <w:tc>
          <w:tcPr>
            <w:tcW w:w="1330" w:type="dxa"/>
            <w:shd w:val="clear" w:color="auto" w:fill="auto"/>
            <w:noWrap/>
            <w:tcMar>
              <w:top w:w="15" w:type="dxa"/>
              <w:left w:w="15" w:type="dxa"/>
              <w:right w:w="15" w:type="dxa"/>
            </w:tcMar>
            <w:vAlign w:val="center"/>
          </w:tcPr>
          <w:p>
            <w:pPr>
              <w:jc w:val="center"/>
              <w:rPr>
                <w:rFonts w:hint="default"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3.490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污水工程</w:t>
            </w:r>
          </w:p>
        </w:tc>
        <w:tc>
          <w:tcPr>
            <w:tcW w:w="1330" w:type="dxa"/>
            <w:shd w:val="clear" w:color="auto" w:fill="auto"/>
            <w:noWrap/>
            <w:tcMar>
              <w:top w:w="15" w:type="dxa"/>
              <w:left w:w="15" w:type="dxa"/>
              <w:right w:w="15" w:type="dxa"/>
            </w:tcMar>
            <w:vAlign w:val="center"/>
          </w:tcPr>
          <w:p>
            <w:pPr>
              <w:jc w:val="center"/>
              <w:rPr>
                <w:rFonts w:hint="default"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3.490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给水工程</w:t>
            </w:r>
          </w:p>
        </w:tc>
        <w:tc>
          <w:tcPr>
            <w:tcW w:w="1330" w:type="dxa"/>
            <w:shd w:val="clear" w:color="auto" w:fill="auto"/>
            <w:noWrap/>
            <w:tcMar>
              <w:top w:w="15" w:type="dxa"/>
              <w:left w:w="15" w:type="dxa"/>
              <w:right w:w="15" w:type="dxa"/>
            </w:tcMar>
            <w:vAlign w:val="center"/>
          </w:tcPr>
          <w:p>
            <w:pPr>
              <w:jc w:val="center"/>
              <w:rPr>
                <w:rFonts w:hint="default"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3.490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排水工程</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3.490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燃气工程</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3.490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路灯照明工程</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盏</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电子警察</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一个路口</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行道树工程</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棵</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2792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绿化带工程</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r>
              <w:rPr>
                <w:rFonts w:hint="eastAsia" w:ascii="Times New Roman" w:hAnsi="Times New Roman" w:eastAsia="宋体" w:cs="Times New Roman"/>
                <w:b w:val="0"/>
                <w:bCs w:val="0"/>
                <w:i w:val="0"/>
                <w:color w:val="000000"/>
                <w:sz w:val="20"/>
                <w:szCs w:val="20"/>
                <w:u w:val="none"/>
                <w:vertAlign w:val="superscript"/>
                <w:lang w:val="en-US" w:eastAsia="zh-CN"/>
              </w:rPr>
              <w:t>2</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24437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桥梁工程</w:t>
            </w:r>
          </w:p>
        </w:tc>
        <w:tc>
          <w:tcPr>
            <w:tcW w:w="1330" w:type="dxa"/>
            <w:shd w:val="clear" w:color="auto" w:fill="auto"/>
            <w:noWrap/>
            <w:tcMar>
              <w:top w:w="15" w:type="dxa"/>
              <w:left w:w="15" w:type="dxa"/>
              <w:right w:w="15" w:type="dxa"/>
            </w:tcMar>
            <w:vAlign w:val="center"/>
          </w:tcPr>
          <w:p>
            <w:pPr>
              <w:jc w:val="center"/>
              <w:rPr>
                <w:rFonts w:hint="default"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m/座</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26.8/1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占地</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hm</w:t>
            </w:r>
            <w:r>
              <w:rPr>
                <w:rFonts w:hint="eastAsia" w:ascii="Times New Roman" w:hAnsi="Times New Roman" w:eastAsia="宋体" w:cs="Times New Roman"/>
                <w:b w:val="0"/>
                <w:bCs w:val="0"/>
                <w:i w:val="0"/>
                <w:color w:val="000000"/>
                <w:sz w:val="20"/>
                <w:szCs w:val="20"/>
                <w:u w:val="none"/>
                <w:vertAlign w:val="superscript"/>
                <w:lang w:val="en-US" w:eastAsia="zh-CN"/>
              </w:rPr>
              <w:t>2</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11.52</w:t>
            </w:r>
          </w:p>
        </w:tc>
      </w:tr>
    </w:tbl>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路面工程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路面结构采用沥青路面：62cm=5cm</w:t>
      </w:r>
      <w:r>
        <w:rPr>
          <w:rFonts w:hint="eastAsia" w:ascii="Times New Roman" w:hAnsi="Times New Roman" w:eastAsia="宋体" w:cs="Times New Roman"/>
          <w:sz w:val="24"/>
          <w:szCs w:val="24"/>
          <w:lang w:val="en-US" w:eastAsia="zh-CN"/>
        </w:rPr>
        <w:t>细粒式</w:t>
      </w:r>
      <w:r>
        <w:rPr>
          <w:rFonts w:hint="default" w:ascii="Times New Roman" w:hAnsi="Times New Roman" w:eastAsia="宋体" w:cs="Times New Roman"/>
          <w:sz w:val="24"/>
          <w:szCs w:val="24"/>
          <w:lang w:val="en-US" w:eastAsia="zh-CN"/>
        </w:rPr>
        <w:t>沥青</w:t>
      </w:r>
      <w:r>
        <w:rPr>
          <w:rFonts w:hint="eastAsia" w:ascii="Times New Roman" w:hAnsi="Times New Roman" w:eastAsia="宋体" w:cs="Times New Roman"/>
          <w:sz w:val="24"/>
          <w:szCs w:val="24"/>
          <w:lang w:val="en-US" w:eastAsia="zh-CN"/>
        </w:rPr>
        <w:t>混凝土</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SMA-13 SBS</w:t>
      </w:r>
      <w:r>
        <w:rPr>
          <w:rFonts w:hint="default" w:ascii="Times New Roman" w:hAnsi="Times New Roman" w:eastAsia="宋体" w:cs="Times New Roman"/>
          <w:sz w:val="24"/>
          <w:szCs w:val="24"/>
          <w:lang w:val="en-US" w:eastAsia="zh-CN"/>
        </w:rPr>
        <w:t>改性)+5cm</w:t>
      </w:r>
      <w:r>
        <w:rPr>
          <w:rFonts w:hint="eastAsia" w:ascii="Times New Roman" w:hAnsi="Times New Roman" w:eastAsia="宋体" w:cs="Times New Roman"/>
          <w:sz w:val="24"/>
          <w:szCs w:val="24"/>
          <w:lang w:val="en-US" w:eastAsia="zh-CN"/>
        </w:rPr>
        <w:t>中粒式</w:t>
      </w:r>
      <w:r>
        <w:rPr>
          <w:rFonts w:hint="default" w:ascii="Times New Roman" w:hAnsi="Times New Roman" w:eastAsia="宋体" w:cs="Times New Roman"/>
          <w:sz w:val="24"/>
          <w:szCs w:val="24"/>
          <w:lang w:val="en-US" w:eastAsia="zh-CN"/>
        </w:rPr>
        <w:t>沥青</w:t>
      </w:r>
      <w:r>
        <w:rPr>
          <w:rFonts w:hint="eastAsia" w:ascii="Times New Roman" w:hAnsi="Times New Roman" w:eastAsia="宋体" w:cs="Times New Roman"/>
          <w:sz w:val="24"/>
          <w:szCs w:val="24"/>
          <w:lang w:val="en-US" w:eastAsia="zh-CN"/>
        </w:rPr>
        <w:t>混凝土</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AC-20C</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+7cm粗颗粒式沥青混凝土(AC-25C)</w:t>
      </w:r>
      <w:r>
        <w:rPr>
          <w:rFonts w:hint="default" w:ascii="Times New Roman" w:hAnsi="Times New Roman" w:eastAsia="宋体" w:cs="Times New Roman"/>
          <w:sz w:val="24"/>
          <w:szCs w:val="24"/>
          <w:lang w:val="en-US" w:eastAsia="zh-CN"/>
        </w:rPr>
        <w:t>+玻璃纤维格栅一层((BJG80×80，搭接系数1.05)+</w:t>
      </w:r>
      <w:r>
        <w:rPr>
          <w:rFonts w:hint="eastAsia" w:ascii="Times New Roman" w:hAnsi="Times New Roman" w:eastAsia="宋体" w:cs="Times New Roman"/>
          <w:sz w:val="24"/>
          <w:szCs w:val="24"/>
          <w:lang w:val="en-US" w:eastAsia="zh-CN"/>
        </w:rPr>
        <w:t>透油层+</w:t>
      </w:r>
      <w:r>
        <w:rPr>
          <w:rFonts w:hint="default" w:ascii="Times New Roman" w:hAnsi="Times New Roman" w:eastAsia="宋体" w:cs="Times New Roman"/>
          <w:sz w:val="24"/>
          <w:szCs w:val="24"/>
          <w:lang w:val="en-US" w:eastAsia="zh-CN"/>
        </w:rPr>
        <w:t>30cm水泥稳定碎石+15cm级配碎石。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人行道结构：5cm</w:t>
      </w:r>
      <w:r>
        <w:rPr>
          <w:rFonts w:hint="eastAsia" w:ascii="Times New Roman" w:hAnsi="Times New Roman" w:eastAsia="宋体" w:cs="Times New Roman"/>
          <w:sz w:val="24"/>
          <w:szCs w:val="24"/>
          <w:lang w:val="en-US" w:eastAsia="zh-CN"/>
        </w:rPr>
        <w:t>通体透水性</w:t>
      </w:r>
      <w:r>
        <w:rPr>
          <w:rFonts w:hint="default" w:ascii="Times New Roman" w:hAnsi="Times New Roman" w:eastAsia="宋体" w:cs="Times New Roman"/>
          <w:sz w:val="24"/>
          <w:szCs w:val="24"/>
          <w:lang w:val="en-US" w:eastAsia="zh-CN"/>
        </w:rPr>
        <w:t>砖</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2cm</w:t>
      </w:r>
      <w:r>
        <w:rPr>
          <w:rFonts w:hint="eastAsia" w:ascii="Times New Roman" w:hAnsi="Times New Roman" w:eastAsia="宋体" w:cs="Times New Roman"/>
          <w:sz w:val="24"/>
          <w:szCs w:val="24"/>
          <w:lang w:val="en-US" w:eastAsia="zh-CN"/>
        </w:rPr>
        <w:t>干硬性</w:t>
      </w:r>
      <w:r>
        <w:rPr>
          <w:rFonts w:hint="default" w:ascii="Times New Roman" w:hAnsi="Times New Roman" w:eastAsia="宋体" w:cs="Times New Roman"/>
          <w:sz w:val="24"/>
          <w:szCs w:val="24"/>
          <w:lang w:val="en-US" w:eastAsia="zh-CN"/>
        </w:rPr>
        <w:t>水泥砂浆；10cmC1</w:t>
      </w:r>
      <w:r>
        <w:rPr>
          <w:rFonts w:hint="eastAsia" w:ascii="Times New Roman" w:hAnsi="Times New Roman" w:eastAsia="宋体" w:cs="Times New Roman"/>
          <w:sz w:val="24"/>
          <w:szCs w:val="24"/>
          <w:lang w:val="en-US" w:eastAsia="zh-CN"/>
        </w:rPr>
        <w:t>5透水</w:t>
      </w:r>
      <w:r>
        <w:rPr>
          <w:rFonts w:hint="default" w:ascii="Times New Roman" w:hAnsi="Times New Roman" w:eastAsia="宋体" w:cs="Times New Roman"/>
          <w:sz w:val="24"/>
          <w:szCs w:val="24"/>
          <w:lang w:val="en-US" w:eastAsia="zh-CN"/>
        </w:rPr>
        <w:t>混凝土；15cm级配碎石，总厚</w:t>
      </w:r>
      <w:r>
        <w:rPr>
          <w:rFonts w:hint="eastAsia" w:ascii="Times New Roman" w:hAnsi="Times New Roman" w:eastAsia="宋体" w:cs="Times New Roman"/>
          <w:sz w:val="24"/>
          <w:szCs w:val="24"/>
          <w:lang w:val="en-US" w:eastAsia="zh-CN"/>
        </w:rPr>
        <w:t>32</w:t>
      </w:r>
      <w:r>
        <w:rPr>
          <w:rFonts w:hint="default" w:ascii="Times New Roman" w:hAnsi="Times New Roman" w:eastAsia="宋体" w:cs="Times New Roman"/>
          <w:sz w:val="24"/>
          <w:szCs w:val="24"/>
          <w:lang w:val="en-US" w:eastAsia="zh-CN"/>
        </w:rPr>
        <w:t>cm。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横断面设计：</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0m=</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m人行道+</w:t>
      </w:r>
      <w:r>
        <w:rPr>
          <w:rFonts w:hint="eastAsia" w:ascii="Times New Roman" w:hAnsi="Times New Roman" w:eastAsia="宋体" w:cs="Times New Roman"/>
          <w:sz w:val="24"/>
          <w:szCs w:val="24"/>
          <w:lang w:val="en-US" w:eastAsia="zh-CN"/>
        </w:rPr>
        <w:t>1.5</w:t>
      </w:r>
      <w:r>
        <w:rPr>
          <w:rFonts w:hint="default" w:ascii="Times New Roman" w:hAnsi="Times New Roman" w:eastAsia="宋体" w:cs="Times New Roman"/>
          <w:sz w:val="24"/>
          <w:szCs w:val="24"/>
          <w:lang w:val="en-US" w:eastAsia="zh-CN"/>
        </w:rPr>
        <w:t>m绿化带+</w:t>
      </w:r>
      <w:r>
        <w:rPr>
          <w:rFonts w:hint="eastAsia" w:ascii="Times New Roman" w:hAnsi="Times New Roman" w:eastAsia="宋体" w:cs="Times New Roman"/>
          <w:sz w:val="24"/>
          <w:szCs w:val="24"/>
          <w:lang w:val="en-US" w:eastAsia="zh-CN"/>
        </w:rPr>
        <w:t>2.5非机动车道+</w:t>
      </w:r>
      <w:r>
        <w:rPr>
          <w:rFonts w:hint="default"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lang w:val="en-US" w:eastAsia="zh-CN"/>
        </w:rPr>
        <w:t>行</w:t>
      </w:r>
      <w:r>
        <w:rPr>
          <w:rFonts w:hint="default" w:ascii="Times New Roman" w:hAnsi="Times New Roman" w:eastAsia="宋体" w:cs="Times New Roman"/>
          <w:sz w:val="24"/>
          <w:szCs w:val="24"/>
          <w:lang w:val="en-US" w:eastAsia="zh-CN"/>
        </w:rPr>
        <w:t>车道</w:t>
      </w:r>
      <w:r>
        <w:rPr>
          <w:rFonts w:hint="eastAsia" w:ascii="Times New Roman" w:hAnsi="Times New Roman" w:eastAsia="宋体" w:cs="Times New Roman"/>
          <w:sz w:val="24"/>
          <w:szCs w:val="24"/>
          <w:lang w:val="en-US" w:eastAsia="zh-CN"/>
        </w:rPr>
        <w:t>+2.5m非机动车道</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1.5</w:t>
      </w:r>
      <w:r>
        <w:rPr>
          <w:rFonts w:hint="default" w:ascii="Times New Roman" w:hAnsi="Times New Roman" w:eastAsia="宋体" w:cs="Times New Roman"/>
          <w:sz w:val="24"/>
          <w:szCs w:val="24"/>
          <w:lang w:val="en-US" w:eastAsia="zh-CN"/>
        </w:rPr>
        <w:t>m绿化带+</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m人行道。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（2）路基工程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路堤边坡坡率根据填料性质，边坡高度和基底地质条件同排水及防护工程综合考虑确定；一般填方路基，当路堤高度小于等于12m时，边坡率1：1.5；当路堤高度大于12m时，采用台阶式边坡，从上至下每8m分一级，级与级中间设2m宽的平台，边坡率均采用1：1.5。坡脚设置护坡道，宽度2.0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路堑方案主要根据岩土性质、水文条件、边坡高度等结合路堑排水及防护工程经综合考虑后进行设计</w:t>
      </w:r>
      <w:r>
        <w:rPr>
          <w:rFonts w:hint="eastAsia" w:ascii="Times New Roman" w:hAnsi="Times New Roman" w:eastAsia="宋体" w:cs="Times New Roman"/>
          <w:sz w:val="24"/>
          <w:szCs w:val="24"/>
          <w:lang w:val="en-US" w:eastAsia="zh-CN"/>
        </w:rPr>
        <w:t>并实施</w:t>
      </w:r>
      <w:r>
        <w:rPr>
          <w:rFonts w:hint="default" w:ascii="Times New Roman" w:hAnsi="Times New Roman" w:eastAsia="宋体" w:cs="Times New Roman"/>
          <w:sz w:val="24"/>
          <w:szCs w:val="24"/>
          <w:lang w:val="en-US" w:eastAsia="zh-CN"/>
        </w:rPr>
        <w:t>。采用台阶式边坡，边坡平台宽2.0m，每级高度8m，边坡坡率一般按以下原则确定：弱～微风化岩层边坡坡率1：0.35～0.5，强风化岩层边坡率1：0.5～0.75，全风化岩层及土质边坡坡率1：1～1：1.25。坡脚设置碎落台，宽1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auto"/>
          <w:sz w:val="24"/>
          <w:szCs w:val="24"/>
          <w:lang w:val="en-US" w:eastAsia="zh-CN"/>
        </w:rPr>
        <w:t>（3）交叉工程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本项目交叉工程详见表2.3.1-2</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表2.3.1-2交叉工程一览表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2347"/>
        <w:gridCol w:w="2068"/>
        <w:gridCol w:w="1704"/>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6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序号</w:t>
            </w:r>
          </w:p>
        </w:tc>
        <w:tc>
          <w:tcPr>
            <w:tcW w:w="23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中心桩号</w:t>
            </w:r>
          </w:p>
        </w:tc>
        <w:tc>
          <w:tcPr>
            <w:tcW w:w="20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交叉道路</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交叉形式</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23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K0+000</w:t>
            </w:r>
          </w:p>
        </w:tc>
        <w:tc>
          <w:tcPr>
            <w:tcW w:w="20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青龙路</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T字形交叉</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w:t>
            </w:r>
          </w:p>
        </w:tc>
        <w:tc>
          <w:tcPr>
            <w:tcW w:w="23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K0+400</w:t>
            </w:r>
          </w:p>
        </w:tc>
        <w:tc>
          <w:tcPr>
            <w:tcW w:w="20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沙果路</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十字形交叉</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w:t>
            </w:r>
          </w:p>
        </w:tc>
        <w:tc>
          <w:tcPr>
            <w:tcW w:w="23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K0+980</w:t>
            </w:r>
          </w:p>
        </w:tc>
        <w:tc>
          <w:tcPr>
            <w:tcW w:w="20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龙井路</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T字形交叉</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w:t>
            </w:r>
          </w:p>
        </w:tc>
        <w:tc>
          <w:tcPr>
            <w:tcW w:w="23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K1+320</w:t>
            </w:r>
          </w:p>
        </w:tc>
        <w:tc>
          <w:tcPr>
            <w:tcW w:w="20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坝塘南路</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T字形交叉</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w:t>
            </w:r>
          </w:p>
        </w:tc>
        <w:tc>
          <w:tcPr>
            <w:tcW w:w="23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K1+450</w:t>
            </w:r>
          </w:p>
        </w:tc>
        <w:tc>
          <w:tcPr>
            <w:tcW w:w="20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金苏大道</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十字形交叉</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w:t>
            </w:r>
          </w:p>
        </w:tc>
        <w:tc>
          <w:tcPr>
            <w:tcW w:w="23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K1+880</w:t>
            </w:r>
          </w:p>
        </w:tc>
        <w:tc>
          <w:tcPr>
            <w:tcW w:w="20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海马二路</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T字形交叉</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7</w:t>
            </w:r>
          </w:p>
        </w:tc>
        <w:tc>
          <w:tcPr>
            <w:tcW w:w="23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K2+230</w:t>
            </w:r>
          </w:p>
        </w:tc>
        <w:tc>
          <w:tcPr>
            <w:tcW w:w="20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海马一路</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T字形交叉</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8</w:t>
            </w:r>
          </w:p>
        </w:tc>
        <w:tc>
          <w:tcPr>
            <w:tcW w:w="23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K2+450</w:t>
            </w:r>
          </w:p>
        </w:tc>
        <w:tc>
          <w:tcPr>
            <w:tcW w:w="20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金干路</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十字形交叉</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9</w:t>
            </w:r>
          </w:p>
        </w:tc>
        <w:tc>
          <w:tcPr>
            <w:tcW w:w="23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K2+750</w:t>
            </w:r>
          </w:p>
        </w:tc>
        <w:tc>
          <w:tcPr>
            <w:tcW w:w="20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南六纵路</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T字形交叉</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w:t>
            </w:r>
          </w:p>
        </w:tc>
        <w:tc>
          <w:tcPr>
            <w:tcW w:w="23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K3+100</w:t>
            </w:r>
          </w:p>
        </w:tc>
        <w:tc>
          <w:tcPr>
            <w:tcW w:w="20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南白路</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T字形交叉</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11</w:t>
            </w:r>
          </w:p>
        </w:tc>
        <w:tc>
          <w:tcPr>
            <w:tcW w:w="23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K3+491</w:t>
            </w:r>
          </w:p>
        </w:tc>
        <w:tc>
          <w:tcPr>
            <w:tcW w:w="20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南海路</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T字形交叉</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（4）桥梁工程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本项目在K2+550处跨越大泥窝河，此处桥梁长26.8m，宽30m。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本项目未涉及涵洞和隧道工程。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（5）沿线设施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本项目沿线建设有完善的排水系统，主要由边沟、排水沟、截水沟、检查井等组成，能有效截留本项目产生的污水，防止其对环境造成更大的影响。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本项目设置的交通设施包括警告标志、禁令标志、指示标志、导向标志、交通标线、防护设施等。在人行道及道路中间绿化带设置有双臂路灯，设置间距约为25米，能对道路进行有效照明。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本项目在人行道种植有行道树，道路中间设有绿化带。沿线设置护栏、标志牌、信息板、环卫设施等。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本项目未设置专门的去料场，所需砂石、沥青等全部购买，设有3处临时弃土场，多余弃方运至青龙路弃土场，永久弃土场属于洼地，现已经过平整，规划为园区建设项目用地。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宋体" w:cs="Times New Roman"/>
          <w:sz w:val="24"/>
          <w:szCs w:val="24"/>
          <w:lang w:val="en-US" w:eastAsia="zh-CN"/>
        </w:rPr>
      </w:pPr>
      <w:bookmarkStart w:id="22" w:name="_Toc28554"/>
      <w:r>
        <w:rPr>
          <w:rFonts w:hint="eastAsia" w:ascii="Times New Roman" w:hAnsi="Times New Roman" w:eastAsia="宋体" w:cs="Times New Roman"/>
          <w:sz w:val="24"/>
          <w:szCs w:val="24"/>
          <w:lang w:val="en-US" w:eastAsia="zh-CN"/>
        </w:rPr>
        <w:t>2.3.2项目工程量</w:t>
      </w:r>
      <w:bookmarkEnd w:id="2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本项目建设道路55840m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，挖方7.22万m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vertAlign w:val="baseline"/>
          <w:lang w:val="en-US" w:eastAsia="zh-CN"/>
        </w:rPr>
        <w:t>（其中土方4.37</w:t>
      </w:r>
      <w:r>
        <w:rPr>
          <w:rFonts w:hint="eastAsia" w:ascii="Times New Roman" w:hAnsi="Times New Roman" w:eastAsia="宋体" w:cs="Times New Roman"/>
          <w:sz w:val="24"/>
          <w:szCs w:val="24"/>
          <w:lang w:val="en-US" w:eastAsia="zh-CN"/>
        </w:rPr>
        <w:t>万m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vertAlign w:val="baseline"/>
          <w:lang w:val="en-US" w:eastAsia="zh-CN"/>
        </w:rPr>
        <w:t>，石方2.85</w:t>
      </w:r>
      <w:r>
        <w:rPr>
          <w:rFonts w:hint="eastAsia" w:ascii="Times New Roman" w:hAnsi="Times New Roman" w:eastAsia="宋体" w:cs="Times New Roman"/>
          <w:sz w:val="24"/>
          <w:szCs w:val="24"/>
          <w:lang w:val="en-US" w:eastAsia="zh-CN"/>
        </w:rPr>
        <w:t>万m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eastAsia="宋体" w:cs="Times New Roman"/>
          <w:sz w:val="24"/>
          <w:szCs w:val="24"/>
          <w:lang w:val="en-US" w:eastAsia="zh-CN"/>
        </w:rPr>
        <w:t>，填方5.94万m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（其中土方3.09万m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，石方2.85万m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）。永久性占地11.52hm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（其中建筑用地0.14</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、林地0.06</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、荒草地0.62</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、水田2.88</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、旱地9.46</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、水域0.06</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、交通用地0.06</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宋体" w:cs="Times New Roman"/>
          <w:sz w:val="24"/>
          <w:szCs w:val="24"/>
          <w:lang w:val="en-US" w:eastAsia="zh-CN"/>
        </w:rPr>
      </w:pPr>
      <w:bookmarkStart w:id="23" w:name="_Toc14824"/>
      <w:r>
        <w:rPr>
          <w:rFonts w:hint="eastAsia" w:ascii="Times New Roman" w:hAnsi="Times New Roman" w:eastAsia="宋体" w:cs="Times New Roman"/>
          <w:sz w:val="24"/>
          <w:szCs w:val="24"/>
          <w:lang w:val="en-US" w:eastAsia="zh-CN"/>
        </w:rPr>
        <w:t>2.3.3项目变更情况</w:t>
      </w:r>
      <w:bookmarkEnd w:id="2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本项目基本按照环评报告书所列内容进行施工建设，无重大变更。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left"/>
        <w:textAlignment w:val="auto"/>
        <w:outlineLvl w:val="1"/>
        <w:rPr>
          <w:rFonts w:hint="default" w:ascii="Times New Roman" w:hAnsi="Times New Roman" w:eastAsia="宋体" w:cs="Times New Roman"/>
          <w:sz w:val="24"/>
          <w:szCs w:val="24"/>
          <w:lang w:val="en-US" w:eastAsia="zh-CN"/>
        </w:rPr>
      </w:pPr>
      <w:bookmarkStart w:id="24" w:name="_Toc9787"/>
      <w:r>
        <w:rPr>
          <w:rFonts w:hint="eastAsia" w:ascii="Times New Roman" w:hAnsi="Times New Roman" w:eastAsia="宋体" w:cs="Times New Roman"/>
          <w:sz w:val="24"/>
          <w:szCs w:val="24"/>
          <w:lang w:val="en-US" w:eastAsia="zh-CN"/>
        </w:rPr>
        <w:t>2.4 环保投资</w:t>
      </w:r>
      <w:bookmarkEnd w:id="2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本项目环保投资249.5万元，项目总投资28410万元，环保投资占项目总投资的0.88%。</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lang w:val="en-US" w:eastAsia="zh-CN"/>
        </w:rPr>
        <w:t>表2.5-1环保投资一览表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2287"/>
        <w:gridCol w:w="1659"/>
        <w:gridCol w:w="1873"/>
        <w:gridCol w:w="1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序号</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环保措施</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数量</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环评估算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金额（万元）</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实际投资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生产废水沉淀池</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2座</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1.2</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跨河桥梁防撞护栏</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60m</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5.0</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洒水车</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1台</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8</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3</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绿化</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道路沿线</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21.6</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4</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移动声屏障</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2处</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5</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边沟、排水沟、边坡、路基、植被恢复</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道路沿线</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95.43</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6</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环评报告编制</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25</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7</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水保方案编制</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15</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8</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环保工程设计</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15</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9</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施工期环境监测</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1年</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10</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施工期环境监理</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1年</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11</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运营期环境监测</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1年</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12</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人员培训、宣传教育</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13</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环境保护管理</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14</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环保验收</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kern w:val="2"/>
                <w:sz w:val="21"/>
                <w:szCs w:val="21"/>
                <w:vertAlign w:val="baseline"/>
                <w:lang w:val="en-US" w:eastAsia="zh-CN" w:bidi="ar-SA"/>
              </w:rPr>
            </w:pP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25</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15</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不可预见费用</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kern w:val="2"/>
                <w:sz w:val="21"/>
                <w:szCs w:val="21"/>
                <w:vertAlign w:val="baseline"/>
                <w:lang w:val="en-US" w:eastAsia="zh-CN" w:bidi="ar-SA"/>
              </w:rPr>
            </w:pP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12.51</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16</w:t>
            </w:r>
          </w:p>
        </w:tc>
        <w:tc>
          <w:tcPr>
            <w:tcW w:w="3946"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合计</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262.74</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249.5</w:t>
            </w:r>
          </w:p>
        </w:tc>
      </w:tr>
    </w:tbl>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b/>
          <w:bCs/>
          <w:sz w:val="24"/>
          <w:szCs w:val="24"/>
          <w:lang w:val="en-US" w:eastAsia="zh-CN"/>
        </w:rPr>
      </w:pPr>
      <w:bookmarkStart w:id="25" w:name="_Toc12072"/>
      <w:r>
        <w:rPr>
          <w:rFonts w:hint="eastAsia" w:ascii="Times New Roman" w:hAnsi="Times New Roman" w:eastAsia="宋体" w:cs="Times New Roman"/>
          <w:b/>
          <w:bCs/>
          <w:sz w:val="24"/>
          <w:szCs w:val="24"/>
          <w:lang w:val="en-US" w:eastAsia="zh-CN"/>
        </w:rPr>
        <w:t>3 环境影响评价报告回顾</w:t>
      </w:r>
      <w:bookmarkEnd w:id="2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环境影响调查的重要任务之一是查清工程在设计、施工过程中对《环境影响</w:t>
      </w:r>
      <w:r>
        <w:rPr>
          <w:rFonts w:hint="eastAsia" w:ascii="Times New Roman" w:hAnsi="Times New Roman" w:eastAsia="宋体" w:cs="Times New Roman"/>
          <w:sz w:val="24"/>
          <w:szCs w:val="24"/>
          <w:lang w:val="en-US" w:eastAsia="zh-CN"/>
        </w:rPr>
        <w:t>评价</w:t>
      </w:r>
      <w:r>
        <w:rPr>
          <w:rFonts w:hint="default" w:ascii="Times New Roman" w:hAnsi="Times New Roman" w:eastAsia="宋体" w:cs="Times New Roman"/>
          <w:sz w:val="24"/>
          <w:szCs w:val="24"/>
          <w:lang w:val="en-US" w:eastAsia="zh-CN"/>
        </w:rPr>
        <w:t>报告书》及其批复要求的环境保护措施和建议的执行落实情况，因此，回顾《环境影</w:t>
      </w:r>
      <w:r>
        <w:rPr>
          <w:rFonts w:hint="eastAsia" w:ascii="Times New Roman" w:hAnsi="Times New Roman" w:eastAsia="宋体" w:cs="Times New Roman"/>
          <w:sz w:val="24"/>
          <w:szCs w:val="24"/>
          <w:lang w:val="en-US" w:eastAsia="zh-CN"/>
        </w:rPr>
        <w:t>评价</w:t>
      </w:r>
      <w:r>
        <w:rPr>
          <w:rFonts w:hint="default" w:ascii="Times New Roman" w:hAnsi="Times New Roman" w:eastAsia="宋体" w:cs="Times New Roman"/>
          <w:sz w:val="24"/>
          <w:szCs w:val="24"/>
          <w:lang w:val="en-US" w:eastAsia="zh-CN"/>
        </w:rPr>
        <w:t>响报告书》的主要内容以及环保行政主管部门对报告书的批复意见非常重要。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沙文生态科技产业园苏庄路道路工程环境影响评价报告书</w:t>
      </w:r>
      <w:r>
        <w:rPr>
          <w:rFonts w:hint="default" w:ascii="Times New Roman" w:hAnsi="Times New Roman" w:eastAsia="宋体" w:cs="Times New Roman"/>
          <w:sz w:val="24"/>
          <w:szCs w:val="24"/>
          <w:lang w:val="en-US" w:eastAsia="zh-CN"/>
        </w:rPr>
        <w:t>》由</w:t>
      </w:r>
      <w:r>
        <w:rPr>
          <w:rFonts w:hint="eastAsia" w:ascii="Times New Roman" w:hAnsi="Times New Roman" w:eastAsia="宋体" w:cs="Times New Roman"/>
          <w:sz w:val="24"/>
          <w:szCs w:val="24"/>
          <w:lang w:val="en-US" w:eastAsia="zh-CN"/>
        </w:rPr>
        <w:t>贵州省环境科学研究院</w:t>
      </w:r>
      <w:r>
        <w:rPr>
          <w:rFonts w:hint="default" w:ascii="Times New Roman" w:hAnsi="Times New Roman" w:eastAsia="宋体" w:cs="Times New Roman"/>
          <w:sz w:val="24"/>
          <w:szCs w:val="24"/>
          <w:lang w:val="en-US" w:eastAsia="zh-CN"/>
        </w:rPr>
        <w:t>于20</w:t>
      </w:r>
      <w:r>
        <w:rPr>
          <w:rFonts w:hint="eastAsia" w:ascii="Times New Roman" w:hAnsi="Times New Roman" w:eastAsia="宋体" w:cs="Times New Roman"/>
          <w:sz w:val="24"/>
          <w:szCs w:val="24"/>
          <w:lang w:val="en-US" w:eastAsia="zh-CN"/>
        </w:rPr>
        <w:t>11</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02</w:t>
      </w:r>
      <w:r>
        <w:rPr>
          <w:rFonts w:hint="default" w:ascii="Times New Roman" w:hAnsi="Times New Roman" w:eastAsia="宋体" w:cs="Times New Roman"/>
          <w:sz w:val="24"/>
          <w:szCs w:val="24"/>
          <w:lang w:val="en-US" w:eastAsia="zh-CN"/>
        </w:rPr>
        <w:t>月编制完成，并于20</w:t>
      </w:r>
      <w:r>
        <w:rPr>
          <w:rFonts w:hint="eastAsia" w:ascii="Times New Roman" w:hAnsi="Times New Roman" w:eastAsia="宋体" w:cs="Times New Roman"/>
          <w:sz w:val="24"/>
          <w:szCs w:val="24"/>
          <w:lang w:val="en-US" w:eastAsia="zh-CN"/>
        </w:rPr>
        <w:t>11</w:t>
      </w:r>
      <w:r>
        <w:rPr>
          <w:rFonts w:hint="default" w:ascii="Times New Roman" w:hAnsi="Times New Roman" w:eastAsia="宋体" w:cs="Times New Roman"/>
          <w:sz w:val="24"/>
          <w:szCs w:val="24"/>
          <w:lang w:val="en-US" w:eastAsia="zh-CN"/>
        </w:rPr>
        <w:t xml:space="preserve"> 年</w:t>
      </w:r>
      <w:r>
        <w:rPr>
          <w:rFonts w:hint="eastAsia" w:ascii="Times New Roman" w:hAnsi="Times New Roman" w:eastAsia="宋体" w:cs="Times New Roman"/>
          <w:sz w:val="24"/>
          <w:szCs w:val="24"/>
          <w:lang w:val="en-US" w:eastAsia="zh-CN"/>
        </w:rPr>
        <w:t>02</w:t>
      </w:r>
      <w:r>
        <w:rPr>
          <w:rFonts w:hint="default" w:ascii="Times New Roman" w:hAnsi="Times New Roman" w:eastAsia="宋体" w:cs="Times New Roman"/>
          <w:sz w:val="24"/>
          <w:szCs w:val="24"/>
          <w:lang w:val="en-US" w:eastAsia="zh-CN"/>
        </w:rPr>
        <w:t>月</w:t>
      </w:r>
      <w:r>
        <w:rPr>
          <w:rFonts w:hint="eastAsia" w:ascii="Times New Roman" w:hAnsi="Times New Roman" w:eastAsia="宋体" w:cs="Times New Roman"/>
          <w:sz w:val="24"/>
          <w:szCs w:val="24"/>
          <w:lang w:val="en-US" w:eastAsia="zh-CN"/>
        </w:rPr>
        <w:t>22日</w:t>
      </w:r>
      <w:r>
        <w:rPr>
          <w:rFonts w:hint="default" w:ascii="Times New Roman" w:hAnsi="Times New Roman" w:eastAsia="宋体" w:cs="Times New Roman"/>
          <w:sz w:val="24"/>
          <w:szCs w:val="24"/>
          <w:lang w:val="en-US" w:eastAsia="zh-CN"/>
        </w:rPr>
        <w:t>得到了</w:t>
      </w:r>
      <w:r>
        <w:rPr>
          <w:rFonts w:hint="eastAsia" w:ascii="Times New Roman" w:hAnsi="Times New Roman" w:eastAsia="宋体" w:cs="Times New Roman"/>
          <w:sz w:val="24"/>
          <w:szCs w:val="24"/>
          <w:lang w:val="en-US" w:eastAsia="zh-CN"/>
        </w:rPr>
        <w:t>贵阳市环境保护局</w:t>
      </w:r>
      <w:r>
        <w:rPr>
          <w:rFonts w:hint="default" w:ascii="Times New Roman" w:hAnsi="Times New Roman" w:eastAsia="宋体" w:cs="Times New Roman"/>
          <w:sz w:val="24"/>
          <w:szCs w:val="24"/>
          <w:lang w:val="en-US" w:eastAsia="zh-CN"/>
        </w:rPr>
        <w:t>的批复，本次调查中采用的某些结论及环境保护措施考察的依据即出自《</w:t>
      </w:r>
      <w:r>
        <w:rPr>
          <w:rFonts w:hint="eastAsia" w:ascii="Times New Roman" w:hAnsi="Times New Roman" w:eastAsia="宋体" w:cs="Times New Roman"/>
          <w:sz w:val="24"/>
          <w:szCs w:val="24"/>
          <w:lang w:val="en-US" w:eastAsia="zh-CN"/>
        </w:rPr>
        <w:t>沙文生态科技产业园苏庄路道路工程环境影响评价报告书</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eastAsia" w:ascii="Times New Roman" w:hAnsi="Times New Roman" w:eastAsia="宋体" w:cs="Times New Roman"/>
          <w:sz w:val="24"/>
          <w:szCs w:val="24"/>
          <w:lang w:val="en-US" w:eastAsia="zh-CN"/>
        </w:rPr>
      </w:pPr>
      <w:bookmarkStart w:id="26" w:name="_Toc23073"/>
      <w:r>
        <w:rPr>
          <w:rFonts w:hint="eastAsia" w:ascii="Times New Roman" w:hAnsi="Times New Roman" w:eastAsia="宋体" w:cs="Times New Roman"/>
          <w:sz w:val="24"/>
          <w:szCs w:val="24"/>
          <w:lang w:val="en-US" w:eastAsia="zh-CN"/>
        </w:rPr>
        <w:t>3.1环境影响影响评价报告的主要结论</w:t>
      </w:r>
      <w:bookmarkEnd w:id="2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eastAsia" w:ascii="Times New Roman" w:hAnsi="Times New Roman" w:eastAsia="宋体" w:cs="Times New Roman"/>
          <w:color w:val="auto"/>
          <w:sz w:val="24"/>
          <w:szCs w:val="24"/>
          <w:lang w:val="en-US" w:eastAsia="zh-CN"/>
        </w:rPr>
      </w:pPr>
      <w:bookmarkStart w:id="27" w:name="_Toc14756"/>
      <w:r>
        <w:rPr>
          <w:rFonts w:hint="eastAsia" w:ascii="Times New Roman" w:hAnsi="Times New Roman" w:eastAsia="宋体" w:cs="Times New Roman"/>
          <w:color w:val="auto"/>
          <w:sz w:val="24"/>
          <w:szCs w:val="24"/>
          <w:lang w:val="en-US" w:eastAsia="zh-CN"/>
        </w:rPr>
        <w:t>3.1.1工程概况</w:t>
      </w:r>
      <w:bookmarkEnd w:id="2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color w:val="auto"/>
          <w:sz w:val="24"/>
          <w:szCs w:val="24"/>
          <w:lang w:val="en-US" w:eastAsia="zh-CN"/>
        </w:rPr>
        <w:t>拟建道路起于下高山（接规划中的青龙路），线路由西向东，经下高山小寨、南六，终于海马洞村（接规划中的南海路），为双向4车道城市I级次干道，道路宽度30m，设计速度40km/h，路线全长约3493m，总投资 28410万元。 本项目工程占地13.28hm²，其中永久占地1152hm²，临时占地1.76hm²。工程建设时间为 2010年12月底至2011年12月底，工期12个月。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default" w:ascii="Times New Roman" w:hAnsi="Times New Roman" w:eastAsia="宋体" w:cs="Times New Roman"/>
          <w:sz w:val="24"/>
          <w:szCs w:val="24"/>
          <w:lang w:val="en-US" w:eastAsia="zh-CN"/>
        </w:rPr>
      </w:pPr>
      <w:bookmarkStart w:id="28" w:name="_Toc9409"/>
      <w:r>
        <w:rPr>
          <w:rFonts w:hint="eastAsia" w:ascii="Times New Roman" w:hAnsi="Times New Roman" w:eastAsia="宋体" w:cs="Times New Roman"/>
          <w:sz w:val="24"/>
          <w:szCs w:val="24"/>
          <w:lang w:val="en-US" w:eastAsia="zh-CN"/>
        </w:rPr>
        <w:t>3.1.2与城市规划的符合性</w:t>
      </w:r>
      <w:bookmarkEnd w:id="28"/>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拟建项目与《贵阳市城市总体规划（2009-2020）》的符合性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拟建道路位于《贵阳市城市总体规划》（2009-2020）的</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三条环路十六条射线</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中的东北环线（属于</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三环路</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）以北，属于贵阳市总体规划中的高新区组团规划内容，为高新区组团中沙文生态科技产业园规划中东西向的主要城市I级次干道。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综上所述，本项目属于贵阳市城市总体规划内容，与该总体规划相一致，项目实施符合总体规划要求。</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拟建项目与沙文生态科技产业园区规划的符合性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拟建苏庄路属于沙文生态科技产业园</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五横三纵一节点</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规划中</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一横</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，为产业园路网中的一条东西走向的城市次干道。苏庄路起于沙文生态科技产业园西部，与规划的青龙路（属于</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四纵五横</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中</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一纵</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）相接，与与麦沙大道（属于</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四纵五横</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中</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三横</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）平行，向东分别交叉于金苏大道（属于</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四纵五横</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中</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二纵</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）、金干南路（属于</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四纵五横</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中</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三纵</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），终点接规划中的南海路。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综上所述，本项目属于沙文生态科技产业园中</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五横三纵一节点</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次干道规划内容，与沙文生态科技产业园规划相一致，项目实施符合总体规划要求。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default" w:ascii="Times New Roman" w:hAnsi="Times New Roman" w:eastAsia="宋体" w:cs="Times New Roman"/>
          <w:sz w:val="24"/>
          <w:szCs w:val="24"/>
          <w:lang w:val="en-US" w:eastAsia="zh-CN"/>
        </w:rPr>
      </w:pPr>
      <w:bookmarkStart w:id="29" w:name="_Toc1450"/>
      <w:r>
        <w:rPr>
          <w:rFonts w:hint="eastAsia" w:ascii="Times New Roman" w:hAnsi="Times New Roman" w:eastAsia="宋体" w:cs="Times New Roman"/>
          <w:sz w:val="24"/>
          <w:szCs w:val="24"/>
          <w:lang w:val="en-US" w:eastAsia="zh-CN"/>
        </w:rPr>
        <w:t>3.1.3环境现状评价结论</w:t>
      </w:r>
      <w:bookmarkEnd w:id="2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社会环境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苏庄路是沙文生态科技产业园园区道网的重要组成部分之一。贵阳高新技术产业经济带沙文生态科技产业园位于贵阳市白云区北端，园区以发展高科技产业、实行高效能管理、培育高品位文化、体现高文明素质为目标，着力建设科技园区、生态科技产业园、文明园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拟建道路沿线评价范围无风景名胜等旅游景点及文物保护单位，不压覆重要矿产资源。项目所在区域基础设施十分薄弱，缺乏片区之间联系的干道路网。同时，沿线地下管线缺失，相关的电力、电信、供水、燃气等基础设施有待完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水环境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拟建道路于K2+550处以桥梁跨越大泥窝河。根据水体功能区划及白云区环保局对本评价标准请示函的复函，大泥窝河执行《地表水环境质量标准》（GB3838-2002）Ⅲ类标准。拟建道路K3+410右侧2m处有海马洞水井，主要用途为海马洞附近居民洗菜、洗衣等用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次地表水现状评价引用《贵阳高新技术产业经济带沙文生态科技产业园规划环境影响报告书》（贵州省环境科学研究设计院分析测试中心，2009.2.20~2009.2.22）中的水质监测数据：大泥窝河除pH达标外，其余所有监测因子均未达到《地表水环境质量标准》（GB3838-2002）Ⅲ类标准，水质较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根据监测结果，苏庄监测点总大肠菌超标，超标量较大，浑浊度超标，超标量较小，其余因子可以满足《地下水质量标准》Ⅲ类水体标准要求。总大肠菌群及浑浊度超标原因主要是受附近居民生活污水的影响。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环境空气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拟建道路沿线区域执行GB3095-1996《环境空气质量标准》二级标准。监测表明，项目区空气环境质量均能达到《环境空气质量标准》二级标准，且其环境容量较大。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声环境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拟建道路区域内声环境现状执行《声环境质量标准》（GB3096-2008）中2类。拟建道路沿线两侧评价范围均为村庄分散的居民住宅，没有强噪声源。根据监测结果，沿线声环境敏感点都能达到《声环境质量标准》（GB3096-2008）中的2类标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生态环境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项目所处区域隶属于中部湿润亚热带喀斯特脆弱生态区域内的黔中丘原盆地常绿阔叶林喀斯特脆弱生态亚区</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生态环境抗干扰能力较弱。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经现场调查，拟建道路沿线评价区内自然植被分布较少，仅在拟建项目K0+500～K1+400路段右侧和南八附近山体上分布，其余多为人工植被及农田植被。拟建道路项目区主要分布的植被类型主要有针叶林及少量灌丛，主要的植被种类有马尾松、各种栎树以及草本类。另外，项目区农田植被分布较广，有水稻、玉米以及各类蔬菜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景观环境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本项目位于城市郊区，沿线以农田景观为主，农村居民点景观、河流景观、森林景观为辅，没有名胜古迹及受重点保护的生态环境。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根据拟建道路沿线区域地貌、植被及人类活动的影响特点，结合现场调查情况，可将沿线景观类型细分为森林景观、河流景观、农田景观、农村居民点景观、道路景观等5种类型。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综合景观敏感性及景观现状质量评价结果，拟建公路沿线各类景观均属于中级敏感景观目标类别，观赏者对其关注程度为较为关注，表明公路施工对其产生的干扰一般。</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景观现状评价结果表明，沿线景观环境质量总体一般，为避免对上述景观类型造成影响，公路建设过程中应注重对沿线景观（尤其是农田景观和农村居民点景观）环境资源的保护，并做好施工结束后的景观恢复与创造工作，使公路外部景观保存完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default" w:ascii="Times New Roman" w:hAnsi="Times New Roman" w:eastAsia="宋体" w:cs="Times New Roman"/>
          <w:sz w:val="24"/>
          <w:szCs w:val="24"/>
          <w:lang w:val="en-US" w:eastAsia="zh-CN"/>
        </w:rPr>
      </w:pPr>
      <w:bookmarkStart w:id="30" w:name="_Toc32422"/>
      <w:r>
        <w:rPr>
          <w:rFonts w:hint="eastAsia" w:ascii="Times New Roman" w:hAnsi="Times New Roman" w:eastAsia="宋体" w:cs="Times New Roman"/>
          <w:sz w:val="24"/>
          <w:szCs w:val="24"/>
          <w:lang w:val="en-US" w:eastAsia="zh-CN"/>
        </w:rPr>
        <w:t>3.1.4环境影响预测与评价</w:t>
      </w:r>
      <w:bookmarkEnd w:id="3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社会环境</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对旅游资源及文物的影响分析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拟建项目沿线评价范围无风景名胜等旅游景点及文物保护单位，对旅游景点及文物保护单位不造成直接影响，同时，拟建道路的建设可以为贵阳市的旅游资源的开发利用提供便捷的交通条件，能够更加方便区域内外游客进行参观，帮助推动沿线地区文化旅游事业的发展，并有助于提高当地的经济水平。</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对矿产资源的影响分析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经现场调查、查阅资料并向相关矿产部门了解，拟建道路不压覆重要矿产资源。对矿产资源的开发没有不利影响。相反，道路的建成将为沿线地区提供便利的交通</w:t>
      </w:r>
      <w:r>
        <w:rPr>
          <w:rFonts w:hint="eastAsia" w:ascii="Times New Roman" w:hAnsi="Times New Roman" w:eastAsia="宋体" w:cs="Times New Roman"/>
          <w:sz w:val="24"/>
          <w:szCs w:val="24"/>
          <w:lang w:val="en-US" w:eastAsia="zh-CN"/>
        </w:rPr>
        <w:t>设施，</w:t>
      </w:r>
      <w:r>
        <w:rPr>
          <w:rFonts w:hint="default" w:ascii="Times New Roman" w:hAnsi="Times New Roman" w:eastAsia="宋体" w:cs="Times New Roman"/>
          <w:sz w:val="24"/>
          <w:szCs w:val="24"/>
          <w:lang w:val="en-US" w:eastAsia="zh-CN"/>
        </w:rPr>
        <w:t>改善运输条件，是有利于矿产资源的开发与利用的。</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对基础设施的影响分析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本工程沿线设置电力、电信、供水等设施，随着本项目道路的实施，交通的</w:t>
      </w:r>
      <w:r>
        <w:rPr>
          <w:rFonts w:hint="eastAsia" w:ascii="Times New Roman" w:hAnsi="Times New Roman" w:eastAsia="宋体" w:cs="Times New Roman"/>
          <w:sz w:val="24"/>
          <w:szCs w:val="24"/>
          <w:lang w:val="en-US" w:eastAsia="zh-CN"/>
        </w:rPr>
        <w:t>便捷，</w:t>
      </w:r>
      <w:r>
        <w:rPr>
          <w:rFonts w:hint="default" w:ascii="Times New Roman" w:hAnsi="Times New Roman" w:eastAsia="宋体" w:cs="Times New Roman"/>
          <w:sz w:val="24"/>
          <w:szCs w:val="24"/>
          <w:lang w:val="en-US" w:eastAsia="zh-CN"/>
        </w:rPr>
        <w:t>将有利于附近区域电力、电信、供水、燃气等基础设施的建设。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水环境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施工期的主要影响为拟建项目土石方开挖以及桥梁施工等施工的钻渣、物料、油料的随意堆放可能给大泥窝河造成一定程度的污染</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设备漏油、机械设备维修过程中的残油如果不在采取相应的措施，也会给大泥窝河的水体造成污染。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施工废水进入水井可能影响水井水质，建筑材料随意堆放可能堵塞水井。由于海马洞水井距离拟建道路较近，施工可能占用水井。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营运期桥面径流污染物中，石油类、COD 的入河后污染物浓度增加量均较小，入河后污染物浓度增加可能会在短时间内对河流水质产生一定的影响，但由于本次评价采用多年</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1h降雨量</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的最大值分析，实际污染物浓度的增加量要小很多，因此对河流水质的影响也是可以接受的。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环境空气</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施工期主要的大气污染物是扬尘、粉尘、沥青烟，还有少量苯并</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a</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芘。扬尘和粉尘主要来源于灰土的拌和，以及材料运输撒落和运输产生的二次扬尘。沥青烟和苯并</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a</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芘产生路面摊铺。根据类比预测，采取经常撒水降尘措施，对环境的影响较小，同时随着施工期的结束，影响随之消失。</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营运期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①通过模式预测计算NO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预测污染物排，在正常气象条件下，汽车尾气中NO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在正常气象条件下，汽车尾气中NO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在营运初期贡献的日均和高峰时期的污染浓度最大值分别为0.018mg/m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和0.038mg/m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，营运中期各值分别为0.031mg</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和2.052mg/m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，营运远期各值分别为0.045mg/m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和0.089mg/m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。NO</w:t>
      </w:r>
      <w:r>
        <w:rPr>
          <w:rFonts w:hint="eastAsia"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的预测值在营运各期均达到《环境空气质量标准》二级标准限值。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②通过对拟建道路沿线4处环境空气敏感点汽车尾气影响的预测，在正常车流量（含高峰车流量）、交通阻塞时情况下，NO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一次浓度均满足GB3095-1996《环境空气质量标准》二级值的要求，环境保护目标均未出现超标。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outlineLvl w:val="9"/>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声环境</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施工噪声影响在昼间将主要出现在距施工场地42.5m范围内，夜间将主要出现在距施工场地198.7m范围内。昼间距离施工场地42.5m范围内受影响的声环境敏感点 为南六和海马洞。</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营运期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①不同营运期、不同时间段、距路边不同距离的交通噪声预测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全长3493m。本报告书中，出于预测的可行性考虑，预测基于路段零路基高度（较为不利的情况）这一假定，预测点高度取距地面1.2m。由于道路本身宽30m，本次预测距离从离道路中心线15m算起。路段各期针对2类及 4a类标准的达标距离同时列于表中</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按4a类标准，拟建苏庄路昼间营运近期、中期、远期达标距离均位于道路红线范围内</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夜间近、中期达标距离均位于道路红线范围内，远期达标距离为距路中心线16.5m。</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按2类标准，拟建苏庄路昼间营运近、中期达标距离均位于道路红线范围内，远期昼间达标距离为距路中心线24.4m</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夜间近、中、远期达标距离分别为出路中心线18.5m、24.0m和35.0m。</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相对于昼间噪声达标距离，夜间达标距离大于昼间的达标距离，说明拟建道路夜间交通噪声影响大于昼间。</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从拟建道路的交通噪声预测达标距离看出，道路营运近、中、远期达标距离的增加，是因为近、中、远期交通量逐渐增大所致。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②主要敏感点环境噪声预测与评价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根据预测</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本项目沿线4处敏感点中，营运近期、中期及远期昼间、夜间噪声均不超标。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③拟建道路与《贵阳高新技术产业经济带沙文生态科技产业园控制性详细规划》的交通噪声影响分析及等声级曲线 拟建道路位于贵阳市白云区沙文境内，是沙文生态科技产业园城市基础设施建设项目。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根据分析可知，拟建道路K0+0~K1+300路段两侧区域将可能作为教育用地</w:t>
      </w:r>
      <w:r>
        <w:rPr>
          <w:rFonts w:hint="eastAsia" w:ascii="Times New Roman" w:hAnsi="Times New Roman" w:eastAsia="宋体" w:cs="Times New Roman"/>
          <w:sz w:val="24"/>
          <w:szCs w:val="24"/>
          <w:lang w:val="en-US" w:eastAsia="zh-CN"/>
        </w:rPr>
        <w:t>及</w:t>
      </w:r>
      <w:r>
        <w:rPr>
          <w:rFonts w:hint="default" w:ascii="Times New Roman" w:hAnsi="Times New Roman" w:eastAsia="宋体" w:cs="Times New Roman"/>
          <w:sz w:val="24"/>
          <w:szCs w:val="24"/>
          <w:lang w:val="en-US" w:eastAsia="zh-CN"/>
        </w:rPr>
        <w:t>居民建筑用地。规划实施后，为了使距离拟建道路红线35m 以内的建筑满足《声环境质量标准》（GB3096-2008）中4a类标准，其位置距离拟建道路红线至少大于1.5m</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为了使距离道路红线 35m 以外的居民或教育建筑满足《声环境质量标准》（GB3096-2008）中2类标准，其位置距离拟建道路红线至少大于20.0m。若以上规划无法满足相应的《声环境质量标准》，本环评建议在将来规划修编或实施时，应充分考虑该路段的建筑物功能布局，特别是学校等特殊敏感建筑规划建设时更加要留有余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outlineLvl w:val="9"/>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生态环境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①对植被的影响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拟建道路永久占地11.52hm</w:t>
      </w:r>
      <w:r>
        <w:rPr>
          <w:rFonts w:hint="eastAsia"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，其中耕地的数量最大，为10.72hm</w:t>
      </w:r>
      <w:r>
        <w:rPr>
          <w:rFonts w:hint="eastAsia"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，占拟建道路总永久占地的93.06%</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工程占地破坏的植被，在工程建设完成后，可以通过表土回填及绿化补偿等方法使植被得到恢复。所以从区域角度看，工程建设对整个区域的影响很小。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②对野生动物的影响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拟建道路营运期，对动物种群最主要的影响为阻隔影响，其次为噪声和人类活动增加的影响。拟建道路道路阻隔影响主要影响对象为两栖和爬行类等活动能力较差的动物类群，由于拟建道路为开放式道路，同时本项目共设置了1座桥梁，能在最大程度上降低对沿线爬行动物的影响</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随着拟建道路营运期由于大型工程设备的撤离，以及道路两侧绿化恢复措施的实施，野生动物将获得新的栖息地，从而种群得以逐渐恢复。根据调查，拟建道路沿线由于人类活动频繁，森林植被分布较小，因此野生动物较少，因此拟建道路对野生动物的影响是较小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总体看，由于拟建道路建设里程短，占地面积小，破坏的植被面积小，因此不会对生态环境造成大的影响。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景观环境影响预测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随着项目的实施，人为工程活动将对自然生态环境带来一定的影响，主要表现在施工期间砍伐乔木、填筑路基等，必将破坏原有的地形地貌和地表植被，破坏土体的自然平衡，引起斜坡失稳，水土流失，破坏原有的景观，从而对区域景观环境质量产生影响。根据环境现状调查可知，拟建道路沿线经过地区目前多为林木、农村居民点景观，大量的施工机械和人员进驻给原有的景观环境增添了不和谐的景色。</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拟建项目实施完成以后，道路两侧在主要以城市建筑景观为主，拟建建道路主体工程可以同城市景观融为一体，不会造成景观影响。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outlineLvl w:val="9"/>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固体废物</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施工期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经土石方平衡后，本项目弃方0.02万m3，若随意堆放，可能对周边环境的造成影响。</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营运期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拟建道路建成通车后，交通垃圾，如纸屑、果皮、塑料用具等废弃物若随意丢弃，将对沿线周边环境产生不利影响。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outlineLvl w:val="9"/>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水土保持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①本工程程施工期加速侵蚀面积13.22hm</w:t>
      </w:r>
      <w:r>
        <w:rPr>
          <w:rFonts w:hint="eastAsia"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，原地表水土流失量为52.82t，预测期水土流失量为590.42t，新增水土流失量为537.59t。本项目水土流失防治责任范围总面积14.75hm</w:t>
      </w:r>
      <w:r>
        <w:rPr>
          <w:rFonts w:hint="eastAsia"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，其中，项目建设区面积13.28hm²，直接影响区面积1.47hm²。</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②本项目水土保持静态总投资2978.03万元。其中主体工程设计的水土保持工程静态投资2882.60万元，本方案新增水土保持工程静态投资77.10万元，水土保持设施补偿费18.33万元。新增水土保持工程静态投资中</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工程措施6.91万元，植物措施1.01万元，临时工程19.94万元，独立费用44.87万元（其中水土保持监测费11.32 万元，水土保持监理费11.50万元），基本预备费4.36万元。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③通过实施水保方案，设计水平年防治目标规划值</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土壤流失控制比1.0，拦渣率95%，扰动土地整治率95%，水土流失总治理度97%，林草植被恢复率99%，林草覆盖率27%。</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2"/>
        <w:rPr>
          <w:rFonts w:hint="default" w:ascii="Times New Roman" w:hAnsi="Times New Roman" w:eastAsia="宋体" w:cs="Times New Roman"/>
          <w:sz w:val="24"/>
          <w:szCs w:val="24"/>
          <w:lang w:val="en-US" w:eastAsia="zh-CN"/>
        </w:rPr>
      </w:pPr>
      <w:bookmarkStart w:id="31" w:name="_Toc31038"/>
      <w:r>
        <w:rPr>
          <w:rFonts w:hint="eastAsia" w:ascii="Times New Roman" w:hAnsi="Times New Roman" w:eastAsia="宋体" w:cs="Times New Roman"/>
          <w:sz w:val="24"/>
          <w:szCs w:val="24"/>
          <w:lang w:val="en-US" w:eastAsia="zh-CN"/>
        </w:rPr>
        <w:t>3.1.5环境风险</w:t>
      </w:r>
      <w:bookmarkEnd w:id="3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本拟建项目施工期间不可避免的使用一些漆料、油料。一方面这些危险物品如果管理不善意外发生爆炸、燃烧将危害施工人员及沿线群众的人身安全，造成严重看果：另一方面这些危险物品发生泄露，将会对沿线水体产生污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②本项目危险品运输车辆发生交通事故的概率不为零，所以不能排除重大交通事故等意外事件的发生，亦即危险品运输车辆在拟建道路上有出现交通事故而严重污染环境的可能。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③经采取风险防范措施和制定严格的风险应急预案，尽管有风险事故的发生，但风险水平是可以接受的。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32" w:name="_Toc28351"/>
      <w:r>
        <w:rPr>
          <w:rFonts w:hint="eastAsia" w:ascii="Times New Roman" w:hAnsi="Times New Roman" w:eastAsia="宋体" w:cs="Times New Roman"/>
          <w:sz w:val="24"/>
          <w:szCs w:val="24"/>
          <w:lang w:val="en-US" w:eastAsia="zh-CN"/>
        </w:rPr>
        <w:t>3.1.6主要环境保护措施</w:t>
      </w:r>
      <w:bookmarkEnd w:id="3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3"/>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3.1.6.1社会环境保护措施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本项目永久占地总面积为11.52hm²，占用部分耕地，施工前必须办好建设用地审批手续。项目拟拆迁房屋面积为 3000m²，拆迁户数约20户，包括居民住宅及公共设施。根据沙文生态科技产业园拆迁安置方案，园区内拆迁安置方式主要为货币安置，同时考虑集中安置点进行安置。园区建设共设置了2处集中安置点，分别为沙文镇安置点及艳山红镇安置点，沙文镇安置点建设地点位于白云区沙文镇沙文村庙山，用地面积65.77亩，总建筑面积 104747.87m²；艳山红镇安置点建设地点位于白云区艳山红镇艳山红村，金苏大道右侧，用地面积232亩，总建筑面积404873.8m²，该2处安置点现未建设。项目拆迁居民在安置点未建成前，由建设单位发放房屋租赁金，由被拆迁居民自行安置，待安置点建成后回迁。建设单位应严格按有关文件规定的征地拆迁补偿标准进行补偿，保证被拆迁居民的生活水平不因项目建设而降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营运期拟建道路的管理机构应做好交通运输安全预防和宣传工作，确保道路畅通和人民生命财产安全；做好环境工程的建设和维护工作；加强主体工程的管理工作，确保通道工程畅通，以提供人民的出行方便、工作方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3"/>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3.1.6.2水环境保护措施</w:t>
      </w:r>
    </w:p>
    <w:p>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废水污染防治措施 堆放场地不得设在大泥窝河附近；施工材料如油料、化学品等有害物质堆放场地应设围挡措施； 严禁将桩基钻孔出渣及施工废弃物排入地表水体，桥基施工区附近设置必要的排水沟用以疏导施工废水，施工废水建沉淀池沉淀后回用。</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含油污水控制措施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采用施工过程控制、清洁生产的方案进行含油污水的控制。</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海马洞水井的保护措施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禁止在海马洞水井处取生产用水，禁止向水井排入生产废水。若有必要，建议施工单位考虑在水井周围修建围栏，以防止施工材料或废水污染水井。若因工程施工必须占用该水井，施工单位则须在占用前在海马洞附近先掘井、后施工。以上相关费用均列入环境保护投资估算中不可预见费用部分。</w:t>
      </w:r>
    </w:p>
    <w:p>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营运期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拟建项目为市政道路，沿线将布设完整的集排水系统，包括雨水口、排水沟、雨水管等，并与周边道路的排水系统相连接，运营期形成的路面径流将最终通过排水系统排放，雨污水管道单侧布置于道路车行道下，雨污水随道路坡度排入与本项目同期建设且先于本项目完工的大泥窝河截污沟和麦架河截污沟，最终进入白云区污水处理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3"/>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3.1.6.3环境空气保护措施</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①施工场地在非雨天时适时洒水，包括正在施工的路段及主要运输道路等。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②如有粉状材料如水泥、石灰等运输应灌装或袋装，禁止散装运输，严禁运输途中扬尘散落，储存时应堆入库房或用篷布覆盖；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③在施工场地出口放置防尘垫，出施工场运输车辆必需用水清洗车体和轮胎。土、砂、石料运输禁止超载，装高不得超过车厢板，并盖篷布，严禁沿途撒落。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④材料堆放场应设在当地主导风向下风向，并距敏感点50m以外，同时定期洒水降低扬尘污染。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⑤风速四级以上易产生扬尘时，建议施工单位应暂停土方开挖，采取覆盖堆料、湿润等措施，有效减少扬尘污染；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⑥及时清运施工废弃物，暂时不能清运的应采取覆盖等措施，运输沙、石、水泥、土方等易产尘物质的车辆必须封盖严密，严禁洒漏。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⑦在人口稠密集中路段，采取经常撒水降尘措施。</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营运期：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①执行汽车排放检制，限制尾气排放超标的车辆上路；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②贵阳市有关部门加强检查，单车污染物排放量符合有关规定；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③加大环境管理力度，道路管理部门设立环境管理机构，委托环境监测单位定期在环评报告中规定的监测点进行环境空气监测。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④结合道路绿化，在道路两侧选择栽种对一氧化碳、氮氧化物吸收、转化能力较强的树种，如女贞、大叶黄杨等。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3"/>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3.1.6.4声环境保护措施</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选用低噪声的施工机械和工艺；施工单位要合理安排工作人员轮流操作辐射高强噪声的施工机械；对距居民区 42.5m以内的施工现场，昼间强噪声设备施工应合理布局并在南六和海马洞采取临时移动声屏障；噪声大的施工机械在夜间（22：00～06：00）停止施工；建设单位应责成施工单位在施工现场标明张布通告和投诉电话，建设单位在接到报案后应及时与当地环保部门取得联系，以便及时处理各种环境纠纷。</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营运期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对现有4处居民点均不考虑降噪措施，仅进行跟踪监测；此外，加强交通管理，严格执行限速和禁止超载等交通规则，在通过人口密度较大路段，在附近设置禁鸣标志；经常养护路面；道路自身的绿化降噪。</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3"/>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3.1.6.5固体废物处置措施</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施工结束后，施工场地应及时平整，清场要彻底，建筑垃圾部分用于场地回填，不可利用部分运至合法建筑垃圾填埋场。</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加强施工期现场管理，及时清理拆迁建筑垃圾和建筑废料，妥善处置。</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营运期道路两侧工程本身设计有垃圾筒，由城市环卫部门及时进行清理。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3"/>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3.1.6.6生态环境保护措施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尽量避免和减少植被的破坏，施工完成后采取绿化措施对破坏的植被进行补偿；景观保护重在设计，应在设计初期就针对特殊的景观保护点和区段采取针对性的设计，使道路景观与沿线各个类型景观相互协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33" w:name="_Toc23695"/>
      <w:r>
        <w:rPr>
          <w:rFonts w:hint="eastAsia" w:ascii="Times New Roman" w:hAnsi="Times New Roman" w:eastAsia="宋体" w:cs="Times New Roman"/>
          <w:sz w:val="24"/>
          <w:szCs w:val="24"/>
          <w:lang w:val="en-US" w:eastAsia="zh-CN"/>
        </w:rPr>
        <w:t>3.1.7公众参与</w:t>
      </w:r>
      <w:bookmarkEnd w:id="3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通过公众参与的调查，结论如下：</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被调查者均支持项目的建设；</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被调查者均要求建设单位采取措施降低对水环境等的影响；</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被调查者要求建设单位协同落实好白云区沙文镇城市建设的征地拆迁安置工作，并希望能尽量提供就业机会。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34" w:name="_Toc28055"/>
      <w:r>
        <w:rPr>
          <w:rFonts w:hint="eastAsia" w:ascii="Times New Roman" w:hAnsi="Times New Roman" w:eastAsia="宋体" w:cs="Times New Roman"/>
          <w:sz w:val="24"/>
          <w:szCs w:val="24"/>
          <w:lang w:val="en-US" w:eastAsia="zh-CN"/>
        </w:rPr>
        <w:t>3.1.9总结论</w:t>
      </w:r>
      <w:bookmarkEnd w:id="3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拟建苏庄路是沙文生态科技产业园园区道网的重要组成部分之一。通过苏庄路的建设，对加快沙文生态科技产业园园区道网的形成，带动沿线土地的开发，促进沙文及白云城市新区可持续发展和生态科技产业园的开发建设，完善城市交通网络具有重要意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经调查与评价发现，该项目的社会效益、经济效益和环境效益极为显著，具有较强的抗风险能力。虽然本项目的建设和运营将会对沿线生态环境和居民生活产生一定的不利影响，但只要认真落实本报告提出的减缓措施，所产生的不利影响可以得到有效控制，并降至环境能接受的最低程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综上所述，本评价认为，从环境保护的角度考虑，拟建项目沙文生态科技产业园苏庄路道路工程的建设是可行的。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35" w:name="_Toc6854"/>
      <w:r>
        <w:rPr>
          <w:rFonts w:hint="eastAsia" w:ascii="Times New Roman" w:hAnsi="Times New Roman" w:eastAsia="宋体" w:cs="Times New Roman"/>
          <w:sz w:val="24"/>
          <w:szCs w:val="24"/>
          <w:lang w:val="en-US" w:eastAsia="zh-CN"/>
        </w:rPr>
        <w:t>3.2环境影响评价报告建议</w:t>
      </w:r>
      <w:bookmarkEnd w:id="35"/>
    </w:p>
    <w:p>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本环评价报告在工程方面的依据为工可报告，随着设计的不断深化与优化，工可阶段的环境敏感点与本项目的相对位置可能发生变化，因此，在进行环保验收时，应结合实际情况进行。</w:t>
      </w:r>
    </w:p>
    <w:p>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本报告提出的各项环保措施，是依据工可报告的线位确定的，在初步设计、施工图设计中，若有环境敏感目标在位置上的变更，环保措施必须相应调整。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eastAsia" w:ascii="Times New Roman" w:hAnsi="Times New Roman" w:eastAsia="宋体" w:cs="Times New Roman"/>
          <w:sz w:val="24"/>
          <w:szCs w:val="24"/>
          <w:lang w:val="en-US" w:eastAsia="zh-CN"/>
        </w:rPr>
      </w:pPr>
      <w:bookmarkStart w:id="36" w:name="_Toc25426"/>
      <w:r>
        <w:rPr>
          <w:rFonts w:hint="eastAsia" w:ascii="Times New Roman" w:hAnsi="Times New Roman" w:eastAsia="宋体" w:cs="Times New Roman"/>
          <w:sz w:val="24"/>
          <w:szCs w:val="24"/>
          <w:lang w:val="en-US" w:eastAsia="zh-CN"/>
        </w:rPr>
        <w:t>3.3环境影响评价报告批复</w:t>
      </w:r>
      <w:bookmarkEnd w:id="3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2011年02月22日，贵阳市环境保护局对本工程环评报告作出批复，其批复文件为《关于〈沙文生态科技产业园苏庄路道路工程环境影响评价报告书〉的批复》（筑环审</w:t>
      </w:r>
      <w:r>
        <w:rPr>
          <w:rFonts w:hint="eastAsia" w:ascii="Times New Roman" w:hAnsi="Times New Roman" w:eastAsia="宋体" w:cs="Times New Roman"/>
          <w:color w:val="FF0000"/>
          <w:sz w:val="24"/>
          <w:szCs w:val="24"/>
          <w:lang w:val="en-US" w:eastAsia="zh-CN"/>
        </w:rPr>
        <w:t>[2011]11</w:t>
      </w:r>
      <w:r>
        <w:rPr>
          <w:rFonts w:hint="eastAsia" w:ascii="Times New Roman" w:hAnsi="Times New Roman" w:eastAsia="宋体" w:cs="Times New Roman"/>
          <w:sz w:val="24"/>
          <w:szCs w:val="24"/>
          <w:lang w:val="en-US" w:eastAsia="zh-CN"/>
        </w:rPr>
        <w:t>号）文件。现将批复文件主要内容摘录如下：</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报告书》的评价结论和建议及专家审查意见，同意贵阳高科控股集团有限公司在高新区沙文生态科技产业园建设苏庄路道路工程，工程起于白云区麦五玫瑰基地青龙路，止于海马洞村海马洞路，全长3493米，宽度30米，其中桥梁1座。《报告书》可作为本项目环保工程设计、施工、环境管理的依据。</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原则同意《报告书》提出的环境保护措施，要求在项目设计、施工、营运中予以落实。</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施工期污水经处理后回用，不得进入地表水体。同步建设雨污水收集管网，确保通过本项目建设使道路沿线区域污水分别进入白云污水处理厂处理。</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施工期采取有效措施防止扬尘，确保达到《环境空气质量标准》（GB3095-1996）二级标准。</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加强施工期环境管理，采用低噪声设备，主要噪声源应远离声环境敏感目标，减少对周围环境的影响，合理安排施工时间，施工期噪声确保达到《建筑施工场界噪声限值》（GB12523-90）的要求。营运期采取有效噪声防治措施，确保达到《声环境质量标准》（GB3096-2008）2类要求。</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施工期废渣统一收集及时送往指定弃渣场处置，生活垃圾统一收集及时送往指定垃圾填埋场处置。</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强化风险防范措施，对跨河桥梁应进行防护栏加固设计，安装加固防撞设施。</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施工期采取有效措施防止水土流失，项目建成后及时进行绿化，保护自然植被和生态环境。</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项目建设必须严格执行配套建设的环境保护措施与主体工程同时设计、同时施工、同时投产使用的环境保护“三同时”制度。项目竣工后按规定程序验收合格后方可正式投入运行。</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报告书》批准后，建设项目的性质、规模、地点或采用的污染防治措施发生重大变化的，建设单位应重新向我局报批《报告书》；《报告书》自批准之日起满5年，建设项目方开工建设的，《报告书》应报我局重新审核。</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该项目日常环境监督管理由白云区环保局负责。</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b/>
          <w:bCs/>
          <w:sz w:val="24"/>
          <w:szCs w:val="24"/>
          <w:lang w:val="en-US" w:eastAsia="zh-CN"/>
        </w:rPr>
      </w:pPr>
      <w:bookmarkStart w:id="37" w:name="_Toc1682"/>
      <w:r>
        <w:rPr>
          <w:rFonts w:hint="eastAsia" w:ascii="Times New Roman" w:hAnsi="Times New Roman" w:eastAsia="宋体" w:cs="Times New Roman"/>
          <w:b/>
          <w:bCs/>
          <w:sz w:val="24"/>
          <w:szCs w:val="24"/>
          <w:lang w:val="en-US" w:eastAsia="zh-CN"/>
        </w:rPr>
        <w:t>4 环保措施落实情况</w:t>
      </w:r>
      <w:bookmarkEnd w:id="3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贵州省环境科学研究院于2011年02月完成《沙文生态科技产业园苏庄路道路工程环境影响评价报告书》的编制，并于2011年02月22日取得贵阳市环境保护局《关于〈沙文生态科技产业园苏庄路道路工程环境影响评价报告书〉的批复》（筑环</w:t>
      </w:r>
      <w:r>
        <w:rPr>
          <w:rFonts w:hint="eastAsia" w:ascii="Times New Roman" w:hAnsi="Times New Roman" w:eastAsia="宋体" w:cs="Times New Roman"/>
          <w:color w:val="auto"/>
          <w:sz w:val="24"/>
          <w:szCs w:val="24"/>
          <w:lang w:val="en-US" w:eastAsia="zh-CN"/>
        </w:rPr>
        <w:t>审[2011]11号</w:t>
      </w:r>
      <w:r>
        <w:rPr>
          <w:rFonts w:hint="eastAsia" w:ascii="Times New Roman" w:hAnsi="Times New Roman" w:eastAsia="宋体" w:cs="Times New Roman"/>
          <w:sz w:val="24"/>
          <w:szCs w:val="24"/>
          <w:lang w:val="en-US" w:eastAsia="zh-CN"/>
        </w:rPr>
        <w:t>）文件。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sz w:val="24"/>
          <w:szCs w:val="24"/>
          <w:lang w:val="en-US" w:eastAsia="zh-CN"/>
        </w:rPr>
        <w:t>贵州明德工程咨询有限公司于</w:t>
      </w:r>
      <w:r>
        <w:rPr>
          <w:rFonts w:hint="eastAsia" w:ascii="Times New Roman" w:hAnsi="Times New Roman" w:eastAsia="宋体" w:cs="Times New Roman"/>
          <w:color w:val="auto"/>
          <w:sz w:val="24"/>
          <w:szCs w:val="24"/>
          <w:lang w:val="en-US" w:eastAsia="zh-CN"/>
        </w:rPr>
        <w:t>2020年04月22日对本工程项目进行现场调查及踏勘。根据现场调查走访，本工程在施工和运营阶段的环保措施落实情况见表4-1。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color w:val="auto"/>
          <w:sz w:val="24"/>
          <w:szCs w:val="24"/>
          <w:lang w:val="en-US" w:eastAsia="zh-CN"/>
        </w:rPr>
        <w:sectPr>
          <w:pgSz w:w="11906" w:h="16838"/>
          <w:pgMar w:top="1440" w:right="1800" w:bottom="1440" w:left="1800" w:header="850" w:footer="992" w:gutter="0"/>
          <w:pgNumType w:fmt="decimal"/>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表4-1 环境保护措施落实情况一览表</w:t>
      </w:r>
    </w:p>
    <w:tbl>
      <w:tblPr>
        <w:tblStyle w:val="10"/>
        <w:tblW w:w="142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151"/>
        <w:gridCol w:w="7263"/>
        <w:gridCol w:w="3764"/>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序号</w:t>
            </w:r>
          </w:p>
        </w:tc>
        <w:tc>
          <w:tcPr>
            <w:tcW w:w="11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专题</w:t>
            </w:r>
          </w:p>
        </w:tc>
        <w:tc>
          <w:tcPr>
            <w:tcW w:w="726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环评要求</w:t>
            </w:r>
          </w:p>
        </w:tc>
        <w:tc>
          <w:tcPr>
            <w:tcW w:w="376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批复要求</w:t>
            </w:r>
          </w:p>
        </w:tc>
        <w:tc>
          <w:tcPr>
            <w:tcW w:w="146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11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生态环境</w:t>
            </w:r>
          </w:p>
        </w:tc>
        <w:tc>
          <w:tcPr>
            <w:tcW w:w="726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施工期尽量避免和减少植被的破坏，施工完成后采取绿化措施对破坏的植被进行补偿；景观保护重在设计，应在设计初期就针对特殊的景观保护点和区段采取针对性的设计，使道路景观与沿线各个类型景观相互协调。</w:t>
            </w:r>
          </w:p>
        </w:tc>
        <w:tc>
          <w:tcPr>
            <w:tcW w:w="376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施工期采取有效措施防止水土流失，项目建成后及时进行绿化，保护自然植被和生态环境。</w:t>
            </w:r>
          </w:p>
        </w:tc>
        <w:tc>
          <w:tcPr>
            <w:tcW w:w="146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已基本落实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c>
          <w:tcPr>
            <w:tcW w:w="11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水环境</w:t>
            </w:r>
          </w:p>
        </w:tc>
        <w:tc>
          <w:tcPr>
            <w:tcW w:w="7263"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cs="Times New Roman"/>
              </w:rPr>
            </w:pPr>
            <w:r>
              <w:rPr>
                <w:rFonts w:hint="default" w:ascii="Times New Roman" w:hAnsi="Times New Roman" w:cs="Times New Roman"/>
              </w:rPr>
              <w:t>施工期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cs="Times New Roman"/>
              </w:rPr>
            </w:pPr>
            <w:r>
              <w:rPr>
                <w:rFonts w:hint="default" w:ascii="Times New Roman" w:hAnsi="Times New Roman" w:cs="Times New Roman"/>
              </w:rPr>
              <w:t>①施工废水污染防治措施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cs="Times New Roman"/>
              </w:rPr>
            </w:pPr>
            <w:r>
              <w:rPr>
                <w:rFonts w:hint="default" w:ascii="Times New Roman" w:hAnsi="Times New Roman" w:cs="Times New Roman"/>
              </w:rPr>
              <w:t>堆放场地不得设在河道附近</w:t>
            </w:r>
            <w:r>
              <w:rPr>
                <w:rFonts w:hint="default" w:ascii="Times New Roman" w:hAnsi="Times New Roman" w:cs="Times New Roman"/>
                <w:lang w:eastAsia="zh-CN"/>
              </w:rPr>
              <w:t>；</w:t>
            </w:r>
            <w:r>
              <w:rPr>
                <w:rFonts w:hint="default" w:ascii="Times New Roman" w:hAnsi="Times New Roman" w:cs="Times New Roman"/>
              </w:rPr>
              <w:t>施工材料如油料、化学品等有害物质堆放场地应设围挡措施</w:t>
            </w:r>
            <w:r>
              <w:rPr>
                <w:rFonts w:hint="default" w:ascii="Times New Roman" w:hAnsi="Times New Roman" w:cs="Times New Roman"/>
                <w:lang w:eastAsia="zh-CN"/>
              </w:rPr>
              <w:t>；</w:t>
            </w:r>
            <w:r>
              <w:rPr>
                <w:rFonts w:hint="default" w:ascii="Times New Roman" w:hAnsi="Times New Roman" w:cs="Times New Roman"/>
              </w:rPr>
              <w:t> 严禁将桩基钻孔出渣及施工废弃物排入地表水体，桥墩施工区附近设置必要的排水沟用以疏导施工废水，施工废水建沉淀池沉淀后回用。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cs="Times New Roman"/>
              </w:rPr>
            </w:pPr>
            <w:r>
              <w:rPr>
                <w:rFonts w:hint="default" w:ascii="Times New Roman" w:hAnsi="Times New Roman" w:cs="Times New Roman"/>
              </w:rPr>
              <w:t>②含油污水控制措施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cs="Times New Roman"/>
              </w:rPr>
            </w:pPr>
            <w:r>
              <w:rPr>
                <w:rFonts w:hint="default" w:ascii="Times New Roman" w:hAnsi="Times New Roman" w:cs="Times New Roman"/>
              </w:rPr>
              <w:t>采用施工过程控制、清洁生产的方案进行含油污水的控制。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cs="Times New Roman" w:eastAsiaTheme="minorEastAsia"/>
                <w:lang w:eastAsia="zh-CN"/>
              </w:rPr>
            </w:pPr>
            <w:r>
              <w:rPr>
                <w:rFonts w:hint="default" w:ascii="Times New Roman" w:hAnsi="Times New Roman" w:cs="Times New Roman"/>
              </w:rPr>
              <w:t>营运期</w:t>
            </w:r>
            <w:r>
              <w:rPr>
                <w:rFonts w:hint="default" w:ascii="Times New Roman" w:hAnsi="Times New Roman" w:cs="Times New Roman"/>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cs="Times New Roman"/>
              </w:rPr>
            </w:pPr>
            <w:r>
              <w:rPr>
                <w:rFonts w:hint="default" w:ascii="Times New Roman" w:hAnsi="Times New Roman" w:cs="Times New Roman"/>
              </w:rPr>
              <w:t>布设完整的集排水系统，包括雨水口、排水沟、雨水管等，并与周边道路的排水系统相连接，雨污水随道路坡度排入大泥窝河截污管进入麦架河截污沟，最终进入下游的白云污水处理厂</w:t>
            </w:r>
            <w:r>
              <w:rPr>
                <w:rFonts w:hint="default" w:ascii="Times New Roman" w:hAnsi="Times New Roman" w:cs="Times New Roman"/>
                <w:lang w:eastAsia="zh-CN"/>
              </w:rPr>
              <w:t>；</w:t>
            </w:r>
            <w:r>
              <w:rPr>
                <w:rFonts w:hint="default" w:ascii="Times New Roman" w:hAnsi="Times New Roman" w:cs="Times New Roman"/>
              </w:rPr>
              <w:t> 严禁各种泄漏、散装、超载的车辆上路运行</w:t>
            </w:r>
            <w:r>
              <w:rPr>
                <w:rFonts w:hint="default" w:ascii="Times New Roman" w:hAnsi="Times New Roman" w:cs="Times New Roman"/>
                <w:lang w:eastAsia="zh-CN"/>
              </w:rPr>
              <w:t>；</w:t>
            </w:r>
            <w:r>
              <w:rPr>
                <w:rFonts w:hint="default" w:ascii="Times New Roman" w:hAnsi="Times New Roman" w:cs="Times New Roman"/>
              </w:rPr>
              <w:t>在跨越大泥窝河的桥梁两侧设置防撞护栏，约100m（工程量纳入金干南路）。</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cs="Times New Roman"/>
                <w:lang w:val="en-US" w:eastAsia="zh-CN"/>
              </w:rPr>
            </w:pPr>
            <w:r>
              <w:rPr>
                <w:rFonts w:hint="default" w:ascii="Times New Roman" w:hAnsi="Times New Roman" w:cs="Times New Roman"/>
                <w:lang w:val="en-US" w:eastAsia="zh-CN"/>
              </w:rPr>
              <w:t>在</w:t>
            </w:r>
            <w:r>
              <w:rPr>
                <w:rFonts w:hint="eastAsia" w:ascii="Times New Roman" w:hAnsi="Times New Roman" w:cs="Times New Roman"/>
                <w:lang w:val="en-US" w:eastAsia="zh-CN"/>
              </w:rPr>
              <w:t>K2+550</w:t>
            </w:r>
            <w:r>
              <w:rPr>
                <w:rFonts w:hint="default" w:ascii="Times New Roman" w:hAnsi="Times New Roman" w:cs="Times New Roman"/>
                <w:lang w:val="en-US" w:eastAsia="zh-CN"/>
              </w:rPr>
              <w:t>跨越大泥窝河的小桥防撞护栏应进行强化、加固设计，避免发生交通事故的车辆直接进入水体，以减缓污染风险事故造成的污染物扩散，经估算防撞护栏长约40m</w:t>
            </w:r>
            <w:r>
              <w:rPr>
                <w:rFonts w:hint="eastAsia" w:ascii="Times New Roman" w:hAnsi="Times New Roman" w:cs="Times New Roman"/>
                <w:lang w:val="en-US" w:eastAsia="zh-CN"/>
              </w:rPr>
              <w:t>。</w:t>
            </w:r>
          </w:p>
        </w:tc>
        <w:tc>
          <w:tcPr>
            <w:tcW w:w="3764"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施工期污水经处理后回用，不得进入地表水体。同步建设雨污水收集管网，确保通过本项目建设使道路沿线区域污水分别进入白云污水处理厂处理。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p>
        </w:tc>
        <w:tc>
          <w:tcPr>
            <w:tcW w:w="146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施工期无环境问题遗留，已按基本要求落实；</w:t>
            </w:r>
            <w:r>
              <w:rPr>
                <w:rFonts w:hint="default" w:ascii="Times New Roman" w:hAnsi="Times New Roman" w:cs="Times New Roman"/>
              </w:rPr>
              <w:t>在跨越大泥窝河的桥梁两侧设置防撞护栏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w:t>
            </w:r>
          </w:p>
        </w:tc>
        <w:tc>
          <w:tcPr>
            <w:tcW w:w="11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声环境</w:t>
            </w:r>
          </w:p>
        </w:tc>
        <w:tc>
          <w:tcPr>
            <w:tcW w:w="7263"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施工期：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选用低噪声的施工机械和工艺；施工单位要合理安排工作人员轮流操作辐射高强噪声的施工机械：对距居民区52m以内的施工现场，昼间强噪声设备施工应合理布局并采取临时移动声屏障：噪声大的施工机械在夜间（22：00～06：00）停止施工；建设单位应责成施工单位在施工现场标明张布通告和投诉电话，建设单位在接到报案后应及时与当地环保部门取得联系，以便及时处理各种环境纠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营运期：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强交通管理，严格执行限速和禁止超载等交通规则，在通过人口密度较大路段，在附近设置禁鸣标志；经常养护路面；道路自身的绿化降噪。</w:t>
            </w:r>
          </w:p>
        </w:tc>
        <w:tc>
          <w:tcPr>
            <w:tcW w:w="3764"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加强施工期环境管理，采用低噪声设备，主要噪声源应远离声环境敏感目标，减少对周围环境的影响，合理安排施工时间，施工期噪声确保达到《建筑施工场界噪声限值》（GB12523-90）的要求。营运期采取有效噪声防治措施，确保达到《声环境质量标准》（GB3096-2008）2类要求。</w:t>
            </w:r>
          </w:p>
        </w:tc>
        <w:tc>
          <w:tcPr>
            <w:tcW w:w="146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无环境问题遗留，监测结果符合相关标准要求；已按要求设置禁鸣标志，加强道路养护。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w:t>
            </w:r>
          </w:p>
        </w:tc>
        <w:tc>
          <w:tcPr>
            <w:tcW w:w="11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环境空气</w:t>
            </w:r>
          </w:p>
        </w:tc>
        <w:tc>
          <w:tcPr>
            <w:tcW w:w="7263"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施工期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①施工场地在非雨天时适时洒水，包括正在施工的路段及主要运输道路等。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②如有粉状材料如水泥、石灰等运输应灌装或袋装，禁止散装运输，严禁运输途中扬尘散落，储存时应堆入库房或用篷布覆盖；</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③在施工场地出口放置防尘垫，出施工场运输车辆必需用水清洗车体和轮胎。土、砂、石料运输禁止超载，装高不得超过车厢板，并盖篷布，严禁沿途撒落。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④材料堆放场应距敏感点100m以外，并设在当地主导风向下风向处，同时定期洒水降低扬尘污染。</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⑤风速四级以上易产生扬尘时，建议施工单位应暂停土方开挖，采取覆盖堆料、湿润等措施，有效减少扬尘污染；</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⑥及时清运施工废弃物，暂时不能清运的应采取覆盖等措施，运输沙、石、水泥、土方等易产尘物质的车辆必须封盖严密，严禁洒漏。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⑦在人口稠密集中路段，采取经常撒水降尘措施。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营运期：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①执行汽车排放检制，限制尾气排放超标的车辆上路；</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②贵阳市有关部门加强检查，单车污染物排放量符合有关规定；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③加大环境管理力度，道路管理部门设立环境管理机构，委托环境监测单位定期在环评报告中规定的监测点进行环境空气监测。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④结合道路绿化，在道路两侧选择栽种对一氧化碳、氮氧化物吸收、转化能力较强的树种，如女贞、大叶黄杨等。</w:t>
            </w:r>
          </w:p>
        </w:tc>
        <w:tc>
          <w:tcPr>
            <w:tcW w:w="3764"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施工期采取有效措施防止扬尘，确保达到《环境空气质量标准》（GB3095-1996）二级标准。</w:t>
            </w:r>
          </w:p>
        </w:tc>
        <w:tc>
          <w:tcPr>
            <w:tcW w:w="146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无环境问题遗留，监测结果符合相关标准要求；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已</w:t>
            </w:r>
            <w:r>
              <w:rPr>
                <w:rFonts w:hint="default" w:ascii="Times New Roman" w:hAnsi="Times New Roman" w:eastAsia="宋体" w:cs="Times New Roman"/>
                <w:sz w:val="21"/>
                <w:szCs w:val="21"/>
                <w:lang w:val="en-US" w:eastAsia="zh-CN"/>
              </w:rPr>
              <w:t>结合道路绿化，在道路两侧栽种对一氧化碳、氮氧化物吸收、转化能力较强的树种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w:t>
            </w:r>
          </w:p>
        </w:tc>
        <w:tc>
          <w:tcPr>
            <w:tcW w:w="11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固体废物</w:t>
            </w:r>
          </w:p>
        </w:tc>
        <w:tc>
          <w:tcPr>
            <w:tcW w:w="7263"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1）施工结束后，施工场地应及时平整，清场要彻底，建筑垃圾部分用于场地回填，不可利用部分运至合法建筑垃圾填埋场。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（2）加强施工期现场管理，及时清理拆迁建筑垃圾和建筑废料，妥善处置。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（3）营运期道路两侧工程本身设计有垃圾筒，由城市环卫部门及时进行清理。</w:t>
            </w:r>
          </w:p>
        </w:tc>
        <w:tc>
          <w:tcPr>
            <w:tcW w:w="3764"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施工期废渣统一收集及时送往指定弃渣场处置，生活垃圾统一收集及时送往指定垃圾填埋场处置。</w:t>
            </w:r>
          </w:p>
        </w:tc>
        <w:tc>
          <w:tcPr>
            <w:tcW w:w="146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已按要求实施</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color w:val="auto"/>
          <w:sz w:val="24"/>
          <w:szCs w:val="24"/>
          <w:lang w:val="en-US" w:eastAsia="zh-CN"/>
        </w:rPr>
        <w:sectPr>
          <w:pgSz w:w="16838" w:h="11906" w:orient="landscape"/>
          <w:pgMar w:top="1800" w:right="1440" w:bottom="1800" w:left="1440" w:header="850" w:footer="992" w:gutter="0"/>
          <w:pgNumType w:fmt="decimal"/>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default" w:ascii="Times New Roman" w:hAnsi="Times New Roman" w:eastAsia="宋体" w:cs="Times New Roman"/>
          <w:b/>
          <w:bCs/>
          <w:sz w:val="24"/>
          <w:szCs w:val="24"/>
          <w:lang w:val="en-US" w:eastAsia="zh-CN"/>
        </w:rPr>
      </w:pPr>
      <w:bookmarkStart w:id="38" w:name="_Toc7832"/>
      <w:r>
        <w:rPr>
          <w:rFonts w:hint="eastAsia" w:ascii="Times New Roman" w:hAnsi="Times New Roman" w:eastAsia="宋体" w:cs="Times New Roman"/>
          <w:b/>
          <w:bCs/>
          <w:sz w:val="24"/>
          <w:szCs w:val="24"/>
          <w:lang w:val="en-US" w:eastAsia="zh-CN"/>
        </w:rPr>
        <w:t>5 施工期环境影响调查</w:t>
      </w:r>
      <w:bookmarkEnd w:id="3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val="0"/>
          <w:bCs w:val="0"/>
          <w:sz w:val="24"/>
          <w:szCs w:val="24"/>
          <w:lang w:val="en-US" w:eastAsia="zh-CN"/>
        </w:rPr>
      </w:pPr>
      <w:bookmarkStart w:id="39" w:name="_Toc10212"/>
      <w:r>
        <w:rPr>
          <w:rFonts w:hint="eastAsia" w:ascii="Times New Roman" w:hAnsi="Times New Roman" w:eastAsia="宋体" w:cs="Times New Roman"/>
          <w:b w:val="0"/>
          <w:bCs w:val="0"/>
          <w:sz w:val="24"/>
          <w:szCs w:val="24"/>
          <w:lang w:val="en-US" w:eastAsia="zh-CN"/>
        </w:rPr>
        <w:t>5.1生态环境</w:t>
      </w:r>
      <w:bookmarkEnd w:id="3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本工程道路沿线无珍惜动植物、古树等，主要生态环境为道路沿线基本农田、林地、植被等。</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工程期间选择合理的施工便道线路，避免了破坏大量森林植被，减小了对周边植被的破坏。</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严格控制了路基开挖施工作业面，避免了超挖破坏周围植被。</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道路、桥梁</w:t>
      </w:r>
      <w:r>
        <w:rPr>
          <w:rFonts w:hint="default" w:ascii="Times New Roman" w:hAnsi="Times New Roman" w:eastAsia="宋体" w:cs="Times New Roman"/>
          <w:sz w:val="24"/>
          <w:szCs w:val="24"/>
          <w:lang w:val="en-US" w:eastAsia="zh-CN"/>
        </w:rPr>
        <w:t>工程施工过程中，工程废渣未随处乱排，未排入河中。弃土（渣）场不占用基本农田。</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施工工区等临时建筑尽可能采用了成品或简易拼装方式，减轻对土壤及植被的破坏。</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路基施工和弃土（渣）场施工前，将农用地的表土层剥离，并在适当位置进行集中堆放，并采取临时拦挡和覆盖措施，后期用于绿化和土地复垦。</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路线尽量减少占用耕地，对于坡面工程及时采取工程或植物防护措施。</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因公路施工破坏植被而裸露的土地在施工结束后已整治利用，恢复植被。</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施工场地未设在耕地（尤其是水田）集中区内，施工便道亦未设在耕地（尤其是水田）集中区，未在基本农田保护区范围内设置各类临时工程。</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灰土拌和场、建材堆放场等临时用地基本布设在公路用地范围内。</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施工营地部分租用当地民房或公共房屋，其余布设在公路用地范围内。</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施工营地、料场、施工便道等临时工程用后已恢复。</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施工期严格按照相关法规及施工设计文件施工，未随意扩大取、弃土（渣）场占地面积，未将取、弃土（渣）场设在基本农田内。</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堆土场、施工场地等临时占地充分利用了互通立交的空地，缩减了部分临时占地面积。</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施工结束后根据不同的地区特点对临时占地采取了植被恢复措施。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val="0"/>
          <w:bCs w:val="0"/>
          <w:sz w:val="24"/>
          <w:szCs w:val="24"/>
          <w:lang w:val="en-US" w:eastAsia="zh-CN"/>
        </w:rPr>
      </w:pPr>
      <w:bookmarkStart w:id="40" w:name="_Toc21460"/>
      <w:r>
        <w:rPr>
          <w:rFonts w:hint="eastAsia" w:ascii="Times New Roman" w:hAnsi="Times New Roman" w:eastAsia="宋体" w:cs="Times New Roman"/>
          <w:b w:val="0"/>
          <w:bCs w:val="0"/>
          <w:sz w:val="24"/>
          <w:szCs w:val="24"/>
          <w:lang w:val="en-US" w:eastAsia="zh-CN"/>
        </w:rPr>
        <w:t>5.2水环境</w:t>
      </w:r>
      <w:bookmarkEnd w:id="40"/>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建筑材料的临时堆放加盖篷布及围挡，有效防止因雨水冲刷而造成水体污染；</w:t>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施工区域设置排污沟、截水沟、沉淀池等对施工废水进行处理并回收利用，无外排；</w:t>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施工区域完善环境保护设施，对施工废渣、岩浆、淤泥等就近运往弃土场，禁止排入河流；生产废水经沉淀处理回用，禁止排入河流；</w:t>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生活污水经处理后用于农灌，未直接排入水体。</w:t>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桥梁施工区域完善环境保护设施，对施工废渣、岩浆、淤泥等就近运往弃土场，禁止排入河流；生产废水经沉淀处理回用，禁止排入河流。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41" w:name="_Toc1205"/>
      <w:r>
        <w:rPr>
          <w:rFonts w:hint="eastAsia" w:ascii="Times New Roman" w:hAnsi="Times New Roman" w:eastAsia="宋体" w:cs="Times New Roman"/>
          <w:sz w:val="24"/>
          <w:szCs w:val="24"/>
          <w:lang w:val="en-US" w:eastAsia="zh-CN"/>
        </w:rPr>
        <w:t>5.3环境空气</w:t>
      </w:r>
      <w:bookmarkEnd w:id="41"/>
    </w:p>
    <w:p>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本工程不设沥青拌合场等，所使用沥青、砂石、水泥等建筑材料均采取外购；</w:t>
      </w:r>
    </w:p>
    <w:p>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砂石等临时堆放采用篷布遮盖，建材运输路线采取洒水措施，防止扬尘；</w:t>
      </w:r>
    </w:p>
    <w:p>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采取湿式作业，降低了施工扬尘；</w:t>
      </w:r>
    </w:p>
    <w:p>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施工营地炊事、取暖等使用液化气、电灯清洁能源，减少了废气污染。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42" w:name="_Toc28531"/>
      <w:r>
        <w:rPr>
          <w:rFonts w:hint="eastAsia" w:ascii="Times New Roman" w:hAnsi="Times New Roman" w:eastAsia="宋体" w:cs="Times New Roman"/>
          <w:sz w:val="24"/>
          <w:szCs w:val="24"/>
          <w:lang w:val="en-US" w:eastAsia="zh-CN"/>
        </w:rPr>
        <w:t>5.4声环境</w:t>
      </w:r>
      <w:bookmarkEnd w:id="42"/>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合理安排了作业时间以及选用低噪设备，降低了噪声对施工沿线居民、学校等的影响；</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加强了设备维护，保持低噪作业，运输车辆禁止鸣笛；</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为减少施工期间的材料运输、敲击、人的喊叫等施工活动声源，承包商通过文明施工、加强有效管理加以缓解。</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对距居民区100m以内的施工现场，噪声大的施工机具在夜间（22:00～06:00）停止施工。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43" w:name="_Toc9418"/>
      <w:r>
        <w:rPr>
          <w:rFonts w:hint="eastAsia" w:ascii="Times New Roman" w:hAnsi="Times New Roman" w:eastAsia="宋体" w:cs="Times New Roman"/>
          <w:sz w:val="24"/>
          <w:szCs w:val="24"/>
          <w:lang w:val="en-US" w:eastAsia="zh-CN"/>
        </w:rPr>
        <w:t>5.5固体废物</w:t>
      </w:r>
      <w:bookmarkEnd w:id="43"/>
    </w:p>
    <w:p>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施工人员居住场地附近设置临时垃圾集中堆放场地，定期清运至附近垃圾处理场处置。施工结束后，施工场地及时平整，建筑垃圾部分用于场地回填，不可利用部分与施工人员生活垃圾一起统一收集送附近垃圾处理场处置。</w:t>
      </w:r>
    </w:p>
    <w:p>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加强了施工期现场管理，及时清理拆迁了建筑垃圾和建筑废料</w:t>
      </w:r>
      <w:r>
        <w:rPr>
          <w:rFonts w:hint="eastAsia" w:ascii="Times New Roman" w:hAnsi="Times New Roman" w:eastAsia="宋体" w:cs="Times New Roman"/>
          <w:sz w:val="24"/>
          <w:szCs w:val="24"/>
          <w:lang w:val="en-US" w:eastAsia="zh-CN"/>
        </w:rPr>
        <w:t>，妥善处理。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44" w:name="_Toc6913"/>
      <w:r>
        <w:rPr>
          <w:rFonts w:hint="eastAsia" w:ascii="Times New Roman" w:hAnsi="Times New Roman" w:eastAsia="宋体" w:cs="Times New Roman"/>
          <w:sz w:val="24"/>
          <w:szCs w:val="24"/>
          <w:lang w:val="en-US" w:eastAsia="zh-CN"/>
        </w:rPr>
        <w:t>5.6小结</w:t>
      </w:r>
      <w:bookmarkEnd w:id="4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建设单位和施工单位在施工期针对产生的水、气、声、生态等方面的影响采取了环保措施，有效降低了工程施工作业对沿线生态环境、地表水、环境空气和声环境的影响。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default" w:ascii="Times New Roman" w:hAnsi="Times New Roman" w:eastAsia="宋体" w:cs="Times New Roman"/>
          <w:sz w:val="24"/>
          <w:szCs w:val="24"/>
          <w:lang w:val="en-US" w:eastAsia="zh-CN"/>
        </w:rPr>
      </w:pPr>
      <w:bookmarkStart w:id="45" w:name="_Toc20694"/>
      <w:r>
        <w:rPr>
          <w:rFonts w:hint="eastAsia" w:ascii="Times New Roman" w:hAnsi="Times New Roman" w:eastAsia="宋体" w:cs="Times New Roman"/>
          <w:b/>
          <w:bCs/>
          <w:sz w:val="24"/>
          <w:szCs w:val="24"/>
          <w:lang w:val="en-US" w:eastAsia="zh-CN"/>
        </w:rPr>
        <w:t>6 运营期环境影响调查</w:t>
      </w:r>
      <w:bookmarkEnd w:id="4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46" w:name="_Toc5213"/>
      <w:r>
        <w:rPr>
          <w:rFonts w:hint="eastAsia" w:ascii="Times New Roman" w:hAnsi="Times New Roman" w:eastAsia="宋体" w:cs="Times New Roman"/>
          <w:sz w:val="24"/>
          <w:szCs w:val="24"/>
          <w:lang w:val="en-US" w:eastAsia="zh-CN"/>
        </w:rPr>
        <w:t>6.1生态环境</w:t>
      </w:r>
      <w:bookmarkEnd w:id="4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47" w:name="_Toc20327"/>
      <w:r>
        <w:rPr>
          <w:rFonts w:hint="eastAsia" w:ascii="Times New Roman" w:hAnsi="Times New Roman" w:eastAsia="宋体" w:cs="Times New Roman"/>
          <w:sz w:val="24"/>
          <w:szCs w:val="24"/>
          <w:lang w:val="en-US" w:eastAsia="zh-CN"/>
        </w:rPr>
        <w:t>6.1.1工程占地</w:t>
      </w:r>
      <w:bookmarkEnd w:id="4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lang w:val="en-US" w:eastAsia="zh-CN"/>
        </w:rPr>
        <w:t>本项目永久性占地11.52hm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vertAlign w:val="baseline"/>
          <w:lang w:val="en-US" w:eastAsia="zh-CN"/>
        </w:rPr>
        <w:t>其中建筑用地0.14</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、林地0.06</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、荒草地0.62</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、水田2.88</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、旱地9.46</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、水域0.06</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、交通用地0.06</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）；临时占地1.76</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，现已复土绿化</w:t>
      </w:r>
      <w:r>
        <w:rPr>
          <w:rFonts w:hint="eastAsia" w:ascii="Times New Roman" w:hAnsi="Times New Roman" w:eastAsia="宋体" w:cs="Times New Roman"/>
          <w:sz w:val="24"/>
          <w:szCs w:val="24"/>
          <w:lang w:val="en-US" w:eastAsia="zh-CN"/>
        </w:rPr>
        <w:t>。本项目所占用土地已完成征收，规划为园区建设项目用地。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vertAlign w:val="baseline"/>
          <w:lang w:val="en-US" w:eastAsia="zh-CN"/>
        </w:rPr>
      </w:pPr>
      <w:bookmarkStart w:id="48" w:name="_Toc12120"/>
      <w:r>
        <w:rPr>
          <w:rFonts w:hint="eastAsia" w:ascii="Times New Roman" w:hAnsi="Times New Roman" w:eastAsia="宋体" w:cs="Times New Roman"/>
          <w:sz w:val="24"/>
          <w:szCs w:val="24"/>
          <w:vertAlign w:val="baseline"/>
          <w:lang w:val="en-US" w:eastAsia="zh-CN"/>
        </w:rPr>
        <w:t>6.1.2土石方</w:t>
      </w:r>
      <w:bookmarkEnd w:id="4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lang w:val="en-US" w:eastAsia="zh-CN"/>
        </w:rPr>
        <w:t>本项目建设道路55840m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，挖方7.22万m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vertAlign w:val="baseline"/>
          <w:lang w:val="en-US" w:eastAsia="zh-CN"/>
        </w:rPr>
        <w:t>（其中土方4.37</w:t>
      </w:r>
      <w:r>
        <w:rPr>
          <w:rFonts w:hint="eastAsia" w:ascii="Times New Roman" w:hAnsi="Times New Roman" w:eastAsia="宋体" w:cs="Times New Roman"/>
          <w:sz w:val="24"/>
          <w:szCs w:val="24"/>
          <w:lang w:val="en-US" w:eastAsia="zh-CN"/>
        </w:rPr>
        <w:t>万m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vertAlign w:val="baseline"/>
          <w:lang w:val="en-US" w:eastAsia="zh-CN"/>
        </w:rPr>
        <w:t>，石方2.85</w:t>
      </w:r>
      <w:r>
        <w:rPr>
          <w:rFonts w:hint="eastAsia" w:ascii="Times New Roman" w:hAnsi="Times New Roman" w:eastAsia="宋体" w:cs="Times New Roman"/>
          <w:sz w:val="24"/>
          <w:szCs w:val="24"/>
          <w:lang w:val="en-US" w:eastAsia="zh-CN"/>
        </w:rPr>
        <w:t>万m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eastAsia="宋体" w:cs="Times New Roman"/>
          <w:sz w:val="24"/>
          <w:szCs w:val="24"/>
          <w:lang w:val="en-US" w:eastAsia="zh-CN"/>
        </w:rPr>
        <w:t>，填方5.94万m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（其中土方3.09万m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，石方2.85万m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）。本项目全线拆迁建筑物3000m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，拆迁户数约20户。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49" w:name="_Toc13955"/>
      <w:r>
        <w:rPr>
          <w:rFonts w:hint="eastAsia" w:ascii="Times New Roman" w:hAnsi="Times New Roman" w:eastAsia="宋体" w:cs="Times New Roman"/>
          <w:sz w:val="24"/>
          <w:szCs w:val="24"/>
          <w:lang w:val="en-US" w:eastAsia="zh-CN"/>
        </w:rPr>
        <w:t>6.1.3取、弃土场</w:t>
      </w:r>
      <w:bookmarkEnd w:id="4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本项目未设置专门的取土场，所需料石全部采用购买，设置1处临时弃土场。临时弃土场现已完成清理、平整、绿化等，规划为园区建设项目用地；本项目未设置专门弃土场，弃方运至干田路永久性弃土场。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干田路永久性弃土场位于干田路</w:t>
      </w:r>
      <w:r>
        <w:rPr>
          <w:rFonts w:hint="default" w:ascii="Times New Roman" w:hAnsi="Times New Roman" w:eastAsia="宋体" w:cs="Times New Roman"/>
          <w:sz w:val="24"/>
          <w:szCs w:val="24"/>
          <w:lang w:val="en-US" w:eastAsia="zh-CN"/>
        </w:rPr>
        <w:t>起点南侧约700m、麦苏路起点西侧约500m处设置弃渣场1处，该弃渣场占地1.60hm</w:t>
      </w:r>
      <w:r>
        <w:rPr>
          <w:rFonts w:hint="eastAsia"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，为冲沟型弃渣场，主要容纳</w:t>
      </w:r>
      <w:r>
        <w:rPr>
          <w:rFonts w:hint="eastAsia" w:ascii="Times New Roman" w:hAnsi="Times New Roman" w:eastAsia="宋体" w:cs="Times New Roman"/>
          <w:sz w:val="24"/>
          <w:szCs w:val="24"/>
          <w:lang w:val="en-US" w:eastAsia="zh-CN"/>
        </w:rPr>
        <w:t>苏庄路</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干田</w:t>
      </w:r>
      <w:r>
        <w:rPr>
          <w:rFonts w:hint="default" w:ascii="Times New Roman" w:hAnsi="Times New Roman" w:eastAsia="宋体" w:cs="Times New Roman"/>
          <w:sz w:val="24"/>
          <w:szCs w:val="24"/>
          <w:lang w:val="en-US" w:eastAsia="zh-CN"/>
        </w:rPr>
        <w:t>路、麦苏路以及金干南路等道路弃渣，容量约12万m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，其工程纳入</w:t>
      </w:r>
      <w:r>
        <w:rPr>
          <w:rFonts w:hint="eastAsia" w:ascii="Times New Roman" w:hAnsi="Times New Roman" w:eastAsia="宋体" w:cs="Times New Roman"/>
          <w:sz w:val="24"/>
          <w:szCs w:val="24"/>
          <w:lang w:val="en-US" w:eastAsia="zh-CN"/>
        </w:rPr>
        <w:t>苏庄路</w:t>
      </w:r>
      <w:r>
        <w:rPr>
          <w:rFonts w:hint="default" w:ascii="Times New Roman" w:hAnsi="Times New Roman" w:eastAsia="宋体" w:cs="Times New Roman"/>
          <w:sz w:val="24"/>
          <w:szCs w:val="24"/>
          <w:lang w:val="en-US" w:eastAsia="zh-CN"/>
        </w:rPr>
        <w:t>工程范围。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该渣场位于沟谷中，距离最近的居民点约500m，且之间有山坡阻隔，影响很小</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该弃渣场总容量约12.0万m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，同期实施的5条道路项目实际弃渣量10.66万m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，满足该5条道路弃渣需要</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该渣场未占用现有河道和季节性河道，沟谷两侧山体稳定，沟谷底部较地势平缓，诱发泥石流等地质灾害风险较低</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弃渣场占地类型主要以荒草地和梯坪地为主，弃渣前进行表土剥离，堆渣完毕后可平整复耕</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该5条道路废弃土石方运输距离最远约5km，较其他建设项目运距稍远，因本项目位于城市规划区内，所以本次评价认为该运距是可行的。因此，本次评价认为该渣场选址合理。考虑到本拟建道路所在区域均已规划为建设用地，建议该5条道路弃渣根据城市建设规划用作近期建设项目场地平整，使之得以资源利用、变废为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经现场调查，该处弃土场现已经过夯实、平整，规划为园区建设项目用地。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50" w:name="_Toc23931"/>
      <w:r>
        <w:rPr>
          <w:rFonts w:hint="eastAsia" w:ascii="Times New Roman" w:hAnsi="Times New Roman" w:eastAsia="宋体" w:cs="Times New Roman"/>
          <w:sz w:val="24"/>
          <w:szCs w:val="24"/>
          <w:lang w:val="en-US" w:eastAsia="zh-CN"/>
        </w:rPr>
        <w:t>6.1.4水土保持</w:t>
      </w:r>
      <w:bookmarkEnd w:id="5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lang w:val="en-US" w:eastAsia="zh-CN"/>
        </w:rPr>
        <w:t>经实地勘察，本项目严格执行水土保持方案的要求</w:t>
      </w:r>
      <w:r>
        <w:rPr>
          <w:rFonts w:hint="eastAsia" w:ascii="Times New Roman" w:hAnsi="Times New Roman" w:eastAsia="宋体" w:cs="Times New Roman"/>
          <w:sz w:val="24"/>
          <w:szCs w:val="24"/>
          <w:vertAlign w:val="baseline"/>
          <w:lang w:val="en-US" w:eastAsia="zh-CN"/>
        </w:rPr>
        <w:t>，边坡建设完善，临时堆场恢复，沿线施工扰动区已进行生态恢复，基本完成水土保持要求。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51" w:name="_Toc24286"/>
      <w:r>
        <w:rPr>
          <w:rFonts w:hint="eastAsia" w:ascii="Times New Roman" w:hAnsi="Times New Roman" w:eastAsia="宋体" w:cs="Times New Roman"/>
          <w:sz w:val="24"/>
          <w:szCs w:val="24"/>
          <w:lang w:val="en-US" w:eastAsia="zh-CN"/>
        </w:rPr>
        <w:t>6.1.5绿化与景观</w:t>
      </w:r>
      <w:bookmarkEnd w:id="5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道路沿线已种植行道树，路中心隔离带绿化等已基本完成。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52" w:name="_Toc13508"/>
      <w:r>
        <w:rPr>
          <w:rFonts w:hint="eastAsia" w:ascii="Times New Roman" w:hAnsi="Times New Roman" w:eastAsia="宋体" w:cs="Times New Roman"/>
          <w:sz w:val="24"/>
          <w:szCs w:val="24"/>
          <w:lang w:val="en-US" w:eastAsia="zh-CN"/>
        </w:rPr>
        <w:t>6.2环境空气及噪声环境</w:t>
      </w:r>
      <w:bookmarkEnd w:id="5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53" w:name="_Toc11791"/>
      <w:r>
        <w:rPr>
          <w:rFonts w:hint="eastAsia" w:ascii="Times New Roman" w:hAnsi="Times New Roman" w:eastAsia="宋体" w:cs="Times New Roman"/>
          <w:sz w:val="24"/>
          <w:szCs w:val="24"/>
          <w:lang w:val="en-US" w:eastAsia="zh-CN"/>
        </w:rPr>
        <w:t>6.2.1敏感点调查</w:t>
      </w:r>
      <w:bookmarkEnd w:id="5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经现场调查，本项目中心线200m范围内敏感点4处，其中居民点3处，即下高山、下高山小寨、绿地·新都会；下高山与下高山小寨现已大部分完成搬迁和征收，仅余极少部分居民（约6户15人）仍居住在此处，相关部门也在与其积极协商相关搬迁事宜；绿地·新都会仍处于在建状态。原环评的敏感点4处（下高山、下高山小寨、南六、海马洞），南六、海马洞已完成搬迁。调查情况见表6.2.1-1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表6.2.1-1敏感点变更一览表</w:t>
      </w:r>
    </w:p>
    <w:tbl>
      <w:tblPr>
        <w:tblStyle w:val="9"/>
        <w:tblW w:w="868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612"/>
        <w:gridCol w:w="1397"/>
        <w:gridCol w:w="1170"/>
        <w:gridCol w:w="1425"/>
        <w:gridCol w:w="1185"/>
        <w:gridCol w:w="13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blHeader/>
          <w:jc w:val="center"/>
        </w:trPr>
        <w:tc>
          <w:tcPr>
            <w:tcW w:w="516"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color w:val="auto"/>
                <w:sz w:val="21"/>
              </w:rPr>
            </w:pPr>
            <w:r>
              <w:rPr>
                <w:rFonts w:hint="eastAsia" w:ascii="宋体" w:eastAsia="宋体"/>
                <w:b/>
                <w:color w:val="auto"/>
                <w:sz w:val="21"/>
              </w:rPr>
              <w:t>序号</w:t>
            </w:r>
          </w:p>
        </w:tc>
        <w:tc>
          <w:tcPr>
            <w:tcW w:w="1612" w:type="dxa"/>
            <w:tcBorders>
              <w:left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color w:val="auto"/>
                <w:sz w:val="21"/>
              </w:rPr>
            </w:pPr>
            <w:r>
              <w:rPr>
                <w:rFonts w:hint="eastAsia" w:ascii="宋体" w:eastAsia="宋体"/>
                <w:b/>
                <w:color w:val="auto"/>
                <w:sz w:val="21"/>
              </w:rPr>
              <w:t>敏感点名称</w:t>
            </w:r>
          </w:p>
        </w:tc>
        <w:tc>
          <w:tcPr>
            <w:tcW w:w="1397" w:type="dxa"/>
            <w:tcBorders>
              <w:left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color w:val="auto"/>
                <w:sz w:val="21"/>
              </w:rPr>
            </w:pPr>
            <w:r>
              <w:rPr>
                <w:rFonts w:hint="eastAsia" w:ascii="宋体" w:eastAsia="宋体"/>
                <w:b/>
                <w:color w:val="auto"/>
                <w:sz w:val="21"/>
              </w:rPr>
              <w:t>桩号</w:t>
            </w:r>
          </w:p>
        </w:tc>
        <w:tc>
          <w:tcPr>
            <w:tcW w:w="1170" w:type="dxa"/>
            <w:tcBorders>
              <w:left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color w:val="auto"/>
                <w:sz w:val="21"/>
              </w:rPr>
            </w:pPr>
            <w:r>
              <w:rPr>
                <w:rFonts w:hint="eastAsia" w:ascii="宋体" w:eastAsia="宋体"/>
                <w:b/>
                <w:color w:val="auto"/>
                <w:sz w:val="21"/>
              </w:rPr>
              <w:t>距主线</w:t>
            </w:r>
          </w:p>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color w:val="auto"/>
                <w:sz w:val="21"/>
              </w:rPr>
            </w:pPr>
            <w:r>
              <w:rPr>
                <w:rFonts w:hint="eastAsia" w:ascii="宋体" w:eastAsia="宋体"/>
                <w:b/>
                <w:color w:val="auto"/>
                <w:sz w:val="21"/>
              </w:rPr>
              <w:t>方位</w:t>
            </w:r>
          </w:p>
        </w:tc>
        <w:tc>
          <w:tcPr>
            <w:tcW w:w="1425" w:type="dxa"/>
            <w:tcBorders>
              <w:left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b/>
                <w:color w:val="auto"/>
                <w:sz w:val="21"/>
              </w:rPr>
            </w:pPr>
            <w:r>
              <w:rPr>
                <w:rFonts w:hint="eastAsia" w:ascii="宋体" w:eastAsia="宋体"/>
                <w:b/>
                <w:color w:val="auto"/>
                <w:spacing w:val="-8"/>
                <w:sz w:val="21"/>
              </w:rPr>
              <w:t>距路中心</w:t>
            </w:r>
            <w:r>
              <w:rPr>
                <w:rFonts w:hint="eastAsia" w:ascii="宋体" w:eastAsia="宋体"/>
                <w:b/>
                <w:color w:val="auto"/>
                <w:spacing w:val="-8"/>
                <w:w w:val="95"/>
                <w:sz w:val="21"/>
              </w:rPr>
              <w:t>线</w:t>
            </w:r>
            <w:r>
              <w:rPr>
                <w:rFonts w:hint="eastAsia" w:ascii="宋体" w:eastAsia="宋体"/>
                <w:b/>
                <w:color w:val="auto"/>
                <w:spacing w:val="-8"/>
                <w:w w:val="95"/>
                <w:sz w:val="21"/>
                <w:lang w:eastAsia="zh-CN"/>
              </w:rPr>
              <w:t>最近</w:t>
            </w:r>
            <w:r>
              <w:rPr>
                <w:rFonts w:hint="eastAsia" w:ascii="宋体" w:eastAsia="宋体"/>
                <w:b/>
                <w:color w:val="auto"/>
                <w:spacing w:val="-8"/>
                <w:w w:val="95"/>
                <w:sz w:val="21"/>
              </w:rPr>
              <w:t>距</w:t>
            </w:r>
            <w:r>
              <w:rPr>
                <w:rFonts w:hint="eastAsia" w:ascii="宋体" w:eastAsia="宋体"/>
                <w:b/>
                <w:color w:val="auto"/>
                <w:w w:val="95"/>
                <w:sz w:val="21"/>
              </w:rPr>
              <w:t>离</w:t>
            </w:r>
            <w:r>
              <w:rPr>
                <w:b/>
                <w:color w:val="auto"/>
                <w:w w:val="95"/>
                <w:sz w:val="21"/>
              </w:rPr>
              <w:t>(m)</w:t>
            </w:r>
          </w:p>
        </w:tc>
        <w:tc>
          <w:tcPr>
            <w:tcW w:w="1185" w:type="dxa"/>
            <w:tcBorders>
              <w:left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b/>
                <w:color w:val="auto"/>
                <w:sz w:val="21"/>
              </w:rPr>
            </w:pPr>
            <w:r>
              <w:rPr>
                <w:rFonts w:hint="eastAsia" w:ascii="宋体" w:eastAsia="宋体"/>
                <w:b/>
                <w:color w:val="auto"/>
                <w:sz w:val="21"/>
              </w:rPr>
              <w:t>与路面相对高差</w:t>
            </w:r>
            <w:r>
              <w:rPr>
                <w:b/>
                <w:color w:val="auto"/>
                <w:sz w:val="21"/>
              </w:rPr>
              <w:t>(m)</w:t>
            </w:r>
          </w:p>
        </w:tc>
        <w:tc>
          <w:tcPr>
            <w:tcW w:w="1379" w:type="dxa"/>
            <w:tcBorders>
              <w:lef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color w:val="auto"/>
                <w:sz w:val="21"/>
                <w:lang w:eastAsia="zh-CN"/>
              </w:rPr>
            </w:pPr>
            <w:r>
              <w:rPr>
                <w:rFonts w:hint="eastAsia" w:ascii="宋体" w:eastAsia="宋体"/>
                <w:b/>
                <w:color w:val="auto"/>
                <w:sz w:val="21"/>
                <w:lang w:eastAsia="zh-CN"/>
              </w:rPr>
              <w:t>变更情况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jc w:val="center"/>
        </w:trPr>
        <w:tc>
          <w:tcPr>
            <w:tcW w:w="516"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lang w:val="en-US" w:eastAsia="zh-CN" w:bidi="zh-CN"/>
              </w:rPr>
            </w:pPr>
            <w:r>
              <w:rPr>
                <w:rFonts w:hint="eastAsia" w:eastAsia="宋体" w:cs="Times New Roman"/>
                <w:b w:val="0"/>
                <w:bCs/>
                <w:color w:val="auto"/>
                <w:kern w:val="2"/>
                <w:sz w:val="21"/>
                <w:szCs w:val="24"/>
                <w:lang w:val="en-US" w:eastAsia="zh-CN" w:bidi="zh-CN"/>
              </w:rPr>
              <w:t>1</w:t>
            </w:r>
          </w:p>
        </w:tc>
        <w:tc>
          <w:tcPr>
            <w:tcW w:w="1612"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下高山</w:t>
            </w:r>
          </w:p>
        </w:tc>
        <w:tc>
          <w:tcPr>
            <w:tcW w:w="1397"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K0+000~200</w:t>
            </w:r>
          </w:p>
        </w:tc>
        <w:tc>
          <w:tcPr>
            <w:tcW w:w="1170"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右侧</w:t>
            </w:r>
          </w:p>
        </w:tc>
        <w:tc>
          <w:tcPr>
            <w:tcW w:w="142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60</w:t>
            </w:r>
          </w:p>
        </w:tc>
        <w:tc>
          <w:tcPr>
            <w:tcW w:w="118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-4</w:t>
            </w:r>
          </w:p>
        </w:tc>
        <w:tc>
          <w:tcPr>
            <w:tcW w:w="1379" w:type="dxa"/>
            <w:tcBorders>
              <w:lef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val="0"/>
                <w:bCs/>
                <w:color w:val="auto"/>
                <w:sz w:val="21"/>
                <w:lang w:eastAsia="zh-CN"/>
              </w:rPr>
            </w:pPr>
            <w:r>
              <w:rPr>
                <w:rFonts w:hint="eastAsia" w:ascii="宋体" w:eastAsia="宋体"/>
                <w:b w:val="0"/>
                <w:bCs/>
                <w:color w:val="auto"/>
                <w:sz w:val="21"/>
                <w:lang w:eastAsia="zh-CN"/>
              </w:rPr>
              <w:t>原有（大部分居民已搬迁）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jc w:val="center"/>
        </w:trPr>
        <w:tc>
          <w:tcPr>
            <w:tcW w:w="516"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sz w:val="21"/>
                <w:lang w:val="en-US" w:eastAsia="zh-CN"/>
              </w:rPr>
            </w:pPr>
            <w:r>
              <w:rPr>
                <w:rFonts w:hint="eastAsia" w:eastAsia="宋体" w:cs="Times New Roman"/>
                <w:b w:val="0"/>
                <w:bCs/>
                <w:color w:val="auto"/>
                <w:sz w:val="21"/>
                <w:lang w:val="en-US" w:eastAsia="zh-CN"/>
              </w:rPr>
              <w:t>2</w:t>
            </w:r>
          </w:p>
        </w:tc>
        <w:tc>
          <w:tcPr>
            <w:tcW w:w="1612"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下高山小寨</w:t>
            </w:r>
          </w:p>
        </w:tc>
        <w:tc>
          <w:tcPr>
            <w:tcW w:w="1397"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K0+420~520</w:t>
            </w:r>
          </w:p>
        </w:tc>
        <w:tc>
          <w:tcPr>
            <w:tcW w:w="1170"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w:t>
            </w:r>
          </w:p>
        </w:tc>
        <w:tc>
          <w:tcPr>
            <w:tcW w:w="142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175</w:t>
            </w:r>
          </w:p>
        </w:tc>
        <w:tc>
          <w:tcPr>
            <w:tcW w:w="118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2</w:t>
            </w:r>
          </w:p>
        </w:tc>
        <w:tc>
          <w:tcPr>
            <w:tcW w:w="1379" w:type="dxa"/>
            <w:tcBorders>
              <w:lef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val="0"/>
                <w:bCs/>
                <w:color w:val="auto"/>
                <w:sz w:val="21"/>
                <w:lang w:eastAsia="zh-CN"/>
              </w:rPr>
            </w:pPr>
            <w:r>
              <w:rPr>
                <w:rFonts w:hint="eastAsia" w:ascii="宋体" w:eastAsia="宋体"/>
                <w:b w:val="0"/>
                <w:bCs/>
                <w:color w:val="auto"/>
                <w:sz w:val="21"/>
                <w:lang w:eastAsia="zh-CN"/>
              </w:rPr>
              <w:t>原有（大部分居民已搬迁）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516"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sz w:val="21"/>
                <w:lang w:val="en-US" w:eastAsia="zh-CN"/>
              </w:rPr>
            </w:pPr>
            <w:r>
              <w:rPr>
                <w:rFonts w:hint="eastAsia" w:eastAsia="宋体" w:cs="Times New Roman"/>
                <w:b w:val="0"/>
                <w:bCs/>
                <w:color w:val="auto"/>
                <w:sz w:val="21"/>
                <w:lang w:val="en-US" w:eastAsia="zh-CN"/>
              </w:rPr>
              <w:t>3</w:t>
            </w:r>
          </w:p>
        </w:tc>
        <w:tc>
          <w:tcPr>
            <w:tcW w:w="1612"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绿地·新都会</w:t>
            </w:r>
          </w:p>
        </w:tc>
        <w:tc>
          <w:tcPr>
            <w:tcW w:w="1397"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K1+690</w:t>
            </w:r>
          </w:p>
        </w:tc>
        <w:tc>
          <w:tcPr>
            <w:tcW w:w="1170"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右侧</w:t>
            </w:r>
          </w:p>
        </w:tc>
        <w:tc>
          <w:tcPr>
            <w:tcW w:w="142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vertAlign w:val="baseline"/>
                <w:lang w:val="en-US" w:eastAsia="zh-CN" w:bidi="ar-SA"/>
                <w14:textFill>
                  <w14:solidFill>
                    <w14:schemeClr w14:val="tx1"/>
                  </w14:solidFill>
                </w14:textFill>
              </w:rPr>
              <w:t>25</w:t>
            </w:r>
          </w:p>
        </w:tc>
        <w:tc>
          <w:tcPr>
            <w:tcW w:w="118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+0.5</w:t>
            </w:r>
          </w:p>
        </w:tc>
        <w:tc>
          <w:tcPr>
            <w:tcW w:w="1379" w:type="dxa"/>
            <w:tcBorders>
              <w:lef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val="0"/>
                <w:bCs/>
                <w:color w:val="auto"/>
                <w:sz w:val="21"/>
                <w:lang w:eastAsia="zh-CN"/>
              </w:rPr>
            </w:pPr>
            <w:r>
              <w:rPr>
                <w:rFonts w:hint="eastAsia" w:ascii="宋体" w:eastAsia="宋体"/>
                <w:b w:val="0"/>
                <w:bCs/>
                <w:color w:val="auto"/>
                <w:sz w:val="21"/>
                <w:lang w:eastAsia="zh-CN"/>
              </w:rPr>
              <w:t>新增（在建）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 w:hRule="atLeast"/>
          <w:jc w:val="center"/>
        </w:trPr>
        <w:tc>
          <w:tcPr>
            <w:tcW w:w="516"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lang w:val="en-US" w:eastAsia="zh-CN" w:bidi="zh-CN"/>
              </w:rPr>
            </w:pPr>
            <w:r>
              <w:rPr>
                <w:rFonts w:hint="eastAsia" w:eastAsia="宋体" w:cs="Times New Roman"/>
                <w:b w:val="0"/>
                <w:bCs/>
                <w:color w:val="auto"/>
                <w:kern w:val="2"/>
                <w:sz w:val="21"/>
                <w:szCs w:val="24"/>
                <w:lang w:val="en-US" w:eastAsia="zh-CN" w:bidi="zh-CN"/>
              </w:rPr>
              <w:t>4</w:t>
            </w:r>
          </w:p>
        </w:tc>
        <w:tc>
          <w:tcPr>
            <w:tcW w:w="1612"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永定河孔雀大卫城</w:t>
            </w:r>
          </w:p>
        </w:tc>
        <w:tc>
          <w:tcPr>
            <w:tcW w:w="1397"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K2+150</w:t>
            </w:r>
          </w:p>
        </w:tc>
        <w:tc>
          <w:tcPr>
            <w:tcW w:w="1170"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右侧</w:t>
            </w:r>
          </w:p>
        </w:tc>
        <w:tc>
          <w:tcPr>
            <w:tcW w:w="142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30</w:t>
            </w:r>
          </w:p>
        </w:tc>
        <w:tc>
          <w:tcPr>
            <w:tcW w:w="118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1379" w:type="dxa"/>
            <w:tcBorders>
              <w:lef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val="0"/>
                <w:bCs/>
                <w:color w:val="auto"/>
                <w:sz w:val="21"/>
                <w:lang w:eastAsia="zh-CN"/>
              </w:rPr>
            </w:pPr>
            <w:r>
              <w:rPr>
                <w:rFonts w:hint="eastAsia" w:ascii="宋体" w:eastAsia="宋体"/>
                <w:b w:val="0"/>
                <w:bCs/>
                <w:color w:val="auto"/>
                <w:sz w:val="21"/>
                <w:lang w:eastAsia="zh-CN"/>
              </w:rPr>
              <w:t>新增（在建）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516"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eastAsia="宋体" w:cs="Times New Roman"/>
                <w:b w:val="0"/>
                <w:bCs/>
                <w:color w:val="auto"/>
                <w:sz w:val="21"/>
                <w:lang w:val="en-US" w:eastAsia="zh-CN"/>
              </w:rPr>
            </w:pPr>
            <w:r>
              <w:rPr>
                <w:rFonts w:hint="eastAsia" w:eastAsia="宋体" w:cs="Times New Roman"/>
                <w:b w:val="0"/>
                <w:bCs/>
                <w:color w:val="auto"/>
                <w:sz w:val="21"/>
                <w:lang w:val="en-US" w:eastAsia="zh-CN"/>
              </w:rPr>
              <w:t>5</w:t>
            </w:r>
          </w:p>
        </w:tc>
        <w:tc>
          <w:tcPr>
            <w:tcW w:w="1612"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南六</w:t>
            </w:r>
          </w:p>
        </w:tc>
        <w:tc>
          <w:tcPr>
            <w:tcW w:w="1397"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K2+700~800</w:t>
            </w:r>
          </w:p>
        </w:tc>
        <w:tc>
          <w:tcPr>
            <w:tcW w:w="1170"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右侧</w:t>
            </w:r>
          </w:p>
        </w:tc>
        <w:tc>
          <w:tcPr>
            <w:tcW w:w="142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37</w:t>
            </w:r>
          </w:p>
        </w:tc>
        <w:tc>
          <w:tcPr>
            <w:tcW w:w="118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-7</w:t>
            </w:r>
          </w:p>
        </w:tc>
        <w:tc>
          <w:tcPr>
            <w:tcW w:w="1379" w:type="dxa"/>
            <w:tcBorders>
              <w:lef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val="0"/>
                <w:bCs/>
                <w:color w:val="auto"/>
                <w:sz w:val="21"/>
                <w:lang w:eastAsia="zh-CN"/>
              </w:rPr>
            </w:pPr>
            <w:r>
              <w:rPr>
                <w:rFonts w:hint="eastAsia" w:ascii="宋体" w:eastAsia="宋体"/>
                <w:b w:val="0"/>
                <w:bCs/>
                <w:color w:val="auto"/>
                <w:sz w:val="21"/>
                <w:lang w:eastAsia="zh-CN"/>
              </w:rPr>
              <w:t>已搬迁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jc w:val="center"/>
        </w:trPr>
        <w:tc>
          <w:tcPr>
            <w:tcW w:w="516"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lang w:val="en-US" w:eastAsia="zh-CN" w:bidi="zh-CN"/>
              </w:rPr>
            </w:pPr>
            <w:r>
              <w:rPr>
                <w:rFonts w:hint="eastAsia" w:eastAsia="宋体" w:cs="Times New Roman"/>
                <w:b w:val="0"/>
                <w:bCs/>
                <w:color w:val="auto"/>
                <w:kern w:val="2"/>
                <w:sz w:val="21"/>
                <w:szCs w:val="24"/>
                <w:lang w:val="en-US" w:eastAsia="zh-CN" w:bidi="zh-CN"/>
              </w:rPr>
              <w:t>6</w:t>
            </w:r>
          </w:p>
        </w:tc>
        <w:tc>
          <w:tcPr>
            <w:tcW w:w="1612"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海马洞</w:t>
            </w:r>
          </w:p>
        </w:tc>
        <w:tc>
          <w:tcPr>
            <w:tcW w:w="1397"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K3+300~491</w:t>
            </w:r>
          </w:p>
        </w:tc>
        <w:tc>
          <w:tcPr>
            <w:tcW w:w="1170"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右侧</w:t>
            </w:r>
          </w:p>
        </w:tc>
        <w:tc>
          <w:tcPr>
            <w:tcW w:w="142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vertAlign w:val="baseline"/>
                <w:lang w:val="en-US" w:eastAsia="zh-CN" w:bidi="ar-SA"/>
                <w14:textFill>
                  <w14:solidFill>
                    <w14:schemeClr w14:val="tx1"/>
                  </w14:solidFill>
                </w14:textFill>
              </w:rPr>
              <w:t>33</w:t>
            </w:r>
          </w:p>
        </w:tc>
        <w:tc>
          <w:tcPr>
            <w:tcW w:w="118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-0.5</w:t>
            </w:r>
          </w:p>
        </w:tc>
        <w:tc>
          <w:tcPr>
            <w:tcW w:w="1379" w:type="dxa"/>
            <w:tcBorders>
              <w:lef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val="0"/>
                <w:bCs/>
                <w:color w:val="auto"/>
                <w:sz w:val="21"/>
                <w:lang w:eastAsia="zh-CN"/>
              </w:rPr>
            </w:pPr>
            <w:r>
              <w:rPr>
                <w:rFonts w:hint="eastAsia" w:ascii="宋体" w:eastAsia="宋体"/>
                <w:b w:val="0"/>
                <w:bCs/>
                <w:color w:val="auto"/>
                <w:sz w:val="21"/>
                <w:lang w:eastAsia="zh-CN"/>
              </w:rPr>
              <w:t>已搬迁</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default" w:ascii="Times New Roman" w:hAnsi="Times New Roman" w:eastAsia="宋体" w:cs="Times New Roman"/>
          <w:sz w:val="24"/>
          <w:szCs w:val="24"/>
          <w:lang w:val="en-US" w:eastAsia="zh-CN"/>
        </w:rPr>
      </w:pPr>
      <w:bookmarkStart w:id="54" w:name="_Toc30116"/>
      <w:r>
        <w:rPr>
          <w:rFonts w:hint="eastAsia" w:ascii="Times New Roman" w:hAnsi="Times New Roman" w:eastAsia="宋体" w:cs="Times New Roman"/>
          <w:sz w:val="24"/>
          <w:szCs w:val="24"/>
          <w:lang w:val="en-US" w:eastAsia="zh-CN"/>
        </w:rPr>
        <w:t>6.2.2现状监测内容</w:t>
      </w:r>
      <w:bookmarkEnd w:id="5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根据调查实际情况，结合环境影响评价报告要求，本项目共设置噪声监测敏感点5处，环境空气监测敏感点1处。具体详见表6.2.2-1、6.2.2-2.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6.2.2-1噪声监测敏感点一览表</w:t>
      </w:r>
    </w:p>
    <w:tbl>
      <w:tblPr>
        <w:tblStyle w:val="10"/>
        <w:tblW w:w="96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1065"/>
        <w:gridCol w:w="1830"/>
        <w:gridCol w:w="1170"/>
        <w:gridCol w:w="1200"/>
        <w:gridCol w:w="720"/>
        <w:gridCol w:w="720"/>
        <w:gridCol w:w="2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blHeader/>
          <w:jc w:val="center"/>
        </w:trPr>
        <w:tc>
          <w:tcPr>
            <w:tcW w:w="6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序号</w:t>
            </w:r>
          </w:p>
        </w:tc>
        <w:tc>
          <w:tcPr>
            <w:tcW w:w="10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道路名称</w:t>
            </w: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监测点位</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桩号</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距道路中心线距离（m）</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高差（m）</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备注</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2" w:hRule="atLeast"/>
          <w:jc w:val="center"/>
        </w:trPr>
        <w:tc>
          <w:tcPr>
            <w:tcW w:w="6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w:t>
            </w:r>
          </w:p>
        </w:tc>
        <w:tc>
          <w:tcPr>
            <w:tcW w:w="1065"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苏庄路</w:t>
            </w: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下高山</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K0+070</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右侧60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-3</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原有</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3" name="图片 3" descr="IMG_20200519_18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00519_184238"/>
                          <pic:cNvPicPr>
                            <a:picLocks noChangeAspect="1"/>
                          </pic:cNvPicPr>
                        </pic:nvPicPr>
                        <pic:blipFill>
                          <a:blip r:embed="rId13"/>
                          <a:stretch>
                            <a:fillRect/>
                          </a:stretch>
                        </pic:blipFill>
                        <pic:spPr>
                          <a:xfrm>
                            <a:off x="0" y="0"/>
                            <a:ext cx="1331595" cy="998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6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2</w:t>
            </w:r>
          </w:p>
        </w:tc>
        <w:tc>
          <w:tcPr>
            <w:tcW w:w="10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下高山小寨</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K0+550</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左侧175</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+0.5</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原有</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4" name="图片 4" descr="IMG_20200519_18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00519_184549"/>
                          <pic:cNvPicPr>
                            <a:picLocks noChangeAspect="1"/>
                          </pic:cNvPicPr>
                        </pic:nvPicPr>
                        <pic:blipFill>
                          <a:blip r:embed="rId14"/>
                          <a:stretch>
                            <a:fillRect/>
                          </a:stretch>
                        </pic:blipFill>
                        <pic:spPr>
                          <a:xfrm>
                            <a:off x="0" y="0"/>
                            <a:ext cx="1331595" cy="998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6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3</w:t>
            </w:r>
          </w:p>
        </w:tc>
        <w:tc>
          <w:tcPr>
            <w:tcW w:w="10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绿地·新都会</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K1+690</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右侧</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+0.5</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原有</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5" name="图片 5" descr="IMG_20200519_18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00519_184929"/>
                          <pic:cNvPicPr>
                            <a:picLocks noChangeAspect="1"/>
                          </pic:cNvPicPr>
                        </pic:nvPicPr>
                        <pic:blipFill>
                          <a:blip r:embed="rId15"/>
                          <a:stretch>
                            <a:fillRect/>
                          </a:stretch>
                        </pic:blipFill>
                        <pic:spPr>
                          <a:xfrm>
                            <a:off x="0" y="0"/>
                            <a:ext cx="1331595" cy="998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4</w:t>
            </w:r>
          </w:p>
        </w:tc>
        <w:tc>
          <w:tcPr>
            <w:tcW w:w="10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永定河孔雀大卫城</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K2+150</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右侧</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新增</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drawing>
                <wp:inline distT="0" distB="0" distL="114300" distR="114300">
                  <wp:extent cx="1331595" cy="998220"/>
                  <wp:effectExtent l="0" t="0" r="1905" b="11430"/>
                  <wp:docPr id="7" name="图片 7" descr="IMG_20200523_15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00523_152517"/>
                          <pic:cNvPicPr>
                            <a:picLocks noChangeAspect="1"/>
                          </pic:cNvPicPr>
                        </pic:nvPicPr>
                        <pic:blipFill>
                          <a:blip r:embed="rId16"/>
                          <a:stretch>
                            <a:fillRect/>
                          </a:stretch>
                        </pic:blipFill>
                        <pic:spPr>
                          <a:xfrm>
                            <a:off x="0" y="0"/>
                            <a:ext cx="1331595" cy="998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5</w:t>
            </w:r>
          </w:p>
        </w:tc>
        <w:tc>
          <w:tcPr>
            <w:tcW w:w="10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苏庄路终点</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K3+490</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35</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6" name="图片 6" descr="IMG_20200519_18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00519_185653"/>
                          <pic:cNvPicPr>
                            <a:picLocks noChangeAspect="1"/>
                          </pic:cNvPicPr>
                        </pic:nvPicPr>
                        <pic:blipFill>
                          <a:blip r:embed="rId18"/>
                          <a:stretch>
                            <a:fillRect/>
                          </a:stretch>
                        </pic:blipFill>
                        <pic:spPr>
                          <a:xfrm>
                            <a:off x="0" y="0"/>
                            <a:ext cx="1331595" cy="998220"/>
                          </a:xfrm>
                          <a:prstGeom prst="rect">
                            <a:avLst/>
                          </a:prstGeom>
                        </pic:spPr>
                      </pic:pic>
                    </a:graphicData>
                  </a:graphic>
                </wp:inline>
              </w:drawing>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监测频率：</w:t>
      </w:r>
    </w:p>
    <w:p>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噪声：昼间2次，夜间1次，连续监测2天；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eastAsia" w:ascii="Times New Roman" w:hAnsi="Times New Roman" w:eastAsia="宋体" w:cs="Times New Roman"/>
          <w:sz w:val="24"/>
          <w:szCs w:val="24"/>
          <w:lang w:val="en-US" w:eastAsia="zh-CN"/>
        </w:rPr>
      </w:pPr>
      <w:bookmarkStart w:id="55" w:name="_Toc22326"/>
      <w:r>
        <w:rPr>
          <w:rFonts w:hint="eastAsia" w:ascii="Times New Roman" w:hAnsi="Times New Roman" w:eastAsia="宋体" w:cs="Times New Roman"/>
          <w:sz w:val="24"/>
          <w:szCs w:val="24"/>
          <w:lang w:val="en-US" w:eastAsia="zh-CN"/>
        </w:rPr>
        <w:t>6.2.3监测结果</w:t>
      </w:r>
      <w:bookmarkEnd w:id="5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sectPr>
          <w:pgSz w:w="11906" w:h="16838"/>
          <w:pgMar w:top="1440" w:right="1800" w:bottom="1440" w:left="1800" w:header="850" w:footer="992" w:gutter="0"/>
          <w:pgNumType w:fmt="decimal"/>
          <w:cols w:space="425" w:num="1"/>
          <w:docGrid w:type="lines" w:linePitch="312" w:charSpace="0"/>
        </w:sectPr>
      </w:pPr>
      <w:r>
        <w:rPr>
          <w:rFonts w:hint="eastAsia" w:ascii="Times New Roman" w:hAnsi="Times New Roman" w:eastAsia="宋体" w:cs="Times New Roman"/>
          <w:sz w:val="24"/>
          <w:szCs w:val="24"/>
          <w:lang w:val="en-US" w:eastAsia="zh-CN"/>
        </w:rPr>
        <w:t>监测结果见表6.2.3-1。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表6.2.3-1噪声监测结果</w:t>
      </w:r>
    </w:p>
    <w:tbl>
      <w:tblPr>
        <w:tblStyle w:val="10"/>
        <w:tblW w:w="14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1376"/>
        <w:gridCol w:w="660"/>
        <w:gridCol w:w="253"/>
        <w:gridCol w:w="913"/>
        <w:gridCol w:w="913"/>
        <w:gridCol w:w="913"/>
        <w:gridCol w:w="913"/>
        <w:gridCol w:w="913"/>
        <w:gridCol w:w="913"/>
        <w:gridCol w:w="920"/>
        <w:gridCol w:w="1166"/>
        <w:gridCol w:w="1117"/>
        <w:gridCol w:w="917"/>
        <w:gridCol w:w="1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blHeader/>
          <w:jc w:val="center"/>
        </w:trPr>
        <w:tc>
          <w:tcPr>
            <w:tcW w:w="1111"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监测点位</w:t>
            </w:r>
          </w:p>
        </w:tc>
        <w:tc>
          <w:tcPr>
            <w:tcW w:w="1376"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监测日期</w:t>
            </w:r>
          </w:p>
        </w:tc>
        <w:tc>
          <w:tcPr>
            <w:tcW w:w="1826" w:type="dxa"/>
            <w:gridSpan w:val="3"/>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监测时间</w:t>
            </w:r>
          </w:p>
        </w:tc>
        <w:tc>
          <w:tcPr>
            <w:tcW w:w="5485" w:type="dxa"/>
            <w:gridSpan w:val="6"/>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监测结果（dB）</w:t>
            </w:r>
          </w:p>
        </w:tc>
        <w:tc>
          <w:tcPr>
            <w:tcW w:w="1166"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达标等级</w:t>
            </w:r>
          </w:p>
        </w:tc>
        <w:tc>
          <w:tcPr>
            <w:tcW w:w="3113" w:type="dxa"/>
            <w:gridSpan w:val="3"/>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车流量统计（辆/20min）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blHeader/>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sz w:val="21"/>
                <w:szCs w:val="21"/>
              </w:rPr>
            </w:pPr>
          </w:p>
        </w:tc>
        <w:tc>
          <w:tcPr>
            <w:tcW w:w="1376"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sz w:val="21"/>
                <w:szCs w:val="21"/>
              </w:rPr>
            </w:pPr>
          </w:p>
        </w:tc>
        <w:tc>
          <w:tcPr>
            <w:tcW w:w="1826" w:type="dxa"/>
            <w:gridSpan w:val="3"/>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sz w:val="21"/>
                <w:szCs w:val="21"/>
              </w:rPr>
            </w:pP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Leq</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subscript"/>
                <w:lang w:val="en-US" w:eastAsia="zh-CN"/>
              </w:rPr>
            </w:pPr>
            <w:r>
              <w:rPr>
                <w:rFonts w:hint="default" w:ascii="Times New Roman" w:hAnsi="Times New Roman" w:cs="Times New Roman"/>
                <w:bCs/>
                <w:sz w:val="21"/>
                <w:szCs w:val="21"/>
                <w:vertAlign w:val="baseline"/>
                <w:lang w:val="en-US" w:eastAsia="zh-CN"/>
              </w:rPr>
              <w:t>L</w:t>
            </w:r>
            <w:r>
              <w:rPr>
                <w:rFonts w:hint="default" w:ascii="Times New Roman" w:hAnsi="Times New Roman" w:cs="Times New Roman"/>
                <w:bCs/>
                <w:sz w:val="21"/>
                <w:szCs w:val="21"/>
                <w:vertAlign w:val="subscript"/>
                <w:lang w:val="en-US" w:eastAsia="zh-CN"/>
              </w:rPr>
              <w:t>max</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L</w:t>
            </w:r>
            <w:r>
              <w:rPr>
                <w:rFonts w:hint="default" w:ascii="Times New Roman" w:hAnsi="Times New Roman" w:cs="Times New Roman"/>
                <w:bCs/>
                <w:sz w:val="21"/>
                <w:szCs w:val="21"/>
                <w:vertAlign w:val="subscript"/>
                <w:lang w:val="en-US" w:eastAsia="zh-CN"/>
              </w:rPr>
              <w:t>10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L</w:t>
            </w:r>
            <w:r>
              <w:rPr>
                <w:rFonts w:hint="default" w:ascii="Times New Roman" w:hAnsi="Times New Roman" w:cs="Times New Roman"/>
                <w:bCs/>
                <w:sz w:val="21"/>
                <w:szCs w:val="21"/>
                <w:vertAlign w:val="subscript"/>
                <w:lang w:val="en-US" w:eastAsia="zh-CN"/>
              </w:rPr>
              <w:t>50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L</w:t>
            </w:r>
            <w:r>
              <w:rPr>
                <w:rFonts w:hint="default" w:ascii="Times New Roman" w:hAnsi="Times New Roman" w:cs="Times New Roman"/>
                <w:bCs/>
                <w:sz w:val="21"/>
                <w:szCs w:val="21"/>
                <w:vertAlign w:val="subscript"/>
                <w:lang w:val="en-US" w:eastAsia="zh-CN"/>
              </w:rPr>
              <w:t>90</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L</w:t>
            </w:r>
            <w:r>
              <w:rPr>
                <w:rFonts w:hint="default" w:ascii="Times New Roman" w:hAnsi="Times New Roman" w:cs="Times New Roman"/>
                <w:bCs/>
                <w:sz w:val="21"/>
                <w:szCs w:val="21"/>
                <w:vertAlign w:val="subscript"/>
                <w:lang w:val="en-US" w:eastAsia="zh-CN"/>
              </w:rPr>
              <w:t>min</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大型车</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中型车</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小型车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下高山</w:t>
            </w: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2020.07.10</w:t>
            </w:r>
          </w:p>
        </w:tc>
        <w:tc>
          <w:tcPr>
            <w:tcW w:w="913" w:type="dxa"/>
            <w:gridSpan w:val="2"/>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0</w:t>
            </w:r>
            <w:r>
              <w:rPr>
                <w:rFonts w:hint="default" w:ascii="Times New Roman" w:hAnsi="Times New Roman" w:cs="Times New Roman"/>
                <w:bCs/>
                <w:sz w:val="21"/>
                <w:szCs w:val="21"/>
                <w:vertAlign w:val="baseline"/>
                <w:lang w:val="en-US" w:eastAsia="zh-CN"/>
              </w:rPr>
              <w:t>7:05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76.2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70.0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58.0</w:t>
            </w:r>
          </w:p>
        </w:tc>
        <w:tc>
          <w:tcPr>
            <w:tcW w:w="1166"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《声环境质量标准》（3096-2008）4a类</w:t>
            </w: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17</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2020.07.10</w:t>
            </w:r>
          </w:p>
        </w:tc>
        <w:tc>
          <w:tcPr>
            <w:tcW w:w="913" w:type="dxa"/>
            <w:gridSpan w:val="2"/>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14:10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81.5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69.0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52.9</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16</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2020.07.10</w:t>
            </w:r>
          </w:p>
        </w:tc>
        <w:tc>
          <w:tcPr>
            <w:tcW w:w="91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22:09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51.2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57.8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53.8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50.0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46.8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42.3</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2020.07.11</w:t>
            </w:r>
          </w:p>
        </w:tc>
        <w:tc>
          <w:tcPr>
            <w:tcW w:w="913" w:type="dxa"/>
            <w:gridSpan w:val="2"/>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0</w:t>
            </w:r>
            <w:r>
              <w:rPr>
                <w:rFonts w:hint="default" w:ascii="Times New Roman" w:hAnsi="Times New Roman" w:cs="Times New Roman"/>
                <w:bCs/>
                <w:sz w:val="21"/>
                <w:szCs w:val="21"/>
                <w:vertAlign w:val="baseline"/>
                <w:lang w:val="en-US" w:eastAsia="zh-CN"/>
              </w:rPr>
              <w:t>7:01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77.0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68.4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60.4</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59.6</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10</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2020.07.11</w:t>
            </w:r>
          </w:p>
        </w:tc>
        <w:tc>
          <w:tcPr>
            <w:tcW w:w="913" w:type="dxa"/>
            <w:gridSpan w:val="2"/>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14:13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80.9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72.2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61.8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60.2</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12</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2020.07.12</w:t>
            </w:r>
          </w:p>
        </w:tc>
        <w:tc>
          <w:tcPr>
            <w:tcW w:w="91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22:15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52.9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57.1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54.8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52.4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50.0</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47.9</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下高山小寨</w:t>
            </w: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2020.07.10</w:t>
            </w:r>
          </w:p>
        </w:tc>
        <w:tc>
          <w:tcPr>
            <w:tcW w:w="913" w:type="dxa"/>
            <w:gridSpan w:val="2"/>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0</w:t>
            </w:r>
            <w:r>
              <w:rPr>
                <w:rFonts w:hint="default" w:ascii="Times New Roman" w:hAnsi="Times New Roman" w:cs="Times New Roman"/>
                <w:bCs/>
                <w:sz w:val="21"/>
                <w:szCs w:val="21"/>
                <w:vertAlign w:val="baseline"/>
                <w:lang w:val="en-US" w:eastAsia="zh-CN"/>
              </w:rPr>
              <w:t>7:34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80.1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68.8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61.8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56.8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53.4</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2020.07.10</w:t>
            </w:r>
          </w:p>
        </w:tc>
        <w:tc>
          <w:tcPr>
            <w:tcW w:w="913" w:type="dxa"/>
            <w:gridSpan w:val="2"/>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14:41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81.9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68.8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60.4</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54.7</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11</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2020.07.10</w:t>
            </w:r>
          </w:p>
        </w:tc>
        <w:tc>
          <w:tcPr>
            <w:tcW w:w="91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22:40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52.9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57.0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54.2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52.0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50.6</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49.4</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11</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2020.07.11</w:t>
            </w:r>
          </w:p>
        </w:tc>
        <w:tc>
          <w:tcPr>
            <w:tcW w:w="913" w:type="dxa"/>
            <w:gridSpan w:val="2"/>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0</w:t>
            </w:r>
            <w:r>
              <w:rPr>
                <w:rFonts w:hint="default" w:ascii="Times New Roman" w:hAnsi="Times New Roman" w:cs="Times New Roman"/>
                <w:bCs/>
                <w:sz w:val="21"/>
                <w:szCs w:val="21"/>
                <w:vertAlign w:val="baseline"/>
                <w:lang w:val="en-US" w:eastAsia="zh-CN"/>
              </w:rPr>
              <w:t>7:34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78.58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69.4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59.0</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55.1</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14</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2020.07.11</w:t>
            </w:r>
          </w:p>
        </w:tc>
        <w:tc>
          <w:tcPr>
            <w:tcW w:w="913" w:type="dxa"/>
            <w:gridSpan w:val="2"/>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14:45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75.5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58.4</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56.6</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15</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2020.07.12</w:t>
            </w:r>
          </w:p>
        </w:tc>
        <w:tc>
          <w:tcPr>
            <w:tcW w:w="91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22:48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53.2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58.8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55.4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52.6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50.4</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48.6</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绿地·新都会</w:t>
            </w: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2020.07.10</w:t>
            </w:r>
          </w:p>
        </w:tc>
        <w:tc>
          <w:tcPr>
            <w:tcW w:w="913" w:type="dxa"/>
            <w:gridSpan w:val="2"/>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0</w:t>
            </w:r>
            <w:r>
              <w:rPr>
                <w:rFonts w:hint="default" w:ascii="Times New Roman" w:hAnsi="Times New Roman" w:cs="Times New Roman"/>
                <w:bCs/>
                <w:sz w:val="21"/>
                <w:szCs w:val="21"/>
                <w:vertAlign w:val="baseline"/>
                <w:lang w:val="en-US" w:eastAsia="zh-CN"/>
              </w:rPr>
              <w:t>8:09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81.6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61.6</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60.8</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14</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2020.07.10</w:t>
            </w:r>
          </w:p>
        </w:tc>
        <w:tc>
          <w:tcPr>
            <w:tcW w:w="913" w:type="dxa"/>
            <w:gridSpan w:val="2"/>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15:17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78.7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68.2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61.8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61.1</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10</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2020.07.10</w:t>
            </w:r>
          </w:p>
        </w:tc>
        <w:tc>
          <w:tcPr>
            <w:tcW w:w="91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23:11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58.4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52.4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48.2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45.8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42.1</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2020.07.11</w:t>
            </w:r>
          </w:p>
        </w:tc>
        <w:tc>
          <w:tcPr>
            <w:tcW w:w="913" w:type="dxa"/>
            <w:gridSpan w:val="2"/>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0</w:t>
            </w:r>
            <w:r>
              <w:rPr>
                <w:rFonts w:hint="default" w:ascii="Times New Roman" w:hAnsi="Times New Roman" w:cs="Times New Roman"/>
                <w:bCs/>
                <w:sz w:val="21"/>
                <w:szCs w:val="21"/>
                <w:vertAlign w:val="baseline"/>
                <w:lang w:val="en-US" w:eastAsia="zh-CN"/>
              </w:rPr>
              <w:t>8:04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77.5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70.0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61.0</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49.5</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17</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2020.07.11</w:t>
            </w:r>
          </w:p>
        </w:tc>
        <w:tc>
          <w:tcPr>
            <w:tcW w:w="913" w:type="dxa"/>
            <w:gridSpan w:val="2"/>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15:16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66.5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81.1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67.6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62.8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60.8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60.2</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3</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10</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2020.07.12</w:t>
            </w:r>
          </w:p>
        </w:tc>
        <w:tc>
          <w:tcPr>
            <w:tcW w:w="91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23:20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50.6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56.5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53.2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47.8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44.6</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永定河孔雀大卫城</w:t>
            </w: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2020.07.10</w:t>
            </w:r>
          </w:p>
        </w:tc>
        <w:tc>
          <w:tcPr>
            <w:tcW w:w="66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0</w:t>
            </w:r>
            <w:r>
              <w:rPr>
                <w:rFonts w:hint="default" w:ascii="Times New Roman" w:hAnsi="Times New Roman" w:cs="Times New Roman"/>
                <w:bCs/>
                <w:sz w:val="21"/>
                <w:szCs w:val="21"/>
                <w:vertAlign w:val="baseline"/>
                <w:lang w:val="en-US" w:eastAsia="zh-CN"/>
              </w:rPr>
              <w:t>8:40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77.2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69.2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60.0</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55.2</w:t>
            </w:r>
          </w:p>
        </w:tc>
        <w:tc>
          <w:tcPr>
            <w:tcW w:w="1166"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《声环境质量标准》（3096-2008）4a类</w:t>
            </w: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9</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2020.07.10</w:t>
            </w:r>
          </w:p>
        </w:tc>
        <w:tc>
          <w:tcPr>
            <w:tcW w:w="66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15:50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77.9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61.4</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60.3</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2020.07.10</w:t>
            </w:r>
          </w:p>
        </w:tc>
        <w:tc>
          <w:tcPr>
            <w:tcW w:w="66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23:41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51.0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53.6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46.2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42.3</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2020.07.11</w:t>
            </w:r>
          </w:p>
        </w:tc>
        <w:tc>
          <w:tcPr>
            <w:tcW w:w="66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0</w:t>
            </w:r>
            <w:r>
              <w:rPr>
                <w:rFonts w:hint="default" w:ascii="Times New Roman" w:hAnsi="Times New Roman" w:cs="Times New Roman"/>
                <w:bCs/>
                <w:sz w:val="21"/>
                <w:szCs w:val="21"/>
                <w:vertAlign w:val="baseline"/>
                <w:lang w:val="en-US" w:eastAsia="zh-CN"/>
              </w:rPr>
              <w:t>8:38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78.6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68.8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63.0</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62.4</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11</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2020.07.11</w:t>
            </w:r>
          </w:p>
        </w:tc>
        <w:tc>
          <w:tcPr>
            <w:tcW w:w="66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15:48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80.4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70.4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58.2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53.3</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11</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2020.07.12</w:t>
            </w:r>
          </w:p>
        </w:tc>
        <w:tc>
          <w:tcPr>
            <w:tcW w:w="66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23</w:t>
            </w:r>
            <w:r>
              <w:rPr>
                <w:rFonts w:hint="eastAsia" w:ascii="Times New Roman" w:hAnsi="Times New Roman" w:cs="Times New Roman"/>
                <w:bCs/>
                <w:sz w:val="21"/>
                <w:szCs w:val="21"/>
                <w:vertAlign w:val="baseline"/>
                <w:lang w:val="en-US" w:eastAsia="zh-CN"/>
              </w:rPr>
              <w:t>:</w:t>
            </w:r>
            <w:r>
              <w:rPr>
                <w:rFonts w:hint="default" w:ascii="Times New Roman" w:hAnsi="Times New Roman" w:cs="Times New Roman"/>
                <w:bCs/>
                <w:sz w:val="21"/>
                <w:szCs w:val="21"/>
                <w:vertAlign w:val="baseline"/>
                <w:lang w:val="en-US" w:eastAsia="zh-CN"/>
              </w:rPr>
              <w:t>55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52.4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44.2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42.7</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苏庄路终点</w:t>
            </w: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2020.07.10</w:t>
            </w:r>
          </w:p>
        </w:tc>
        <w:tc>
          <w:tcPr>
            <w:tcW w:w="66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0</w:t>
            </w:r>
            <w:r>
              <w:rPr>
                <w:rFonts w:hint="default" w:ascii="Times New Roman" w:hAnsi="Times New Roman" w:cs="Times New Roman"/>
                <w:bCs/>
                <w:sz w:val="21"/>
                <w:szCs w:val="21"/>
                <w:vertAlign w:val="baseline"/>
                <w:lang w:val="en-US" w:eastAsia="zh-CN"/>
              </w:rPr>
              <w:t>9:12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79.0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61.8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57.6</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55.3</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13</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2020.07.10</w:t>
            </w:r>
          </w:p>
        </w:tc>
        <w:tc>
          <w:tcPr>
            <w:tcW w:w="66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16:20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77.9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58.8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57.4</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10</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2020.07.10</w:t>
            </w:r>
          </w:p>
        </w:tc>
        <w:tc>
          <w:tcPr>
            <w:tcW w:w="66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00:14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50.1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53.0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44.8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39.5</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2020.07.11</w:t>
            </w:r>
          </w:p>
        </w:tc>
        <w:tc>
          <w:tcPr>
            <w:tcW w:w="66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0</w:t>
            </w:r>
            <w:r>
              <w:rPr>
                <w:rFonts w:hint="default" w:ascii="Times New Roman" w:hAnsi="Times New Roman" w:cs="Times New Roman"/>
                <w:bCs/>
                <w:sz w:val="21"/>
                <w:szCs w:val="21"/>
                <w:vertAlign w:val="baseline"/>
                <w:lang w:val="en-US" w:eastAsia="zh-CN"/>
              </w:rPr>
              <w:t>9:10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80.4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57.2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50.6</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9</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2020.07.11</w:t>
            </w:r>
          </w:p>
        </w:tc>
        <w:tc>
          <w:tcPr>
            <w:tcW w:w="66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16:22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78.4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69.4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57.9</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14</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2020.07.12</w:t>
            </w:r>
          </w:p>
        </w:tc>
        <w:tc>
          <w:tcPr>
            <w:tcW w:w="66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00:30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48.6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58.5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51.0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48.0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43.8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39.6</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31</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sz w:val="24"/>
          <w:szCs w:val="24"/>
          <w:lang w:val="en-US" w:eastAsia="zh-CN"/>
        </w:rPr>
        <w:sectPr>
          <w:pgSz w:w="16838" w:h="11906" w:orient="landscape"/>
          <w:pgMar w:top="1800" w:right="1440" w:bottom="1800" w:left="1440" w:header="850" w:footer="992" w:gutter="0"/>
          <w:pgNumType w:fmt="decimal"/>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由以上监测结果可以看出本工程道路全线噪声监测结果符合《声环境质量标准》（GB 3096-2008）的要求；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1"/>
        <w:rPr>
          <w:rFonts w:hint="eastAsia" w:ascii="Times New Roman" w:hAnsi="Times New Roman" w:eastAsia="宋体" w:cs="Times New Roman"/>
          <w:sz w:val="24"/>
          <w:szCs w:val="24"/>
          <w:lang w:val="en-US" w:eastAsia="zh-CN"/>
        </w:rPr>
      </w:pPr>
      <w:bookmarkStart w:id="56" w:name="_Toc20860"/>
      <w:r>
        <w:rPr>
          <w:rFonts w:hint="eastAsia" w:ascii="Times New Roman" w:hAnsi="Times New Roman" w:eastAsia="宋体" w:cs="Times New Roman"/>
          <w:sz w:val="24"/>
          <w:szCs w:val="24"/>
          <w:lang w:val="en-US" w:eastAsia="zh-CN"/>
        </w:rPr>
        <w:t>6.3水环境</w:t>
      </w:r>
      <w:bookmarkEnd w:id="5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eastAsia" w:ascii="Times New Roman" w:hAnsi="Times New Roman" w:eastAsia="宋体" w:cs="Times New Roman"/>
          <w:sz w:val="24"/>
          <w:szCs w:val="24"/>
          <w:lang w:val="en-US" w:eastAsia="zh-CN"/>
        </w:rPr>
      </w:pPr>
      <w:bookmarkStart w:id="57" w:name="_Toc28133"/>
      <w:r>
        <w:rPr>
          <w:rFonts w:hint="eastAsia" w:ascii="Times New Roman" w:hAnsi="Times New Roman" w:eastAsia="宋体" w:cs="Times New Roman"/>
          <w:sz w:val="24"/>
          <w:szCs w:val="24"/>
          <w:lang w:val="en-US" w:eastAsia="zh-CN"/>
        </w:rPr>
        <w:t>6.3.1水环境污染源调查</w:t>
      </w:r>
      <w:bookmarkEnd w:id="5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未设置服务区、收费站等，无生活污水排放，主要污染源为道路冲洗废水及雨水冲刷路面产生的污水，主要污染物为SS。本项目污水仅边沟收纳处理就近排入大泥窝河从而进入麦架河。本工程调查范围内麦绕水井现已掩埋，无水流出，无其他地下水出露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eastAsia" w:ascii="Times New Roman" w:hAnsi="Times New Roman" w:eastAsia="宋体" w:cs="Times New Roman"/>
          <w:sz w:val="24"/>
          <w:szCs w:val="24"/>
          <w:lang w:val="en-US" w:eastAsia="zh-CN"/>
        </w:rPr>
      </w:pPr>
      <w:bookmarkStart w:id="58" w:name="_Toc32361"/>
      <w:r>
        <w:rPr>
          <w:rFonts w:hint="eastAsia" w:ascii="Times New Roman" w:hAnsi="Times New Roman" w:eastAsia="宋体" w:cs="Times New Roman"/>
          <w:sz w:val="24"/>
          <w:szCs w:val="24"/>
          <w:lang w:val="en-US" w:eastAsia="zh-CN"/>
        </w:rPr>
        <w:t>6.3.2监测内容</w:t>
      </w:r>
      <w:bookmarkEnd w:id="5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本工程调查范围内所涉及的水体为大泥窝河，在K2+550跨大泥窝河，桥梁建设会对大泥窝河造成一定的影响，监测内容见表6.3.2-1。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表6.3.2-1</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2587"/>
        <w:gridCol w:w="2677"/>
        <w:gridCol w:w="1466"/>
        <w:gridCol w:w="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8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序号</w:t>
            </w:r>
          </w:p>
        </w:tc>
        <w:tc>
          <w:tcPr>
            <w:tcW w:w="25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监测点位</w:t>
            </w:r>
          </w:p>
        </w:tc>
        <w:tc>
          <w:tcPr>
            <w:tcW w:w="267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监测因子</w:t>
            </w:r>
          </w:p>
        </w:tc>
        <w:tc>
          <w:tcPr>
            <w:tcW w:w="146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监测频率</w:t>
            </w:r>
          </w:p>
        </w:tc>
        <w:tc>
          <w:tcPr>
            <w:tcW w:w="9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8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4"/>
                <w:szCs w:val="24"/>
                <w:vertAlign w:val="baseline"/>
                <w:lang w:val="en-US" w:eastAsia="zh-CN"/>
              </w:rPr>
              <w:t>1</w:t>
            </w:r>
          </w:p>
        </w:tc>
        <w:tc>
          <w:tcPr>
            <w:tcW w:w="25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大泥窝河汇入麦架河前150m</w:t>
            </w:r>
          </w:p>
        </w:tc>
        <w:tc>
          <w:tcPr>
            <w:tcW w:w="267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4"/>
                <w:szCs w:val="24"/>
                <w:vertAlign w:val="baseline"/>
                <w:lang w:val="en-US" w:eastAsia="zh-CN"/>
              </w:rPr>
            </w:pPr>
            <w:r>
              <w:rPr>
                <w:rFonts w:hint="eastAsia" w:cs="Times New Roman"/>
                <w:bCs/>
                <w:color w:val="000000"/>
                <w:sz w:val="21"/>
                <w:szCs w:val="21"/>
                <w:lang w:val="en-US" w:eastAsia="zh-CN"/>
              </w:rPr>
              <w:t>水温、流量、</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pH、COD、氨氮、BOD</w:t>
            </w:r>
            <w:r>
              <w:rPr>
                <w:rFonts w:hint="eastAsia" w:ascii="Times New Roman" w:hAnsi="Times New Roman" w:cs="Times New Roman"/>
                <w:b w:val="0"/>
                <w:bCs w:val="0"/>
                <w:color w:val="000000" w:themeColor="text1"/>
                <w:sz w:val="21"/>
                <w:szCs w:val="21"/>
                <w:vertAlign w:val="subscript"/>
                <w:lang w:val="en-US" w:eastAsia="zh-CN"/>
                <w14:textFill>
                  <w14:solidFill>
                    <w14:schemeClr w14:val="tx1"/>
                  </w14:solidFill>
                </w14:textFill>
              </w:rPr>
              <w:t>5</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、SS、石油类</w:t>
            </w:r>
          </w:p>
        </w:tc>
        <w:tc>
          <w:tcPr>
            <w:tcW w:w="146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4"/>
                <w:szCs w:val="24"/>
                <w:vertAlign w:val="baseline"/>
                <w:lang w:val="en-US" w:eastAsia="zh-CN"/>
              </w:rPr>
            </w:pPr>
            <w:r>
              <w:rPr>
                <w:rFonts w:hint="eastAsia" w:cs="Times New Roman"/>
                <w:bCs/>
                <w:color w:val="000000"/>
                <w:sz w:val="21"/>
                <w:szCs w:val="21"/>
                <w:lang w:val="en-US" w:eastAsia="zh-CN"/>
              </w:rPr>
              <w:t>1</w:t>
            </w:r>
            <w:r>
              <w:rPr>
                <w:rFonts w:hint="default" w:ascii="Times New Roman" w:hAnsi="Times New Roman" w:cs="Times New Roman"/>
                <w:bCs/>
                <w:color w:val="000000"/>
                <w:sz w:val="21"/>
                <w:szCs w:val="21"/>
                <w:lang w:val="en-US" w:eastAsia="zh-CN"/>
              </w:rPr>
              <w:t>次/天，连续监测</w:t>
            </w:r>
            <w:r>
              <w:rPr>
                <w:rFonts w:hint="eastAsia" w:cs="Times New Roman"/>
                <w:bCs/>
                <w:color w:val="000000"/>
                <w:sz w:val="21"/>
                <w:szCs w:val="21"/>
                <w:lang w:val="en-US" w:eastAsia="zh-CN"/>
              </w:rPr>
              <w:t>3</w:t>
            </w:r>
            <w:r>
              <w:rPr>
                <w:rFonts w:hint="default" w:ascii="Times New Roman" w:hAnsi="Times New Roman" w:cs="Times New Roman"/>
                <w:bCs/>
                <w:color w:val="000000"/>
                <w:sz w:val="21"/>
                <w:szCs w:val="21"/>
                <w:lang w:val="en-US" w:eastAsia="zh-CN"/>
              </w:rPr>
              <w:t>天</w:t>
            </w:r>
          </w:p>
        </w:tc>
        <w:tc>
          <w:tcPr>
            <w:tcW w:w="9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59" w:name="_Toc17747"/>
      <w:r>
        <w:rPr>
          <w:rFonts w:hint="eastAsia" w:ascii="Times New Roman" w:hAnsi="Times New Roman" w:eastAsia="宋体" w:cs="Times New Roman"/>
          <w:sz w:val="24"/>
          <w:szCs w:val="24"/>
          <w:lang w:val="en-US" w:eastAsia="zh-CN"/>
        </w:rPr>
        <w:t>6.3.3监测结果</w:t>
      </w:r>
      <w:bookmarkEnd w:id="5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监测结果见表6.3.3-1</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表6.3.3-1地表水监测结果</w:t>
      </w:r>
    </w:p>
    <w:tbl>
      <w:tblPr>
        <w:tblStyle w:val="10"/>
        <w:tblW w:w="98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1663"/>
        <w:gridCol w:w="1650"/>
        <w:gridCol w:w="1700"/>
        <w:gridCol w:w="1179"/>
        <w:gridCol w:w="1"/>
        <w:gridCol w:w="1182"/>
        <w:gridCol w:w="1176"/>
        <w:gridCol w:w="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28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检测项目</w:t>
            </w:r>
          </w:p>
        </w:tc>
        <w:tc>
          <w:tcPr>
            <w:tcW w:w="5013" w:type="dxa"/>
            <w:gridSpan w:val="3"/>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监测点位/采样日期/样品编号/检测结果</w:t>
            </w:r>
          </w:p>
        </w:tc>
        <w:tc>
          <w:tcPr>
            <w:tcW w:w="1180" w:type="dxa"/>
            <w:gridSpan w:val="2"/>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平均值</w:t>
            </w:r>
          </w:p>
        </w:tc>
        <w:tc>
          <w:tcPr>
            <w:tcW w:w="1182"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before="781" w:beforeLines="250" w:after="0" w:afterLines="0" w:line="240" w:lineRule="auto"/>
              <w:jc w:val="center"/>
              <w:textAlignment w:val="center"/>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标准限值</w:t>
            </w:r>
          </w:p>
        </w:tc>
        <w:tc>
          <w:tcPr>
            <w:tcW w:w="1178" w:type="dxa"/>
            <w:gridSpan w:val="2"/>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28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5013" w:type="dxa"/>
            <w:gridSpan w:val="3"/>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大泥窝河汇入麦架河前150m</w:t>
            </w:r>
          </w:p>
        </w:tc>
        <w:tc>
          <w:tcPr>
            <w:tcW w:w="1180" w:type="dxa"/>
            <w:gridSpan w:val="2"/>
            <w:vMerge w:val="continue"/>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c>
          <w:tcPr>
            <w:tcW w:w="1182" w:type="dxa"/>
            <w:vMerge w:val="continue"/>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c>
          <w:tcPr>
            <w:tcW w:w="1178" w:type="dxa"/>
            <w:gridSpan w:val="2"/>
            <w:vMerge w:val="continue"/>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28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663"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2020.07.06</w:t>
            </w:r>
          </w:p>
        </w:tc>
        <w:tc>
          <w:tcPr>
            <w:tcW w:w="1650"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2020.07.07</w:t>
            </w:r>
          </w:p>
        </w:tc>
        <w:tc>
          <w:tcPr>
            <w:tcW w:w="1700"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2020.07.08</w:t>
            </w:r>
          </w:p>
        </w:tc>
        <w:tc>
          <w:tcPr>
            <w:tcW w:w="1180" w:type="dxa"/>
            <w:gridSpan w:val="2"/>
            <w:vMerge w:val="continue"/>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p>
        </w:tc>
        <w:tc>
          <w:tcPr>
            <w:tcW w:w="1182" w:type="dxa"/>
            <w:vMerge w:val="continue"/>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p>
        </w:tc>
        <w:tc>
          <w:tcPr>
            <w:tcW w:w="1178" w:type="dxa"/>
            <w:gridSpan w:val="2"/>
            <w:vMerge w:val="continue"/>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491" w:hRule="atLeast"/>
          <w:jc w:val="center"/>
        </w:trPr>
        <w:tc>
          <w:tcPr>
            <w:tcW w:w="128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663"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MDJ20-0064W</w:t>
            </w:r>
            <w:r>
              <w:rPr>
                <w:rFonts w:hint="eastAsia" w:ascii="Times New Roman" w:hAnsi="Times New Roman" w:cs="Times New Roman"/>
                <w:bCs/>
                <w:sz w:val="21"/>
                <w:szCs w:val="21"/>
                <w:vertAlign w:val="baseline"/>
                <w:lang w:val="en-US" w:eastAsia="zh-CN"/>
              </w:rPr>
              <w:t>1</w:t>
            </w:r>
            <w:r>
              <w:rPr>
                <w:rFonts w:hint="default" w:ascii="Times New Roman" w:hAnsi="Times New Roman" w:cs="Times New Roman"/>
                <w:bCs/>
                <w:sz w:val="21"/>
                <w:szCs w:val="21"/>
                <w:vertAlign w:val="baseline"/>
                <w:lang w:val="en-US" w:eastAsia="zh-CN"/>
              </w:rPr>
              <w:t>-101</w:t>
            </w:r>
          </w:p>
        </w:tc>
        <w:tc>
          <w:tcPr>
            <w:tcW w:w="1650"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MDJ20-0064W</w:t>
            </w:r>
            <w:r>
              <w:rPr>
                <w:rFonts w:hint="eastAsia" w:ascii="Times New Roman" w:hAnsi="Times New Roman" w:cs="Times New Roman"/>
                <w:bCs/>
                <w:sz w:val="21"/>
                <w:szCs w:val="21"/>
                <w:vertAlign w:val="baseline"/>
                <w:lang w:val="en-US" w:eastAsia="zh-CN"/>
              </w:rPr>
              <w:t>1</w:t>
            </w:r>
            <w:r>
              <w:rPr>
                <w:rFonts w:hint="default" w:ascii="Times New Roman" w:hAnsi="Times New Roman" w:cs="Times New Roman"/>
                <w:bCs/>
                <w:sz w:val="21"/>
                <w:szCs w:val="21"/>
                <w:vertAlign w:val="baseline"/>
                <w:lang w:val="en-US" w:eastAsia="zh-CN"/>
              </w:rPr>
              <w:t>-201</w:t>
            </w:r>
          </w:p>
        </w:tc>
        <w:tc>
          <w:tcPr>
            <w:tcW w:w="1700"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MDJ20-0064W</w:t>
            </w:r>
            <w:r>
              <w:rPr>
                <w:rFonts w:hint="eastAsia" w:ascii="Times New Roman" w:hAnsi="Times New Roman" w:cs="Times New Roman"/>
                <w:bCs/>
                <w:sz w:val="21"/>
                <w:szCs w:val="21"/>
                <w:vertAlign w:val="baseline"/>
                <w:lang w:val="en-US" w:eastAsia="zh-CN"/>
              </w:rPr>
              <w:t>1</w:t>
            </w:r>
            <w:r>
              <w:rPr>
                <w:rFonts w:hint="default" w:ascii="Times New Roman" w:hAnsi="Times New Roman" w:cs="Times New Roman"/>
                <w:bCs/>
                <w:sz w:val="21"/>
                <w:szCs w:val="21"/>
                <w:vertAlign w:val="baseline"/>
                <w:lang w:val="en-US" w:eastAsia="zh-CN"/>
              </w:rPr>
              <w:t>-301</w:t>
            </w:r>
          </w:p>
        </w:tc>
        <w:tc>
          <w:tcPr>
            <w:tcW w:w="1179" w:type="dxa"/>
            <w:vMerge w:val="continue"/>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p>
        </w:tc>
        <w:tc>
          <w:tcPr>
            <w:tcW w:w="1183" w:type="dxa"/>
            <w:gridSpan w:val="2"/>
            <w:vMerge w:val="continue"/>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p>
        </w:tc>
        <w:tc>
          <w:tcPr>
            <w:tcW w:w="1176" w:type="dxa"/>
            <w:vMerge w:val="continue"/>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623" w:hRule="exact"/>
          <w:jc w:val="center"/>
        </w:trPr>
        <w:tc>
          <w:tcPr>
            <w:tcW w:w="128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水温</w:t>
            </w:r>
          </w:p>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w:t>
            </w:r>
          </w:p>
        </w:tc>
        <w:tc>
          <w:tcPr>
            <w:tcW w:w="166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21.8</w:t>
            </w:r>
          </w:p>
        </w:tc>
        <w:tc>
          <w:tcPr>
            <w:tcW w:w="165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22.3</w:t>
            </w:r>
          </w:p>
        </w:tc>
        <w:tc>
          <w:tcPr>
            <w:tcW w:w="170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23.4</w:t>
            </w:r>
          </w:p>
        </w:tc>
        <w:tc>
          <w:tcPr>
            <w:tcW w:w="1179" w:type="dxa"/>
            <w:vAlign w:val="center"/>
          </w:tcPr>
          <w:p>
            <w:pPr>
              <w:keepNext w:val="0"/>
              <w:keepLines w:val="0"/>
              <w:widowControl/>
              <w:suppressLineNumbers w:val="0"/>
              <w:jc w:val="center"/>
              <w:textAlignment w:val="center"/>
              <w:rPr>
                <w:rFonts w:hint="default" w:ascii="Times New Roman" w:hAnsi="Times New Roman" w:cs="Times New Roman"/>
                <w:bCs/>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22.5</w:t>
            </w:r>
          </w:p>
        </w:tc>
        <w:tc>
          <w:tcPr>
            <w:tcW w:w="1183" w:type="dxa"/>
            <w:gridSpan w:val="2"/>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bidi="ar-SA"/>
              </w:rPr>
              <w:t>—</w:t>
            </w:r>
          </w:p>
        </w:tc>
        <w:tc>
          <w:tcPr>
            <w:tcW w:w="11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623" w:hRule="exact"/>
          <w:jc w:val="center"/>
        </w:trPr>
        <w:tc>
          <w:tcPr>
            <w:tcW w:w="128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流量</w:t>
            </w:r>
          </w:p>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（m</w:t>
            </w:r>
            <w:r>
              <w:rPr>
                <w:rFonts w:hint="default" w:ascii="Times New Roman" w:hAnsi="Times New Roman" w:cs="Times New Roman"/>
                <w:bCs/>
                <w:sz w:val="21"/>
                <w:szCs w:val="21"/>
                <w:vertAlign w:val="superscript"/>
                <w:lang w:val="en-US" w:eastAsia="zh-CN"/>
              </w:rPr>
              <w:t>3</w:t>
            </w:r>
            <w:r>
              <w:rPr>
                <w:rFonts w:hint="default" w:ascii="Times New Roman" w:hAnsi="Times New Roman" w:cs="Times New Roman"/>
                <w:bCs/>
                <w:sz w:val="21"/>
                <w:szCs w:val="21"/>
                <w:vertAlign w:val="baseline"/>
                <w:lang w:val="en-US" w:eastAsia="zh-CN"/>
              </w:rPr>
              <w:t>/h）</w:t>
            </w:r>
          </w:p>
        </w:tc>
        <w:tc>
          <w:tcPr>
            <w:tcW w:w="1663"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color w:val="FF0000"/>
                <w:kern w:val="2"/>
                <w:sz w:val="21"/>
                <w:szCs w:val="21"/>
                <w:vertAlign w:val="baseline"/>
                <w:lang w:val="en-US" w:eastAsia="zh-CN" w:bidi="ar-SA"/>
              </w:rPr>
            </w:pPr>
            <w:r>
              <w:rPr>
                <w:rFonts w:hint="default" w:ascii="Times New Roman" w:hAnsi="Times New Roman" w:cs="Times New Roman"/>
                <w:bCs/>
                <w:color w:val="FF0000"/>
                <w:sz w:val="21"/>
                <w:szCs w:val="21"/>
                <w:vertAlign w:val="baseline"/>
                <w:lang w:val="en-US" w:eastAsia="zh-CN"/>
              </w:rPr>
              <w:t>3.21×10</w:t>
            </w:r>
            <w:r>
              <w:rPr>
                <w:rFonts w:hint="default" w:ascii="Times New Roman" w:hAnsi="Times New Roman" w:cs="Times New Roman"/>
                <w:bCs/>
                <w:color w:val="FF0000"/>
                <w:sz w:val="21"/>
                <w:szCs w:val="21"/>
                <w:vertAlign w:val="superscript"/>
                <w:lang w:val="en-US" w:eastAsia="zh-CN"/>
              </w:rPr>
              <w:t>3</w:t>
            </w:r>
          </w:p>
        </w:tc>
        <w:tc>
          <w:tcPr>
            <w:tcW w:w="1650"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color w:val="FF0000"/>
                <w:kern w:val="2"/>
                <w:sz w:val="21"/>
                <w:szCs w:val="21"/>
                <w:vertAlign w:val="baseline"/>
                <w:lang w:val="en-US" w:eastAsia="zh-CN" w:bidi="ar-SA"/>
              </w:rPr>
            </w:pPr>
            <w:r>
              <w:rPr>
                <w:rFonts w:hint="default" w:ascii="Times New Roman" w:hAnsi="Times New Roman" w:cs="Times New Roman"/>
                <w:bCs/>
                <w:color w:val="FF0000"/>
                <w:sz w:val="21"/>
                <w:szCs w:val="21"/>
                <w:vertAlign w:val="baseline"/>
                <w:lang w:val="en-US" w:eastAsia="zh-CN"/>
              </w:rPr>
              <w:t>3.03×10</w:t>
            </w:r>
            <w:r>
              <w:rPr>
                <w:rFonts w:hint="default" w:ascii="Times New Roman" w:hAnsi="Times New Roman" w:cs="Times New Roman"/>
                <w:bCs/>
                <w:color w:val="FF0000"/>
                <w:sz w:val="21"/>
                <w:szCs w:val="21"/>
                <w:vertAlign w:val="superscript"/>
                <w:lang w:val="en-US" w:eastAsia="zh-CN"/>
              </w:rPr>
              <w:t>3</w:t>
            </w:r>
          </w:p>
        </w:tc>
        <w:tc>
          <w:tcPr>
            <w:tcW w:w="1700"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color w:val="FF0000"/>
                <w:kern w:val="2"/>
                <w:sz w:val="21"/>
                <w:szCs w:val="21"/>
                <w:vertAlign w:val="baseline"/>
                <w:lang w:val="en-US" w:eastAsia="zh-CN" w:bidi="ar-SA"/>
              </w:rPr>
            </w:pPr>
            <w:r>
              <w:rPr>
                <w:rFonts w:hint="default" w:ascii="Times New Roman" w:hAnsi="Times New Roman" w:cs="Times New Roman"/>
                <w:bCs/>
                <w:color w:val="FF0000"/>
                <w:sz w:val="21"/>
                <w:szCs w:val="21"/>
                <w:vertAlign w:val="baseline"/>
                <w:lang w:val="en-US" w:eastAsia="zh-CN"/>
              </w:rPr>
              <w:t>3.39×10</w:t>
            </w:r>
            <w:r>
              <w:rPr>
                <w:rFonts w:hint="default" w:ascii="Times New Roman" w:hAnsi="Times New Roman" w:cs="Times New Roman"/>
                <w:bCs/>
                <w:color w:val="FF0000"/>
                <w:sz w:val="21"/>
                <w:szCs w:val="21"/>
                <w:vertAlign w:val="superscript"/>
                <w:lang w:val="en-US" w:eastAsia="zh-CN"/>
              </w:rPr>
              <w:t>3</w:t>
            </w:r>
          </w:p>
        </w:tc>
        <w:tc>
          <w:tcPr>
            <w:tcW w:w="1179" w:type="dxa"/>
            <w:vAlign w:val="center"/>
          </w:tcPr>
          <w:p>
            <w:pPr>
              <w:keepNext w:val="0"/>
              <w:keepLines w:val="0"/>
              <w:widowControl/>
              <w:suppressLineNumbers w:val="0"/>
              <w:jc w:val="center"/>
              <w:textAlignment w:val="center"/>
              <w:rPr>
                <w:rFonts w:hint="default" w:ascii="Times New Roman" w:hAnsi="Times New Roman" w:cs="Times New Roman" w:eastAsiaTheme="minorEastAsia"/>
                <w:bCs/>
                <w:color w:val="FF0000"/>
                <w:kern w:val="2"/>
                <w:sz w:val="21"/>
                <w:szCs w:val="21"/>
                <w:vertAlign w:val="baseline"/>
                <w:lang w:val="en-US" w:eastAsia="zh-CN" w:bidi="ar-SA"/>
              </w:rPr>
            </w:pPr>
            <w:r>
              <w:rPr>
                <w:rFonts w:hint="default" w:ascii="Times New Roman" w:hAnsi="Times New Roman" w:eastAsia="宋体" w:cs="Times New Roman"/>
                <w:i w:val="0"/>
                <w:color w:val="FF0000"/>
                <w:kern w:val="0"/>
                <w:sz w:val="21"/>
                <w:szCs w:val="21"/>
                <w:u w:val="none"/>
                <w:lang w:val="en-US" w:eastAsia="zh-CN" w:bidi="ar"/>
              </w:rPr>
              <w:t>3.21</w:t>
            </w:r>
            <w:r>
              <w:rPr>
                <w:rFonts w:hint="default" w:ascii="Times New Roman" w:hAnsi="Times New Roman" w:cs="Times New Roman"/>
                <w:bCs/>
                <w:color w:val="FF0000"/>
                <w:sz w:val="21"/>
                <w:szCs w:val="21"/>
                <w:vertAlign w:val="baseline"/>
                <w:lang w:val="en-US" w:eastAsia="zh-CN"/>
              </w:rPr>
              <w:t>×10</w:t>
            </w:r>
            <w:r>
              <w:rPr>
                <w:rFonts w:hint="default" w:ascii="Times New Roman" w:hAnsi="Times New Roman" w:cs="Times New Roman"/>
                <w:bCs/>
                <w:color w:val="FF0000"/>
                <w:sz w:val="21"/>
                <w:szCs w:val="21"/>
                <w:vertAlign w:val="superscript"/>
                <w:lang w:val="en-US" w:eastAsia="zh-CN"/>
              </w:rPr>
              <w:t>3</w:t>
            </w:r>
          </w:p>
        </w:tc>
        <w:tc>
          <w:tcPr>
            <w:tcW w:w="1183" w:type="dxa"/>
            <w:gridSpan w:val="2"/>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bidi="ar-SA"/>
              </w:rPr>
              <w:t>—</w:t>
            </w:r>
          </w:p>
        </w:tc>
        <w:tc>
          <w:tcPr>
            <w:tcW w:w="11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623" w:hRule="exact"/>
          <w:jc w:val="center"/>
        </w:trPr>
        <w:tc>
          <w:tcPr>
            <w:tcW w:w="128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pH</w:t>
            </w:r>
          </w:p>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（无量纲）</w:t>
            </w:r>
          </w:p>
        </w:tc>
        <w:tc>
          <w:tcPr>
            <w:tcW w:w="166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7.25</w:t>
            </w:r>
          </w:p>
        </w:tc>
        <w:tc>
          <w:tcPr>
            <w:tcW w:w="165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7.31</w:t>
            </w:r>
          </w:p>
        </w:tc>
        <w:tc>
          <w:tcPr>
            <w:tcW w:w="170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7.32</w:t>
            </w:r>
          </w:p>
        </w:tc>
        <w:tc>
          <w:tcPr>
            <w:tcW w:w="1179" w:type="dxa"/>
            <w:vAlign w:val="center"/>
          </w:tcPr>
          <w:p>
            <w:pPr>
              <w:keepNext w:val="0"/>
              <w:keepLines w:val="0"/>
              <w:widowControl/>
              <w:suppressLineNumbers w:val="0"/>
              <w:jc w:val="center"/>
              <w:textAlignment w:val="center"/>
              <w:rPr>
                <w:rFonts w:hint="default" w:ascii="Times New Roman" w:hAnsi="Times New Roman" w:cs="Times New Roman"/>
                <w:bCs/>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7.55</w:t>
            </w:r>
          </w:p>
        </w:tc>
        <w:tc>
          <w:tcPr>
            <w:tcW w:w="118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6~9</w:t>
            </w:r>
          </w:p>
        </w:tc>
        <w:tc>
          <w:tcPr>
            <w:tcW w:w="117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623" w:hRule="exact"/>
          <w:jc w:val="center"/>
        </w:trPr>
        <w:tc>
          <w:tcPr>
            <w:tcW w:w="128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eastAsiaTheme="minorEastAsia"/>
                <w:color w:val="auto"/>
                <w:sz w:val="21"/>
                <w:szCs w:val="21"/>
                <w:lang w:eastAsia="zh-CN"/>
              </w:rPr>
              <w:t>悬浮物</w:t>
            </w:r>
            <w:r>
              <w:rPr>
                <w:rFonts w:hint="default" w:ascii="Times New Roman" w:hAnsi="Times New Roman" w:cs="Times New Roman"/>
                <w:bCs/>
                <w:sz w:val="21"/>
                <w:szCs w:val="21"/>
                <w:vertAlign w:val="baseline"/>
                <w:lang w:val="en-US" w:eastAsia="zh-CN"/>
              </w:rPr>
              <w:t>（mg/L）</w:t>
            </w:r>
          </w:p>
        </w:tc>
        <w:tc>
          <w:tcPr>
            <w:tcW w:w="166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10</w:t>
            </w:r>
          </w:p>
        </w:tc>
        <w:tc>
          <w:tcPr>
            <w:tcW w:w="165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8</w:t>
            </w:r>
          </w:p>
        </w:tc>
        <w:tc>
          <w:tcPr>
            <w:tcW w:w="170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8</w:t>
            </w:r>
          </w:p>
        </w:tc>
        <w:tc>
          <w:tcPr>
            <w:tcW w:w="1179" w:type="dxa"/>
            <w:vAlign w:val="center"/>
          </w:tcPr>
          <w:p>
            <w:pPr>
              <w:keepNext w:val="0"/>
              <w:keepLines w:val="0"/>
              <w:widowControl/>
              <w:suppressLineNumbers w:val="0"/>
              <w:jc w:val="center"/>
              <w:textAlignment w:val="center"/>
              <w:rPr>
                <w:rFonts w:hint="default" w:ascii="Times New Roman" w:hAnsi="Times New Roman" w:cs="Times New Roman"/>
                <w:bCs/>
                <w:sz w:val="21"/>
                <w:szCs w:val="21"/>
                <w:vertAlign w:val="baseline"/>
                <w:lang w:val="en-US" w:eastAsia="zh-CN" w:bidi="ar-SA"/>
              </w:rPr>
            </w:pPr>
            <w:r>
              <w:rPr>
                <w:rFonts w:hint="eastAsia" w:ascii="Times New Roman" w:hAnsi="Times New Roman" w:eastAsia="宋体" w:cs="Times New Roman"/>
                <w:i w:val="0"/>
                <w:color w:val="000000"/>
                <w:kern w:val="0"/>
                <w:sz w:val="21"/>
                <w:szCs w:val="21"/>
                <w:u w:val="none"/>
                <w:lang w:val="en-US" w:eastAsia="zh-CN" w:bidi="ar"/>
              </w:rPr>
              <w:t>9</w:t>
            </w:r>
          </w:p>
        </w:tc>
        <w:tc>
          <w:tcPr>
            <w:tcW w:w="118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w:t>
            </w:r>
          </w:p>
        </w:tc>
        <w:tc>
          <w:tcPr>
            <w:tcW w:w="117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623" w:hRule="exact"/>
          <w:jc w:val="center"/>
        </w:trPr>
        <w:tc>
          <w:tcPr>
            <w:tcW w:w="128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氨氮</w:t>
            </w:r>
          </w:p>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（mg/L）</w:t>
            </w:r>
          </w:p>
        </w:tc>
        <w:tc>
          <w:tcPr>
            <w:tcW w:w="166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1.07</w:t>
            </w:r>
          </w:p>
        </w:tc>
        <w:tc>
          <w:tcPr>
            <w:tcW w:w="165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1.25</w:t>
            </w:r>
          </w:p>
        </w:tc>
        <w:tc>
          <w:tcPr>
            <w:tcW w:w="170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1.15</w:t>
            </w:r>
          </w:p>
        </w:tc>
        <w:tc>
          <w:tcPr>
            <w:tcW w:w="1179" w:type="dxa"/>
            <w:vAlign w:val="center"/>
          </w:tcPr>
          <w:p>
            <w:pPr>
              <w:keepNext w:val="0"/>
              <w:keepLines w:val="0"/>
              <w:widowControl/>
              <w:suppressLineNumbers w:val="0"/>
              <w:jc w:val="center"/>
              <w:textAlignment w:val="center"/>
              <w:rPr>
                <w:rFonts w:hint="default" w:ascii="Times New Roman" w:hAnsi="Times New Roman" w:cs="Times New Roman"/>
                <w:bCs/>
                <w:sz w:val="21"/>
                <w:szCs w:val="21"/>
                <w:vertAlign w:val="baseline"/>
                <w:lang w:val="en-US" w:eastAsia="zh-CN"/>
              </w:rPr>
            </w:pPr>
            <w:r>
              <w:rPr>
                <w:rFonts w:hint="eastAsia" w:ascii="Times New Roman" w:hAnsi="Times New Roman" w:eastAsia="宋体" w:cs="Times New Roman"/>
                <w:i w:val="0"/>
                <w:color w:val="000000"/>
                <w:kern w:val="0"/>
                <w:sz w:val="21"/>
                <w:szCs w:val="21"/>
                <w:u w:val="none"/>
                <w:lang w:val="en-US" w:eastAsia="zh-CN" w:bidi="ar"/>
              </w:rPr>
              <w:t>1.15</w:t>
            </w:r>
          </w:p>
        </w:tc>
        <w:tc>
          <w:tcPr>
            <w:tcW w:w="118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1.0</w:t>
            </w:r>
          </w:p>
        </w:tc>
        <w:tc>
          <w:tcPr>
            <w:tcW w:w="11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bidi="ar-SA"/>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623" w:hRule="exact"/>
          <w:jc w:val="center"/>
        </w:trPr>
        <w:tc>
          <w:tcPr>
            <w:tcW w:w="128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化学需氧量（mg/L）</w:t>
            </w:r>
          </w:p>
        </w:tc>
        <w:tc>
          <w:tcPr>
            <w:tcW w:w="166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26</w:t>
            </w:r>
          </w:p>
        </w:tc>
        <w:tc>
          <w:tcPr>
            <w:tcW w:w="165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25</w:t>
            </w:r>
          </w:p>
        </w:tc>
        <w:tc>
          <w:tcPr>
            <w:tcW w:w="170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23</w:t>
            </w:r>
          </w:p>
        </w:tc>
        <w:tc>
          <w:tcPr>
            <w:tcW w:w="1179" w:type="dxa"/>
            <w:vAlign w:val="center"/>
          </w:tcPr>
          <w:p>
            <w:pPr>
              <w:keepNext w:val="0"/>
              <w:keepLines w:val="0"/>
              <w:widowControl/>
              <w:suppressLineNumbers w:val="0"/>
              <w:jc w:val="center"/>
              <w:textAlignment w:val="center"/>
              <w:rPr>
                <w:rFonts w:hint="default" w:ascii="Times New Roman" w:hAnsi="Times New Roman" w:cs="Times New Roman"/>
                <w:bCs/>
                <w:sz w:val="21"/>
                <w:szCs w:val="21"/>
                <w:vertAlign w:val="baseline"/>
                <w:lang w:val="en-US" w:eastAsia="zh-CN" w:bidi="ar-SA"/>
              </w:rPr>
            </w:pPr>
            <w:r>
              <w:rPr>
                <w:rFonts w:hint="default" w:ascii="Times New Roman" w:hAnsi="Times New Roman" w:eastAsia="宋体" w:cs="Times New Roman"/>
                <w:i w:val="0"/>
                <w:color w:val="000000"/>
                <w:kern w:val="0"/>
                <w:sz w:val="21"/>
                <w:szCs w:val="21"/>
                <w:u w:val="none"/>
                <w:lang w:val="en-US" w:eastAsia="zh-CN" w:bidi="ar"/>
              </w:rPr>
              <w:t>2</w:t>
            </w:r>
            <w:r>
              <w:rPr>
                <w:rFonts w:hint="eastAsia" w:ascii="Times New Roman" w:hAnsi="Times New Roman" w:eastAsia="宋体" w:cs="Times New Roman"/>
                <w:i w:val="0"/>
                <w:color w:val="000000"/>
                <w:kern w:val="0"/>
                <w:sz w:val="21"/>
                <w:szCs w:val="21"/>
                <w:u w:val="none"/>
                <w:lang w:val="en-US" w:eastAsia="zh-CN" w:bidi="ar"/>
              </w:rPr>
              <w:t>5</w:t>
            </w:r>
          </w:p>
        </w:tc>
        <w:tc>
          <w:tcPr>
            <w:tcW w:w="118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bidi="ar-SA"/>
              </w:rPr>
            </w:pPr>
            <w:r>
              <w:rPr>
                <w:rFonts w:hint="eastAsia" w:ascii="Times New Roman" w:hAnsi="Times New Roman" w:cs="Times New Roman"/>
                <w:bCs/>
                <w:sz w:val="21"/>
                <w:szCs w:val="21"/>
                <w:vertAlign w:val="baseline"/>
                <w:lang w:val="en-US" w:eastAsia="zh-CN" w:bidi="ar-SA"/>
              </w:rPr>
              <w:t>20</w:t>
            </w:r>
          </w:p>
        </w:tc>
        <w:tc>
          <w:tcPr>
            <w:tcW w:w="11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bidi="ar-SA"/>
              </w:rPr>
            </w:pPr>
            <w:r>
              <w:rPr>
                <w:rFonts w:hint="eastAsia" w:ascii="Times New Roman" w:hAnsi="Times New Roman" w:cs="Times New Roman"/>
                <w:bCs/>
                <w:sz w:val="21"/>
                <w:szCs w:val="21"/>
                <w:vertAlign w:val="baseline"/>
                <w:lang w:val="en-US" w:eastAsia="zh-CN" w:bidi="ar-SA"/>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623" w:hRule="exact"/>
          <w:jc w:val="center"/>
        </w:trPr>
        <w:tc>
          <w:tcPr>
            <w:tcW w:w="128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eastAsiaTheme="minorEastAsia"/>
                <w:color w:val="auto"/>
                <w:sz w:val="21"/>
                <w:szCs w:val="21"/>
                <w:vertAlign w:val="subscript"/>
                <w:lang w:eastAsia="zh-CN"/>
              </w:rPr>
            </w:pPr>
            <w:r>
              <w:rPr>
                <w:rFonts w:hint="default" w:ascii="Times New Roman" w:hAnsi="Times New Roman" w:cs="Times New Roman" w:eastAsiaTheme="minorEastAsia"/>
                <w:color w:val="auto"/>
                <w:sz w:val="21"/>
                <w:szCs w:val="21"/>
                <w:lang w:eastAsia="zh-CN"/>
              </w:rPr>
              <w:t>BOD</w:t>
            </w:r>
            <w:r>
              <w:rPr>
                <w:rFonts w:hint="default" w:ascii="Times New Roman" w:hAnsi="Times New Roman" w:cs="Times New Roman" w:eastAsiaTheme="minorEastAsia"/>
                <w:color w:val="auto"/>
                <w:sz w:val="21"/>
                <w:szCs w:val="21"/>
                <w:vertAlign w:val="subscript"/>
                <w:lang w:eastAsia="zh-CN"/>
              </w:rPr>
              <w:t>5</w:t>
            </w:r>
          </w:p>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（mg/L）</w:t>
            </w:r>
          </w:p>
        </w:tc>
        <w:tc>
          <w:tcPr>
            <w:tcW w:w="1663" w:type="dxa"/>
            <w:vAlign w:val="center"/>
          </w:tcPr>
          <w:p>
            <w:pPr>
              <w:widowControl/>
              <w:jc w:val="center"/>
              <w:textAlignment w:val="center"/>
              <w:rPr>
                <w:rFonts w:hint="default" w:ascii="Times New Roman" w:hAnsi="Times New Roman" w:eastAsia="宋体" w:cs="Times New Roman"/>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7.5</w:t>
            </w:r>
          </w:p>
        </w:tc>
        <w:tc>
          <w:tcPr>
            <w:tcW w:w="1650" w:type="dxa"/>
            <w:vAlign w:val="center"/>
          </w:tcPr>
          <w:p>
            <w:pPr>
              <w:widowControl/>
              <w:jc w:val="center"/>
              <w:textAlignment w:val="center"/>
              <w:rPr>
                <w:rFonts w:hint="default" w:ascii="Times New Roman" w:hAnsi="Times New Roman" w:eastAsia="宋体" w:cs="Times New Roman"/>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6.9</w:t>
            </w:r>
          </w:p>
        </w:tc>
        <w:tc>
          <w:tcPr>
            <w:tcW w:w="1700" w:type="dxa"/>
            <w:vAlign w:val="center"/>
          </w:tcPr>
          <w:p>
            <w:pPr>
              <w:widowControl/>
              <w:jc w:val="center"/>
              <w:textAlignment w:val="center"/>
              <w:rPr>
                <w:rFonts w:hint="default" w:ascii="Times New Roman" w:hAnsi="Times New Roman" w:eastAsia="宋体" w:cs="Times New Roman"/>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7.0</w:t>
            </w:r>
          </w:p>
        </w:tc>
        <w:tc>
          <w:tcPr>
            <w:tcW w:w="1179" w:type="dxa"/>
            <w:vAlign w:val="center"/>
          </w:tcPr>
          <w:p>
            <w:pPr>
              <w:keepNext w:val="0"/>
              <w:keepLines w:val="0"/>
              <w:widowControl/>
              <w:suppressLineNumbers w:val="0"/>
              <w:jc w:val="center"/>
              <w:textAlignment w:val="cente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7</w:t>
            </w:r>
            <w:r>
              <w:rPr>
                <w:rFonts w:hint="eastAsia" w:ascii="Times New Roman" w:hAnsi="Times New Roman" w:eastAsia="宋体" w:cs="Times New Roman"/>
                <w:i w:val="0"/>
                <w:color w:val="000000"/>
                <w:kern w:val="0"/>
                <w:sz w:val="21"/>
                <w:szCs w:val="21"/>
                <w:u w:val="none"/>
                <w:lang w:val="en-US" w:eastAsia="zh-CN" w:bidi="ar"/>
              </w:rPr>
              <w:t>.1</w:t>
            </w:r>
          </w:p>
        </w:tc>
        <w:tc>
          <w:tcPr>
            <w:tcW w:w="1183" w:type="dxa"/>
            <w:gridSpan w:val="2"/>
            <w:vAlign w:val="center"/>
          </w:tcPr>
          <w:p>
            <w:pPr>
              <w:widowControl/>
              <w:jc w:val="center"/>
              <w:textAlignment w:val="cente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4</w:t>
            </w:r>
          </w:p>
        </w:tc>
        <w:tc>
          <w:tcPr>
            <w:tcW w:w="1176" w:type="dxa"/>
            <w:vAlign w:val="center"/>
          </w:tcPr>
          <w:p>
            <w:pPr>
              <w:widowControl/>
              <w:jc w:val="center"/>
              <w:textAlignment w:val="cente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sz w:val="21"/>
                <w:szCs w:val="21"/>
                <w:vertAlign w:val="baseline"/>
                <w:lang w:val="en-US" w:eastAsia="zh-CN" w:bidi="ar-SA"/>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688" w:hRule="exact"/>
          <w:jc w:val="center"/>
        </w:trPr>
        <w:tc>
          <w:tcPr>
            <w:tcW w:w="128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石油类</w:t>
            </w:r>
          </w:p>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(mg/L)</w:t>
            </w:r>
          </w:p>
        </w:tc>
        <w:tc>
          <w:tcPr>
            <w:tcW w:w="166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0.26</w:t>
            </w:r>
          </w:p>
        </w:tc>
        <w:tc>
          <w:tcPr>
            <w:tcW w:w="165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0.29</w:t>
            </w:r>
          </w:p>
        </w:tc>
        <w:tc>
          <w:tcPr>
            <w:tcW w:w="170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0.31</w:t>
            </w:r>
          </w:p>
        </w:tc>
        <w:tc>
          <w:tcPr>
            <w:tcW w:w="1179" w:type="dxa"/>
            <w:vAlign w:val="center"/>
          </w:tcPr>
          <w:p>
            <w:pPr>
              <w:keepNext w:val="0"/>
              <w:keepLines w:val="0"/>
              <w:widowControl/>
              <w:suppressLineNumbers w:val="0"/>
              <w:jc w:val="center"/>
              <w:textAlignment w:val="center"/>
              <w:rPr>
                <w:rFonts w:hint="default" w:ascii="Times New Roman" w:hAnsi="Times New Roman" w:cs="Times New Roman"/>
                <w:bCs/>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0.34</w:t>
            </w:r>
          </w:p>
        </w:tc>
        <w:tc>
          <w:tcPr>
            <w:tcW w:w="118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0.05</w:t>
            </w:r>
          </w:p>
        </w:tc>
        <w:tc>
          <w:tcPr>
            <w:tcW w:w="11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bidi="ar-SA"/>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688" w:hRule="exact"/>
          <w:jc w:val="center"/>
        </w:trPr>
        <w:tc>
          <w:tcPr>
            <w:tcW w:w="9831" w:type="dxa"/>
            <w:gridSpan w:val="8"/>
            <w:vAlign w:val="top"/>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both"/>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《地表水环境质量标准》（GB 3838-2002）</w:t>
            </w:r>
            <w:r>
              <w:rPr>
                <w:rFonts w:hint="eastAsia" w:ascii="宋体" w:hAnsi="宋体" w:eastAsia="宋体" w:cs="宋体"/>
                <w:bCs/>
                <w:sz w:val="21"/>
                <w:szCs w:val="21"/>
                <w:vertAlign w:val="baseline"/>
                <w:lang w:val="en-US" w:eastAsia="zh-CN"/>
              </w:rPr>
              <w:t>Ⅲ</w:t>
            </w:r>
            <w:r>
              <w:rPr>
                <w:rFonts w:hint="eastAsia" w:ascii="Times New Roman" w:hAnsi="Times New Roman" w:cs="Times New Roman"/>
                <w:bCs/>
                <w:sz w:val="21"/>
                <w:szCs w:val="21"/>
                <w:vertAlign w:val="baseline"/>
                <w:lang w:val="en-US" w:eastAsia="zh-CN"/>
              </w:rPr>
              <w:t>类水标准</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从监测结果可以看出：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大泥窝河的氨氮、COD、BOD</w:t>
      </w:r>
      <w:r>
        <w:rPr>
          <w:rFonts w:hint="eastAsia" w:ascii="Times New Roman" w:hAnsi="Times New Roman" w:eastAsia="宋体" w:cs="Times New Roman"/>
          <w:sz w:val="24"/>
          <w:szCs w:val="24"/>
          <w:vertAlign w:val="subscript"/>
          <w:lang w:val="en-US" w:eastAsia="zh-CN"/>
        </w:rPr>
        <w:t>5</w:t>
      </w:r>
      <w:r>
        <w:rPr>
          <w:rFonts w:hint="eastAsia" w:ascii="Times New Roman" w:hAnsi="Times New Roman" w:eastAsia="宋体" w:cs="Times New Roman"/>
          <w:sz w:val="24"/>
          <w:szCs w:val="24"/>
          <w:lang w:val="en-US" w:eastAsia="zh-CN"/>
        </w:rPr>
        <w:t>、石油类的监测结果均超标，超标指数分别为0.15、0.25、0.78、5.80；从环评报告上的数据可知环评阶段大泥窝河的氨氮、COD、BOD</w:t>
      </w:r>
      <w:r>
        <w:rPr>
          <w:rFonts w:hint="eastAsia" w:ascii="Times New Roman" w:hAnsi="Times New Roman" w:eastAsia="宋体" w:cs="Times New Roman"/>
          <w:sz w:val="24"/>
          <w:szCs w:val="24"/>
          <w:vertAlign w:val="subscript"/>
          <w:lang w:val="en-US" w:eastAsia="zh-CN"/>
        </w:rPr>
        <w:t>5</w:t>
      </w:r>
      <w:r>
        <w:rPr>
          <w:rFonts w:hint="eastAsia" w:ascii="Times New Roman" w:hAnsi="Times New Roman" w:eastAsia="宋体" w:cs="Times New Roman"/>
          <w:sz w:val="24"/>
          <w:szCs w:val="24"/>
          <w:lang w:val="en-US" w:eastAsia="zh-CN"/>
        </w:rPr>
        <w:t>、石油类也存在超标，超标指数分别为11.40、1.29、2.22、12.40。由此可以看出本次验收调查期间大泥窝河的氨氮、COD、BOD</w:t>
      </w:r>
      <w:r>
        <w:rPr>
          <w:rFonts w:hint="eastAsia" w:ascii="Times New Roman" w:hAnsi="Times New Roman" w:eastAsia="宋体" w:cs="Times New Roman"/>
          <w:sz w:val="24"/>
          <w:szCs w:val="24"/>
          <w:vertAlign w:val="subscript"/>
          <w:lang w:val="en-US" w:eastAsia="zh-CN"/>
        </w:rPr>
        <w:t>5</w:t>
      </w:r>
      <w:r>
        <w:rPr>
          <w:rFonts w:hint="eastAsia" w:ascii="Times New Roman" w:hAnsi="Times New Roman" w:eastAsia="宋体" w:cs="Times New Roman"/>
          <w:sz w:val="24"/>
          <w:szCs w:val="24"/>
          <w:lang w:val="en-US" w:eastAsia="zh-CN"/>
        </w:rPr>
        <w:t>、石油类的监测结果虽然超标，但比较环评阶段，大泥窝河的水质有所好转。</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eastAsia" w:ascii="Times New Roman" w:hAnsi="Times New Roman" w:eastAsia="宋体" w:cs="Times New Roman"/>
          <w:sz w:val="24"/>
          <w:szCs w:val="24"/>
          <w:lang w:val="en-US" w:eastAsia="zh-CN"/>
        </w:rPr>
      </w:pPr>
      <w:bookmarkStart w:id="60" w:name="_Toc18984"/>
      <w:r>
        <w:rPr>
          <w:rFonts w:hint="eastAsia" w:ascii="Times New Roman" w:hAnsi="Times New Roman" w:eastAsia="宋体" w:cs="Times New Roman"/>
          <w:sz w:val="24"/>
          <w:szCs w:val="24"/>
          <w:lang w:val="en-US" w:eastAsia="zh-CN"/>
        </w:rPr>
        <w:t>6.3固体废物</w:t>
      </w:r>
      <w:bookmarkEnd w:id="6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本工程无收费站、服务区等，主要固废为道路清扫固废及行人丢弃的垃圾。本工程沿线已设置垃圾箱或垃圾收集池，由环卫部门统一收集运走，进行处理，因此运营期固废对环境影响很小。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b/>
          <w:bCs/>
          <w:sz w:val="24"/>
          <w:szCs w:val="24"/>
          <w:lang w:val="en-US" w:eastAsia="zh-CN"/>
        </w:rPr>
      </w:pPr>
      <w:bookmarkStart w:id="61" w:name="_Toc9757"/>
      <w:r>
        <w:rPr>
          <w:rFonts w:hint="eastAsia" w:ascii="Times New Roman" w:hAnsi="Times New Roman" w:eastAsia="宋体" w:cs="Times New Roman"/>
          <w:b/>
          <w:bCs/>
          <w:sz w:val="24"/>
          <w:szCs w:val="24"/>
          <w:lang w:val="en-US" w:eastAsia="zh-CN"/>
        </w:rPr>
        <w:t>7 环境管理与监测计划的落实</w:t>
      </w:r>
      <w:bookmarkEnd w:id="6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eastAsia" w:ascii="Times New Roman" w:hAnsi="Times New Roman" w:eastAsia="宋体" w:cs="Times New Roman"/>
          <w:sz w:val="24"/>
          <w:szCs w:val="24"/>
          <w:lang w:val="en-US" w:eastAsia="zh-CN"/>
        </w:rPr>
      </w:pPr>
      <w:bookmarkStart w:id="62" w:name="_Toc11602"/>
      <w:r>
        <w:rPr>
          <w:rFonts w:hint="eastAsia" w:ascii="Times New Roman" w:hAnsi="Times New Roman" w:eastAsia="宋体" w:cs="Times New Roman"/>
          <w:sz w:val="24"/>
          <w:szCs w:val="24"/>
          <w:lang w:val="en-US" w:eastAsia="zh-CN"/>
        </w:rPr>
        <w:t>7.1环境管理情况</w:t>
      </w:r>
      <w:bookmarkEnd w:id="6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63" w:name="_Toc30501"/>
      <w:r>
        <w:rPr>
          <w:rFonts w:hint="eastAsia" w:ascii="Times New Roman" w:hAnsi="Times New Roman" w:eastAsia="宋体" w:cs="Times New Roman"/>
          <w:sz w:val="24"/>
          <w:szCs w:val="24"/>
          <w:lang w:val="en-US" w:eastAsia="zh-CN"/>
        </w:rPr>
        <w:t>7.1.1施工期环境管理</w:t>
      </w:r>
      <w:bookmarkEnd w:id="6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建设单位设置了环境管理机构；在公路建设过程中重视环境保护工作，要求承包单位、设计单位和各施工单位加强环保意识，将环保工作与工程质量挂钩，在实施中由工程监理部门不定期检查总结，</w:t>
      </w:r>
      <w:r>
        <w:rPr>
          <w:rFonts w:hint="eastAsia" w:ascii="Times New Roman" w:hAnsi="Times New Roman" w:eastAsia="宋体" w:cs="Times New Roman"/>
          <w:sz w:val="24"/>
          <w:szCs w:val="24"/>
          <w:lang w:val="en-US" w:eastAsia="zh-CN"/>
        </w:rPr>
        <w:t>严格按照环评要求的环保措施执行，</w:t>
      </w:r>
      <w:r>
        <w:rPr>
          <w:rFonts w:hint="default" w:ascii="Times New Roman" w:hAnsi="Times New Roman" w:eastAsia="宋体" w:cs="Times New Roman"/>
          <w:sz w:val="24"/>
          <w:szCs w:val="24"/>
          <w:lang w:val="en-US" w:eastAsia="zh-CN"/>
        </w:rPr>
        <w:t>确保环保工作落实到位。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64" w:name="_Toc10565"/>
      <w:r>
        <w:rPr>
          <w:rFonts w:hint="eastAsia" w:ascii="Times New Roman" w:hAnsi="Times New Roman" w:eastAsia="宋体" w:cs="Times New Roman"/>
          <w:sz w:val="24"/>
          <w:szCs w:val="24"/>
          <w:lang w:val="en-US" w:eastAsia="zh-CN"/>
        </w:rPr>
        <w:t>7.1.2运营期环境管理</w:t>
      </w:r>
      <w:bookmarkEnd w:id="6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贵阳高科控股集团有限公司设置专门的环境管理部门，对环境管理相关资料进行管理，对道路沿线的环保措施进行维护与保养，对有损坏的环保措施及时维修或更换，并与环卫部门形成合作，由环卫部门清运垃圾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65" w:name="_Toc6733"/>
      <w:r>
        <w:rPr>
          <w:rFonts w:hint="eastAsia" w:ascii="Times New Roman" w:hAnsi="Times New Roman" w:eastAsia="宋体" w:cs="Times New Roman"/>
          <w:sz w:val="24"/>
          <w:szCs w:val="24"/>
          <w:lang w:val="en-US" w:eastAsia="zh-CN"/>
        </w:rPr>
        <w:t>7.1.3建议</w:t>
      </w:r>
      <w:bookmarkEnd w:id="6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从现场调查的情况看来，项目环境保护工作取得了较好的效果，但也存在一些有必要持续改善的工作，故本次调查提出以下建议：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1、健全环境管理机构，确定专人负责环境保护工作，以保证各项环保措施长期落实。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2、完善环境管理制度，建立环保设施日常检查、维护的专项规章制度。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3、加强对上路车辆的检查和管理，严禁高噪声和未加盖篷布的散装物料运载车辆上路。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4、对全体职工进行环保工作方面的宣传教育，不断提高职工的环保意识。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66" w:name="_Toc20075"/>
      <w:r>
        <w:rPr>
          <w:rFonts w:hint="eastAsia" w:ascii="Times New Roman" w:hAnsi="Times New Roman" w:eastAsia="宋体" w:cs="Times New Roman"/>
          <w:sz w:val="24"/>
          <w:szCs w:val="24"/>
          <w:lang w:val="en-US" w:eastAsia="zh-CN"/>
        </w:rPr>
        <w:t>7.2监测计划的落实</w:t>
      </w:r>
      <w:bookmarkEnd w:id="6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sectPr>
          <w:pgSz w:w="11906" w:h="16838"/>
          <w:pgMar w:top="1440" w:right="1800" w:bottom="1440" w:left="1800" w:header="850" w:footer="992" w:gutter="0"/>
          <w:pgNumType w:fmt="decimal"/>
          <w:cols w:space="425" w:num="1"/>
          <w:docGrid w:type="lines" w:linePitch="312" w:charSpace="0"/>
        </w:sectPr>
      </w:pPr>
      <w:r>
        <w:rPr>
          <w:rFonts w:hint="eastAsia" w:ascii="Times New Roman" w:hAnsi="Times New Roman" w:eastAsia="宋体" w:cs="Times New Roman"/>
          <w:sz w:val="24"/>
          <w:szCs w:val="24"/>
          <w:lang w:val="en-US" w:eastAsia="zh-CN"/>
        </w:rPr>
        <w:t>根据贵阳高科控股集团有限公司提供的资料，结合现场调查情况，监测计划落实情况详见表7.2-1。</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表7.2-1监测计划落实情况</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9"/>
        <w:gridCol w:w="1260"/>
        <w:gridCol w:w="2324"/>
        <w:gridCol w:w="2026"/>
        <w:gridCol w:w="1743"/>
        <w:gridCol w:w="2042"/>
        <w:gridCol w:w="3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12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阶段</w:t>
            </w:r>
          </w:p>
        </w:tc>
        <w:tc>
          <w:tcPr>
            <w:tcW w:w="12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类别</w:t>
            </w:r>
          </w:p>
        </w:tc>
        <w:tc>
          <w:tcPr>
            <w:tcW w:w="23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监测地点</w:t>
            </w:r>
          </w:p>
        </w:tc>
        <w:tc>
          <w:tcPr>
            <w:tcW w:w="20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监测项目</w:t>
            </w:r>
          </w:p>
        </w:tc>
        <w:tc>
          <w:tcPr>
            <w:tcW w:w="17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监测频次</w:t>
            </w:r>
          </w:p>
        </w:tc>
        <w:tc>
          <w:tcPr>
            <w:tcW w:w="20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监测时间</w:t>
            </w:r>
          </w:p>
        </w:tc>
        <w:tc>
          <w:tcPr>
            <w:tcW w:w="346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125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施工期</w:t>
            </w:r>
          </w:p>
        </w:tc>
        <w:tc>
          <w:tcPr>
            <w:tcW w:w="12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环境空气</w:t>
            </w:r>
          </w:p>
        </w:tc>
        <w:tc>
          <w:tcPr>
            <w:tcW w:w="23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下高山、海马洞</w:t>
            </w:r>
          </w:p>
        </w:tc>
        <w:tc>
          <w:tcPr>
            <w:tcW w:w="20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TSP、NO</w:t>
            </w:r>
            <w:r>
              <w:rPr>
                <w:rFonts w:hint="eastAsia" w:ascii="Times New Roman" w:hAnsi="Times New Roman" w:eastAsia="宋体" w:cs="Times New Roman"/>
                <w:sz w:val="24"/>
                <w:szCs w:val="24"/>
                <w:vertAlign w:val="subscript"/>
                <w:lang w:val="en-US" w:eastAsia="zh-CN"/>
              </w:rPr>
              <w:t>2</w:t>
            </w:r>
          </w:p>
        </w:tc>
        <w:tc>
          <w:tcPr>
            <w:tcW w:w="17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1次/月</w:t>
            </w:r>
          </w:p>
        </w:tc>
        <w:tc>
          <w:tcPr>
            <w:tcW w:w="20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2天/次</w:t>
            </w:r>
          </w:p>
        </w:tc>
        <w:tc>
          <w:tcPr>
            <w:tcW w:w="346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未监测（已完成搬迁）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125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p>
        </w:tc>
        <w:tc>
          <w:tcPr>
            <w:tcW w:w="12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声环境</w:t>
            </w:r>
          </w:p>
        </w:tc>
        <w:tc>
          <w:tcPr>
            <w:tcW w:w="23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南六、海马洞</w:t>
            </w:r>
          </w:p>
        </w:tc>
        <w:tc>
          <w:tcPr>
            <w:tcW w:w="20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等效连续A声级</w:t>
            </w:r>
          </w:p>
        </w:tc>
        <w:tc>
          <w:tcPr>
            <w:tcW w:w="17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1次/月</w:t>
            </w:r>
          </w:p>
        </w:tc>
        <w:tc>
          <w:tcPr>
            <w:tcW w:w="20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4"/>
                <w:szCs w:val="24"/>
                <w:vertAlign w:val="baseline"/>
                <w:lang w:val="en-US" w:eastAsia="zh-CN" w:bidi="ar-SA"/>
              </w:rPr>
            </w:pPr>
            <w:r>
              <w:rPr>
                <w:rFonts w:hint="eastAsia" w:ascii="Times New Roman" w:hAnsi="Times New Roman" w:eastAsia="宋体" w:cs="Times New Roman"/>
                <w:sz w:val="24"/>
                <w:szCs w:val="24"/>
                <w:vertAlign w:val="baseline"/>
                <w:lang w:val="en-US" w:eastAsia="zh-CN"/>
              </w:rPr>
              <w:t>2天，昼夜各一次</w:t>
            </w:r>
          </w:p>
        </w:tc>
        <w:tc>
          <w:tcPr>
            <w:tcW w:w="346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4"/>
                <w:szCs w:val="24"/>
                <w:vertAlign w:val="baseline"/>
                <w:lang w:val="en-US" w:eastAsia="zh-CN" w:bidi="ar-SA"/>
              </w:rPr>
            </w:pPr>
            <w:r>
              <w:rPr>
                <w:rFonts w:hint="eastAsia" w:ascii="Times New Roman" w:hAnsi="Times New Roman" w:eastAsia="宋体" w:cs="Times New Roman"/>
                <w:sz w:val="24"/>
                <w:szCs w:val="24"/>
                <w:vertAlign w:val="baseline"/>
                <w:lang w:val="en-US" w:eastAsia="zh-CN"/>
              </w:rPr>
              <w:t>未监测（南六、海马洞）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125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p>
        </w:tc>
        <w:tc>
          <w:tcPr>
            <w:tcW w:w="12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水环境</w:t>
            </w:r>
          </w:p>
        </w:tc>
        <w:tc>
          <w:tcPr>
            <w:tcW w:w="23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大泥窝河</w:t>
            </w:r>
          </w:p>
        </w:tc>
        <w:tc>
          <w:tcPr>
            <w:tcW w:w="20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SS、COD</w:t>
            </w:r>
          </w:p>
        </w:tc>
        <w:tc>
          <w:tcPr>
            <w:tcW w:w="17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桥梁施工期间，1次/月</w:t>
            </w:r>
          </w:p>
        </w:tc>
        <w:tc>
          <w:tcPr>
            <w:tcW w:w="20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采样1次，2天</w:t>
            </w:r>
          </w:p>
        </w:tc>
        <w:tc>
          <w:tcPr>
            <w:tcW w:w="346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trPr>
        <w:tc>
          <w:tcPr>
            <w:tcW w:w="125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运营期</w:t>
            </w:r>
          </w:p>
        </w:tc>
        <w:tc>
          <w:tcPr>
            <w:tcW w:w="12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4"/>
                <w:szCs w:val="24"/>
                <w:vertAlign w:val="baseline"/>
                <w:lang w:val="en-US" w:eastAsia="zh-CN" w:bidi="ar-SA"/>
              </w:rPr>
            </w:pPr>
            <w:r>
              <w:rPr>
                <w:rFonts w:hint="eastAsia" w:ascii="Times New Roman" w:hAnsi="Times New Roman" w:eastAsia="宋体" w:cs="Times New Roman"/>
                <w:sz w:val="24"/>
                <w:szCs w:val="24"/>
                <w:vertAlign w:val="baseline"/>
                <w:lang w:val="en-US" w:eastAsia="zh-CN"/>
              </w:rPr>
              <w:t>声环境</w:t>
            </w:r>
          </w:p>
        </w:tc>
        <w:tc>
          <w:tcPr>
            <w:tcW w:w="23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4"/>
                <w:szCs w:val="24"/>
                <w:vertAlign w:val="baseline"/>
                <w:lang w:val="en-US" w:eastAsia="zh-CN" w:bidi="ar-SA"/>
              </w:rPr>
            </w:pPr>
            <w:r>
              <w:rPr>
                <w:rFonts w:hint="eastAsia" w:ascii="Times New Roman" w:hAnsi="Times New Roman" w:eastAsia="宋体" w:cs="Times New Roman"/>
                <w:sz w:val="24"/>
                <w:szCs w:val="24"/>
                <w:vertAlign w:val="baseline"/>
                <w:lang w:val="en-US" w:eastAsia="zh-CN"/>
              </w:rPr>
              <w:t>下高山、下高山小寨、南六、海马洞</w:t>
            </w:r>
          </w:p>
        </w:tc>
        <w:tc>
          <w:tcPr>
            <w:tcW w:w="20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4"/>
                <w:szCs w:val="24"/>
                <w:vertAlign w:val="baseline"/>
                <w:lang w:val="en-US" w:eastAsia="zh-CN" w:bidi="ar-SA"/>
              </w:rPr>
            </w:pPr>
            <w:r>
              <w:rPr>
                <w:rFonts w:hint="eastAsia" w:ascii="Times New Roman" w:hAnsi="Times New Roman" w:eastAsia="宋体" w:cs="Times New Roman"/>
                <w:sz w:val="24"/>
                <w:szCs w:val="24"/>
                <w:vertAlign w:val="baseline"/>
                <w:lang w:val="en-US" w:eastAsia="zh-CN"/>
              </w:rPr>
              <w:t>等效连续A声级</w:t>
            </w:r>
          </w:p>
        </w:tc>
        <w:tc>
          <w:tcPr>
            <w:tcW w:w="17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4"/>
                <w:szCs w:val="24"/>
                <w:vertAlign w:val="baseline"/>
                <w:lang w:val="en-US" w:eastAsia="zh-CN" w:bidi="ar-SA"/>
              </w:rPr>
            </w:pPr>
            <w:r>
              <w:rPr>
                <w:rFonts w:hint="eastAsia" w:ascii="Times New Roman" w:hAnsi="Times New Roman" w:eastAsia="宋体" w:cs="Times New Roman"/>
                <w:sz w:val="24"/>
                <w:szCs w:val="24"/>
                <w:vertAlign w:val="baseline"/>
                <w:lang w:val="en-US" w:eastAsia="zh-CN"/>
              </w:rPr>
              <w:t>1次/月</w:t>
            </w:r>
          </w:p>
        </w:tc>
        <w:tc>
          <w:tcPr>
            <w:tcW w:w="20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4"/>
                <w:szCs w:val="24"/>
                <w:vertAlign w:val="baseline"/>
                <w:lang w:val="en-US" w:eastAsia="zh-CN" w:bidi="ar-SA"/>
              </w:rPr>
            </w:pPr>
            <w:r>
              <w:rPr>
                <w:rFonts w:hint="eastAsia" w:ascii="Times New Roman" w:hAnsi="Times New Roman" w:eastAsia="宋体" w:cs="Times New Roman"/>
                <w:sz w:val="24"/>
                <w:szCs w:val="24"/>
                <w:vertAlign w:val="baseline"/>
                <w:lang w:val="en-US" w:eastAsia="zh-CN"/>
              </w:rPr>
              <w:t>2天，昼夜各一次</w:t>
            </w:r>
          </w:p>
        </w:tc>
        <w:tc>
          <w:tcPr>
            <w:tcW w:w="346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4"/>
                <w:szCs w:val="24"/>
                <w:vertAlign w:val="baseline"/>
                <w:lang w:val="en-US" w:eastAsia="zh-CN" w:bidi="ar-SA"/>
              </w:rPr>
            </w:pPr>
            <w:r>
              <w:rPr>
                <w:rFonts w:hint="eastAsia" w:ascii="Times New Roman" w:hAnsi="Times New Roman" w:eastAsia="宋体" w:cs="Times New Roman"/>
                <w:sz w:val="24"/>
                <w:szCs w:val="24"/>
                <w:vertAlign w:val="baseline"/>
                <w:lang w:val="en-US" w:eastAsia="zh-CN"/>
              </w:rPr>
              <w:t>未监测（南六、海马洞）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trPr>
        <w:tc>
          <w:tcPr>
            <w:tcW w:w="125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p>
        </w:tc>
        <w:tc>
          <w:tcPr>
            <w:tcW w:w="12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水环境</w:t>
            </w:r>
          </w:p>
        </w:tc>
        <w:tc>
          <w:tcPr>
            <w:tcW w:w="23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大泥窝河</w:t>
            </w:r>
          </w:p>
        </w:tc>
        <w:tc>
          <w:tcPr>
            <w:tcW w:w="20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COD、氨氮</w:t>
            </w:r>
          </w:p>
        </w:tc>
        <w:tc>
          <w:tcPr>
            <w:tcW w:w="17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每年随机抽查2次</w:t>
            </w:r>
          </w:p>
        </w:tc>
        <w:tc>
          <w:tcPr>
            <w:tcW w:w="20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采样1次，2天</w:t>
            </w:r>
          </w:p>
        </w:tc>
        <w:tc>
          <w:tcPr>
            <w:tcW w:w="346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未监测</w:t>
            </w: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rPr>
        <w:sectPr>
          <w:pgSz w:w="16838" w:h="11906" w:orient="landscape"/>
          <w:pgMar w:top="1800" w:right="1440" w:bottom="1800" w:left="1440" w:header="850"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经过走访，本工程环评所列环境监测计划虽未得到完全实施，但由于施工期和运营期建设单位均严格按照环境管理程序执行，完善相关环保措施，均未有扰民、投诉等现象发生。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为了解本工程项目运营期道路沿线噪声、环境空气、地表水等现状情况，贵州明德工程咨询有限公司于2020年07月6日~2020年07月12日对本工程项目进行现场监测，监测报告详见附件三。</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b/>
          <w:bCs/>
          <w:sz w:val="24"/>
          <w:szCs w:val="24"/>
          <w:lang w:val="en-US" w:eastAsia="zh-CN"/>
        </w:rPr>
      </w:pPr>
      <w:bookmarkStart w:id="67" w:name="_Toc1055"/>
      <w:r>
        <w:rPr>
          <w:rFonts w:hint="eastAsia" w:ascii="Times New Roman" w:hAnsi="Times New Roman" w:eastAsia="宋体" w:cs="Times New Roman"/>
          <w:b/>
          <w:bCs/>
          <w:sz w:val="24"/>
          <w:szCs w:val="24"/>
          <w:lang w:val="en-US" w:eastAsia="zh-CN"/>
        </w:rPr>
        <w:t>8 公众意见调查</w:t>
      </w:r>
      <w:bookmarkEnd w:id="67"/>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eastAsia" w:ascii="Times New Roman" w:hAnsi="Times New Roman" w:eastAsia="宋体" w:cs="Times New Roman"/>
          <w:sz w:val="24"/>
          <w:szCs w:val="24"/>
          <w:lang w:val="en-US" w:eastAsia="zh-CN"/>
        </w:rPr>
      </w:pPr>
      <w:bookmarkStart w:id="68" w:name="_Toc30154"/>
      <w:r>
        <w:rPr>
          <w:rFonts w:hint="eastAsia" w:ascii="Times New Roman" w:hAnsi="Times New Roman" w:eastAsia="宋体" w:cs="Times New Roman"/>
          <w:sz w:val="24"/>
          <w:szCs w:val="24"/>
          <w:lang w:val="en-US" w:eastAsia="zh-CN"/>
        </w:rPr>
        <w:t>8.1调查的目的、对象、方法</w:t>
      </w:r>
      <w:bookmarkEnd w:id="6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69" w:name="_Toc3490"/>
      <w:r>
        <w:rPr>
          <w:rFonts w:hint="eastAsia" w:ascii="Times New Roman" w:hAnsi="Times New Roman" w:eastAsia="宋体" w:cs="Times New Roman"/>
          <w:sz w:val="24"/>
          <w:szCs w:val="24"/>
          <w:lang w:val="en-US" w:eastAsia="zh-CN"/>
        </w:rPr>
        <w:t>8.1.1调查的目的</w:t>
      </w:r>
      <w:bookmarkEnd w:id="6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通过对公众意见调查，了解本工程影响区域公众、途经人员和沿线有关行政管理部门的意见和要求，以核查设计、环评及批复中提出的环保措施落实情况，必要时为改进已有环保措施和提出补救措施提供有效途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Times New Roman" w:hAnsi="Times New Roman" w:eastAsia="宋体" w:cs="Times New Roman"/>
          <w:sz w:val="24"/>
          <w:szCs w:val="24"/>
          <w:lang w:val="en-US" w:eastAsia="zh-CN"/>
        </w:rPr>
      </w:pPr>
      <w:bookmarkStart w:id="70" w:name="_Toc20479"/>
      <w:r>
        <w:rPr>
          <w:rFonts w:hint="eastAsia" w:ascii="Times New Roman" w:hAnsi="Times New Roman" w:eastAsia="宋体" w:cs="Times New Roman"/>
          <w:sz w:val="24"/>
          <w:szCs w:val="24"/>
          <w:lang w:val="en-US" w:eastAsia="zh-CN"/>
        </w:rPr>
        <w:t>8.1.2调查的对象</w:t>
      </w:r>
      <w:bookmarkEnd w:id="7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本次公众意见调查主要在公路沿线的影响区域内进行，调查对象为直接受影响的公众个人、公路上来往的司乘人员。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Times New Roman" w:hAnsi="Times New Roman" w:eastAsia="宋体" w:cs="Times New Roman"/>
          <w:sz w:val="24"/>
          <w:szCs w:val="24"/>
          <w:lang w:val="en-US" w:eastAsia="zh-CN"/>
        </w:rPr>
      </w:pPr>
      <w:bookmarkStart w:id="71" w:name="_Toc14827"/>
      <w:r>
        <w:rPr>
          <w:rFonts w:hint="eastAsia" w:ascii="Times New Roman" w:hAnsi="Times New Roman" w:eastAsia="宋体" w:cs="Times New Roman"/>
          <w:sz w:val="24"/>
          <w:szCs w:val="24"/>
          <w:lang w:val="en-US" w:eastAsia="zh-CN"/>
        </w:rPr>
        <w:t>8.1.3调查的方式</w:t>
      </w:r>
      <w:bookmarkEnd w:id="7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本次</w:t>
      </w:r>
      <w:r>
        <w:rPr>
          <w:rFonts w:hint="default" w:ascii="Times New Roman" w:hAnsi="Times New Roman" w:eastAsia="宋体" w:cs="Times New Roman"/>
          <w:sz w:val="24"/>
          <w:szCs w:val="24"/>
          <w:lang w:val="en-US" w:eastAsia="zh-CN"/>
        </w:rPr>
        <w:t>公众意见调查采取</w:t>
      </w:r>
      <w:r>
        <w:rPr>
          <w:rFonts w:hint="eastAsia" w:ascii="Times New Roman" w:hAnsi="Times New Roman" w:eastAsia="宋体" w:cs="Times New Roman"/>
          <w:sz w:val="24"/>
          <w:szCs w:val="24"/>
          <w:lang w:val="en-US" w:eastAsia="zh-CN"/>
        </w:rPr>
        <w:t>以下两种</w:t>
      </w:r>
      <w:r>
        <w:rPr>
          <w:rFonts w:hint="default" w:ascii="Times New Roman" w:hAnsi="Times New Roman" w:eastAsia="宋体" w:cs="Times New Roman"/>
          <w:sz w:val="24"/>
          <w:szCs w:val="24"/>
          <w:lang w:val="en-US" w:eastAsia="zh-CN"/>
        </w:rPr>
        <w:t>方法：</w:t>
      </w:r>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咨询询问调查方式，重点对公路沿线直接受影响的居民</w:t>
      </w:r>
      <w:r>
        <w:rPr>
          <w:rFonts w:hint="eastAsia" w:ascii="Times New Roman" w:hAnsi="Times New Roman" w:eastAsia="宋体" w:cs="Times New Roman"/>
          <w:sz w:val="24"/>
          <w:szCs w:val="24"/>
          <w:lang w:val="en-US" w:eastAsia="zh-CN"/>
        </w:rPr>
        <w:t>及司乘人员</w:t>
      </w:r>
      <w:r>
        <w:rPr>
          <w:rFonts w:hint="default" w:ascii="Times New Roman" w:hAnsi="Times New Roman" w:eastAsia="宋体" w:cs="Times New Roman"/>
          <w:sz w:val="24"/>
          <w:szCs w:val="24"/>
          <w:lang w:val="en-US" w:eastAsia="zh-CN"/>
        </w:rPr>
        <w:t>以访问的形式进行调查；</w:t>
      </w:r>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咨询当地有关行政主管部门，了解工程施工期和试运营期对敏感目标的影响程度及有无环保投诉情况。</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eastAsia="宋体" w:cs="Times New Roman"/>
          <w:sz w:val="24"/>
          <w:szCs w:val="24"/>
          <w:lang w:val="en-US" w:eastAsia="zh-CN"/>
        </w:rPr>
      </w:pPr>
      <w:bookmarkStart w:id="72" w:name="_Toc15628"/>
      <w:r>
        <w:rPr>
          <w:rFonts w:hint="eastAsia" w:ascii="Times New Roman" w:hAnsi="Times New Roman" w:eastAsia="宋体" w:cs="Times New Roman"/>
          <w:sz w:val="24"/>
          <w:szCs w:val="24"/>
          <w:lang w:val="en-US" w:eastAsia="zh-CN"/>
        </w:rPr>
        <w:t>8.2调查结果</w:t>
      </w:r>
      <w:bookmarkEnd w:id="7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本项目调查期间道路通行车辆较少，致使驾驶人员的公众调查未能有代表性调查。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调查期间道路沿线原有居民已大部分完成搬迁，不再受本项目直接影响，而新增的居民点处于在建当中；下高山、下高山小寨居民点现有极少部分居民（约15人）因赔偿等问题未能达成搬迁协议，相关部门亦在进行努力调节。因此此处居民点公众意见调查不具代表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因此本项目在调查期间未进行公众意见调查。</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default" w:ascii="Times New Roman" w:hAnsi="Times New Roman" w:eastAsia="宋体" w:cs="Times New Roman"/>
          <w:b/>
          <w:bCs/>
          <w:sz w:val="24"/>
          <w:szCs w:val="24"/>
          <w:lang w:val="en-US" w:eastAsia="zh-CN"/>
        </w:rPr>
      </w:pPr>
      <w:bookmarkStart w:id="73" w:name="_Toc13615"/>
      <w:r>
        <w:rPr>
          <w:rFonts w:hint="eastAsia" w:ascii="Times New Roman" w:hAnsi="Times New Roman" w:eastAsia="宋体" w:cs="Times New Roman"/>
          <w:b/>
          <w:bCs/>
          <w:sz w:val="24"/>
          <w:szCs w:val="24"/>
          <w:lang w:val="en-US" w:eastAsia="zh-CN"/>
        </w:rPr>
        <w:t>9 风险事故防范与应急措施调查</w:t>
      </w:r>
      <w:bookmarkEnd w:id="73"/>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74" w:name="_Toc15268"/>
      <w:r>
        <w:rPr>
          <w:rFonts w:hint="eastAsia" w:ascii="Times New Roman" w:hAnsi="Times New Roman" w:eastAsia="宋体" w:cs="Times New Roman"/>
          <w:sz w:val="24"/>
          <w:szCs w:val="24"/>
          <w:lang w:val="en-US" w:eastAsia="zh-CN"/>
        </w:rPr>
        <w:t>9.1风险因素调查</w:t>
      </w:r>
      <w:bookmarkEnd w:id="7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在危险品运输过程中，如发生危险品燃烧、爆炸、溢漏、逸散，会给事故发生地甚至更广大地区的人民群众生命财产造成直接危害，对周围的水域、大气、生态环境也会造成严重的污染和破坏。</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1"/>
        <w:rPr>
          <w:rFonts w:hint="default" w:ascii="Times New Roman" w:hAnsi="Times New Roman" w:eastAsia="宋体" w:cs="Times New Roman"/>
          <w:sz w:val="24"/>
          <w:szCs w:val="24"/>
          <w:lang w:val="en-US" w:eastAsia="zh-CN"/>
        </w:rPr>
      </w:pPr>
      <w:bookmarkStart w:id="75" w:name="_Toc16732"/>
      <w:r>
        <w:rPr>
          <w:rFonts w:hint="eastAsia" w:ascii="Times New Roman" w:hAnsi="Times New Roman" w:eastAsia="宋体" w:cs="Times New Roman"/>
          <w:sz w:val="24"/>
          <w:szCs w:val="24"/>
          <w:lang w:val="en-US" w:eastAsia="zh-CN"/>
        </w:rPr>
        <w:t>9.2风险防范与预防措施</w:t>
      </w:r>
      <w:bookmarkEnd w:id="7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本工程自竣工试运营以来，未发生过环境风险事故。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76" w:name="_Toc29663"/>
      <w:r>
        <w:rPr>
          <w:rFonts w:hint="eastAsia" w:ascii="Times New Roman" w:hAnsi="Times New Roman" w:eastAsia="宋体" w:cs="Times New Roman"/>
          <w:sz w:val="24"/>
          <w:szCs w:val="24"/>
          <w:lang w:val="en-US" w:eastAsia="zh-CN"/>
        </w:rPr>
        <w:t>9.2.1主要预防措施</w:t>
      </w:r>
      <w:bookmarkEnd w:id="7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防范危险品运输风险事故的最主要措施是要严格执行国家和行业部门颁布的危险货物运输相关法规。相关法规有</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《危险化学品安全管理条例》、《道路危险货物运输管理规定》、《中华人民共和国民用爆炸物品管理条例》、《中华人民共和国放射性同位素与射线装置放射保护条例》等。结合道路运输实际，具体的措施如下</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加强对从事危险货物运输业主、驾驶员及押运员的安全教育和运输车辆的安全检查，使从业人员具有高度责任感，使车辆处于完好的技术状态。</w:t>
      </w:r>
    </w:p>
    <w:p>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危险品运输车辆在进入道路前，应向当地道路运输管理部门领取申书表，并在入口处接受公安或交通管理部门的抽查，并提交申报表。申报表主要报告项目有危险货物运输执照号码、货物品种、等级和编号、收发货人姓名、装细地点、货物特性等。危险品运输车辆一般应安排在交通量较少时段（如夜间）通行，在气候不好的条件下应禁止其上路，从而加强对运输危险品的车辆进行有效管理</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实行危险品运输车辆的检查制度，在入口处的车道（一般为最外侧车重）设置危险品运输申报点。对申报运输危险品的车辆进行</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准运证</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驾驶员证</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押运员证</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和危险品运输行车路单（以下简称</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三证一单</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）检查，</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三证一单</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不全的车辆将不允许驶上道路。除证件检查外，必要时应对运输危险品的车辆进行安全检查。如《压力容器使用证》的有效性及检验合格证等，对有安全隐患的车辆进行安全检查，在未排除隐患前不允许进入道路。</w:t>
      </w:r>
    </w:p>
    <w:p>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制作道路危险货物运输事故汇报联系卡，公布各有关部门联系电话，通过入口处发放给过往车辆。如运输有毒、有害物质的危险品运输车辆在拟建道路，尤其是在跨河桥上发生事故导致水体或气体污染时，应及时利用道路上完善的紧急电话向当地公安交通管理部门或相关路段监控通信所（中心）汇报，并及时与所在市、区（镇）公安、消防和环保部门取得联系，以便采取紧急应救措施。</w:t>
      </w:r>
    </w:p>
    <w:p>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交通、公安、环保部门要相互配合，提高快速反应、处置能力，要改善和提高相应的装备水平。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77" w:name="_Toc9348"/>
      <w:r>
        <w:rPr>
          <w:rFonts w:hint="eastAsia" w:ascii="Times New Roman" w:hAnsi="Times New Roman" w:eastAsia="宋体" w:cs="Times New Roman"/>
          <w:sz w:val="24"/>
          <w:szCs w:val="24"/>
          <w:lang w:val="en-US" w:eastAsia="zh-CN"/>
        </w:rPr>
        <w:t>9.2.2</w:t>
      </w:r>
      <w:r>
        <w:rPr>
          <w:rFonts w:hint="default" w:ascii="Times New Roman" w:hAnsi="Times New Roman" w:eastAsia="宋体" w:cs="Times New Roman"/>
          <w:sz w:val="24"/>
          <w:szCs w:val="24"/>
          <w:lang w:val="en-US" w:eastAsia="zh-CN"/>
        </w:rPr>
        <w:t>主要应急措施</w:t>
      </w:r>
      <w:bookmarkEnd w:id="7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鉴于本工程跨越高山河、麦架河，为保护水质，应对拟建道路高山河、麦架河河段的危险货物运输风险问题予以足够重视。为此，道路沿线各级地方政府将本道路跨河段运输风险的应急救援问题纳入到道路化学危险货物运输事故应急预案。该应急预案包括组织机构、工作职责和制度、应急工作规程和处置原则等。组织机构由该市（或区）交通局和公安局分管领导联合成立道路化学危险品运输事故协调小组，负责组织协调道路危险品运输事故的抢救和处理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工作职责主要有研究制订本市道路化学危险品运输安全措施和政策，建立辖区内化学危险品运输业户和车辆、人员档案，定期开展对道路化学危险品运输业户的安全检查，并定期召开协调领导小组成员会议，通报道路化学品运输事故情况，定期组织道路化学品运输业户负责人、驾驶员、押运员、装卸人员进行业务培训和开展应急预案的演练，积极开展各种形式的宣传活动，提高市民和从业人员的安全生产意识，做好道路化学危险品运输事故的统计与上报工作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应急工作规程及处置原则有以下几点</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①事故发生后，发现人员应及时通过路侧紧急电话或其它通讯方式向管理中心或沿线各区道路化学危险品运输事故协调小组报告。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②通信中心或协调小组接到事故报告后，应立即通知就近的公路巡警前往事故地点控制现场。同时，通知就近的地方消防部门派消防车辆和人员前往救援。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③如果危险品为固态，可清扫处置，并对事故记录备案</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④如果危险品为气态且有剧毒，消防人员应戴防毒面具进行处理</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在危险品逸漏无法避免的情况下，需立即通知环保部门、公安部门，必要时对沿线处于污染范围内的人员进行疏离，避免发生人员中毒伤亡。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⑤如果危险品为液态，并已进入公共水体，应立即通知环保部门。环保部门接报后立即通知河流下游单位，或附近用水单位停止取用水，同时派环保专家和监测人员到现场进行监测分析，及时打捞掉入水体的危险品容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在拟建道路跨河路段，运输危险货物的车辆如发生泄漏，会对水体产生不良影响。按危险品在水中的状态以及计算扩散模型得到的信息，可选择的水污染控制方法如下</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①可形成气体或蒸汽的物质，如甲苯。预计受影响的范围，撤离有危险的人员，监控空气和水中的浓度通过大气或水消散或稀释到安全水平。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②漂浮物质，若为挥发性的，如甲苯，可采用①的方法</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若为非挥发性的在接近和处理安全的条件下，可采用围护、回收、吸收、扩散、燃烧等方法处理。对可烧或有毒的化学品还必须采用限制措施相配合。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③能溶解扩散的物质，如乙二醇等。稀释和扩散是常用方法，并且常通过自然运动和水混合来实现。但对毒性物质，会把毒性危险区域扩大。因此，必须采用限制性措施配合。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在非跨河渠居民聚居路段，各危险货物泄漏及燃烧还会对沿线居民生产和健康带来危害，道路常运危险货物事故处置应急措施参见表</w:t>
      </w:r>
      <w:r>
        <w:rPr>
          <w:rFonts w:hint="eastAsia" w:ascii="Times New Roman" w:hAnsi="Times New Roman" w:eastAsia="宋体" w:cs="Times New Roman"/>
          <w:sz w:val="24"/>
          <w:szCs w:val="24"/>
          <w:lang w:val="en-US" w:eastAsia="zh-CN"/>
        </w:rPr>
        <w:t>9.2.2-1</w:t>
      </w:r>
      <w:r>
        <w:rPr>
          <w:rFonts w:hint="default"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lang w:val="en-US" w:eastAsia="zh-CN"/>
        </w:rPr>
        <w:t>表9.2.2-1泄漏处置应急措施</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4"/>
        <w:gridCol w:w="1215"/>
        <w:gridCol w:w="5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13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名称</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处置方式</w:t>
            </w:r>
          </w:p>
        </w:tc>
        <w:tc>
          <w:tcPr>
            <w:tcW w:w="599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具体措施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13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硫酸</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泄露处置</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散离危险区域，处理人员戴自给正压式呼吸器，穿防酸碱工作服</w:t>
            </w:r>
            <w:r>
              <w:rPr>
                <w:rFonts w:hint="eastAsia" w:ascii="Times New Roman" w:hAnsi="Times New Roman" w:eastAsia="宋体"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切断泄漏源，防止进入下水道。可将泄漏液收集在可谜底容器中或用沙土、干燥石灰泄漏处置</w:t>
            </w:r>
            <w:r>
              <w:rPr>
                <w:rFonts w:hint="eastAsia" w:ascii="Times New Roman" w:hAnsi="Times New Roman" w:eastAsia="宋体" w:cs="Times New Roman"/>
                <w:sz w:val="21"/>
                <w:szCs w:val="21"/>
                <w:vertAlign w:val="baseline"/>
                <w:lang w:val="en-US" w:eastAsia="zh-CN"/>
              </w:rPr>
              <w:t>。可加入纯碱一消石灰溶液中和；大量泄漏应构筑围堤或挖坑收容，用泵转移至槽车内，残余物回收运至废物处理场 所安全处置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3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消防方法</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禁止用水，使用干粉、二氧化碳和沙土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trPr>
        <w:tc>
          <w:tcPr>
            <w:tcW w:w="13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甲苯</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泄露处置</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首先应切断所有火源，戴好防毒面具和手套，用不燃性分散剂制成乳液刷洗，泄漏处置 置也可以用沙土吸收，倒至空旷地掩埋。对污染地带进行通风，蒸发残余液体并排除蒸汽。含甲苯的废水可采用生物法、浓缩废水焚烧等方法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3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消防方法</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灭火</w:t>
            </w:r>
            <w:r>
              <w:rPr>
                <w:rFonts w:hint="eastAsia" w:ascii="Times New Roman" w:hAnsi="Times New Roman" w:eastAsia="宋体"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泡沫、二氧化碳、干粉、沙</w:t>
            </w:r>
            <w:r>
              <w:rPr>
                <w:rFonts w:hint="eastAsia" w:ascii="Times New Roman" w:hAnsi="Times New Roman" w:eastAsia="宋体" w:cs="Times New Roman"/>
                <w:sz w:val="21"/>
                <w:szCs w:val="21"/>
                <w:vertAlign w:val="baseline"/>
                <w:lang w:val="en-US" w:eastAsia="zh-CN"/>
              </w:rPr>
              <w:t>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7" w:hRule="atLeast"/>
        </w:trPr>
        <w:tc>
          <w:tcPr>
            <w:tcW w:w="13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苯</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泄露处置</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迅速撤离泄漏污染区人员至安全区，禁止无关人员进入污染区，切断火源，应急处理人员戴防毒面具与手套，穿一般消防防护服，在确保安全情况下堵漏。可用雾状水扑灭小面积火灾，保持火场旁容器的冷却，驱散蒸气及溢出的液体，但不能降低泄漏物在受限制空间内的易燃性。用活性炭或其它惰性材料或沙土吸收，然后使用无火化工具收集运至废物处理场所。也可以用不燃性分散剂制成的乳液刷洗，经稀释后放入废水系统。或在保证安全情况下，就地焚烧。如大量泄漏，建围堤收容，然后收集、转移、回收或无害化处理</w:t>
            </w:r>
            <w:r>
              <w:rPr>
                <w:rFonts w:hint="eastAsia" w:ascii="Times New Roman" w:hAnsi="Times New Roman" w:eastAsia="宋体"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3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消防方法</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灭火</w:t>
            </w:r>
            <w:r>
              <w:rPr>
                <w:rFonts w:hint="eastAsia" w:ascii="Times New Roman" w:hAnsi="Times New Roman" w:eastAsia="宋体"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泡沫、二氧化碳、干粉、沙土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冰醋酸</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泄露处置</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疏散泄漏污染区人员至安全区，禁止无关人员进入污染区，切断火源。建议应急处理人员戴自给式呼吸器，穿化学防护服。不要直接接触泄漏物，在确保安全情况下堵漏。喷水雾能减少蒸发但不要使水进入储存容器内。用沙土、蛭石或其它惰性材料吸收，然后收集运至废物处理场所处置。也可以用大量水冲洗，经稀释的洗水放入废水系统。如大量泄漏，利用围堤收容，然后收集、转移、回收或无害处理后废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消防方法</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雾状水、泡沫、二氧化碳、砂土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乙炔</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泄露处置</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首先切断一切火源，勿使其燃烧，同时关闭阀门，防止渗漏，并用雾状水保泄漏处置 护关闭阀门的人员。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消防方法</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有复燃危险，在气源为切断前可扑灭气源周围火势，防止扩大，但不得灭掉源渗漏处火源。用水冷却容器防止爆炸，并用水保护关闭阀门或堵漏的人员。如泄漏物未被点燃，可用雾状水直接射至易燃蒸气和空气的混合物，使其远离火源。如有可能应迅速将钢瓶转移至安全地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甲醇</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泄露处置</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首先切断一切火源，带好防毒面具和手套，用水冲洗，经稀释的污水排入水系统。对污染地面进行通风排除残余蒸气，大面积泄漏周围应设雾状水幕抑爆。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消防方法</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穿戴好防护服和防毒面具。小火用二氧化碳、干粉、1211、抗溶性泡沫、雾状水灭火。用雾状水冷却火场中的容器并保护堵漏人员。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氰化钾</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泄露处置</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必须戴好防毒面具和手套，扫起倒至大量水中，加入过量次氯酸钠，放置24小时，确认氢化物全部分解，稀释后放入废水系统。污染区用次氯酸钠溶液浸泡24小时后，用大量水冲洗，经稀释的污水放入废水系统。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消防方法</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氰化物不燃，大火时应尽量抢救商品，防止因包装破损引起环境污染。消防人员必须穿戴供氧式防毒面具及全身防护服。邻近地区火灾时可用雾状水灭火，禁止使用二氧化碳、酸碱灭火剂。</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78" w:name="_Toc16503"/>
      <w:r>
        <w:rPr>
          <w:rFonts w:hint="eastAsia" w:ascii="Times New Roman" w:hAnsi="Times New Roman" w:eastAsia="宋体" w:cs="Times New Roman"/>
          <w:sz w:val="24"/>
          <w:szCs w:val="24"/>
          <w:lang w:val="en-US" w:eastAsia="zh-CN"/>
        </w:rPr>
        <w:t>9.2.3应急预案</w:t>
      </w:r>
      <w:bookmarkEnd w:id="7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贵阳市市政道路管理单位应成立3～5人应急救援小组，指定专人担任应急救援组长，由应急救援组长负责、指挥和对相关单位的协调</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拟建道路项目一旦发生环境风险的事故，道路管理单位和沿途单位、小区或群众应及时向政府部门报告事故状况，并应根据事故类型，立即向环保、公安、卫生机构等相关部门报告、通知，并进行现场处理、灭火及人员救治等救援处理工作</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应急救援措施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根据对事故现场进行的监测，确定性质后进行初步评估，上报指挥部门作为决策依据</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应急救援保障措施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应急车辆、设施、装备、应急电话等</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控制事故、防止扩散、消除现场泄漏物、降低危害</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及时控制污染区域，特别是污染水体，控制和消除污染措施及相应设备配备</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人员疏散、应急救治、组织计划</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迅速撤离泄漏污染区人员到安全区，并进行隔离，严格限制出入</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尽可能切断泄漏源</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当小量泄漏时采用小量砂土或其它不燃材料吸附、吸收</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大量泄漏时采取事故应急池受纳，用泵转移至槽车或专用收集器内回收运至废物处理场所处置。</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default" w:ascii="Times New Roman" w:hAnsi="Times New Roman" w:eastAsia="宋体" w:cs="Times New Roman"/>
          <w:sz w:val="24"/>
          <w:szCs w:val="24"/>
          <w:lang w:val="en-US" w:eastAsia="zh-CN"/>
        </w:rPr>
      </w:pPr>
      <w:bookmarkStart w:id="79" w:name="_Toc4004"/>
      <w:r>
        <w:rPr>
          <w:rFonts w:hint="eastAsia" w:ascii="Times New Roman" w:hAnsi="Times New Roman" w:eastAsia="宋体" w:cs="Times New Roman"/>
          <w:b/>
          <w:bCs/>
          <w:sz w:val="24"/>
          <w:szCs w:val="24"/>
          <w:lang w:val="en-US" w:eastAsia="zh-CN"/>
        </w:rPr>
        <w:t>10 调查结论及建议</w:t>
      </w:r>
      <w:bookmarkEnd w:id="79"/>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80" w:name="_Toc29438"/>
      <w:r>
        <w:rPr>
          <w:rFonts w:hint="eastAsia" w:ascii="Times New Roman" w:hAnsi="Times New Roman" w:eastAsia="宋体" w:cs="Times New Roman"/>
          <w:sz w:val="24"/>
          <w:szCs w:val="24"/>
          <w:lang w:val="en-US" w:eastAsia="zh-CN"/>
        </w:rPr>
        <w:t>10.1调查结论</w:t>
      </w:r>
      <w:bookmarkEnd w:id="8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81" w:name="_Toc26755"/>
      <w:r>
        <w:rPr>
          <w:rFonts w:hint="eastAsia" w:ascii="Times New Roman" w:hAnsi="Times New Roman" w:eastAsia="宋体" w:cs="Times New Roman"/>
          <w:sz w:val="24"/>
          <w:szCs w:val="24"/>
          <w:lang w:val="en-US" w:eastAsia="zh-CN"/>
        </w:rPr>
        <w:t>10.1.1工程概况</w:t>
      </w:r>
      <w:bookmarkEnd w:id="8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苏庄路是沙文生态科技产业园园区道网的重要组成部分之一。通过本项目的建设，对加快沙文生态科技产业园园区道网的形成，带动沿线土地的开发，促进沙文及白云城市新区可持续发展和生态科技产业园的开发建设，完善城市交通网络具有重要意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val="0"/>
          <w:bCs w:val="0"/>
          <w:sz w:val="24"/>
          <w:szCs w:val="24"/>
          <w:lang w:val="en-US" w:eastAsia="zh-CN"/>
        </w:rPr>
        <w:t>项目西起于青龙路，</w:t>
      </w:r>
      <w:r>
        <w:rPr>
          <w:rFonts w:hint="eastAsia" w:ascii="Times New Roman" w:hAnsi="Times New Roman" w:eastAsia="宋体" w:cs="Times New Roman"/>
          <w:b w:val="0"/>
          <w:bCs w:val="0"/>
          <w:color w:val="auto"/>
          <w:sz w:val="24"/>
          <w:szCs w:val="24"/>
          <w:lang w:val="en-US" w:eastAsia="zh-CN"/>
        </w:rPr>
        <w:t>经沙果南路、麦五村、马场营、南坪、干田砖厂、贵阳变电所，终点与G210国道连接</w:t>
      </w:r>
      <w:r>
        <w:rPr>
          <w:rFonts w:hint="eastAsia" w:ascii="Times New Roman" w:hAnsi="Times New Roman" w:eastAsia="宋体" w:cs="Times New Roman"/>
          <w:b w:val="0"/>
          <w:bCs w:val="0"/>
          <w:sz w:val="24"/>
          <w:szCs w:val="24"/>
          <w:lang w:val="en-US" w:eastAsia="zh-CN"/>
        </w:rPr>
        <w:t>，路线全长约3493m，道路宽度30m，设计车速40km/h，项目总投资28410万元。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82" w:name="_Toc12969"/>
      <w:r>
        <w:rPr>
          <w:rFonts w:hint="eastAsia" w:ascii="Times New Roman" w:hAnsi="Times New Roman" w:eastAsia="宋体" w:cs="Times New Roman"/>
          <w:sz w:val="24"/>
          <w:szCs w:val="24"/>
          <w:lang w:val="en-US" w:eastAsia="zh-CN"/>
        </w:rPr>
        <w:t>10.1.2环保措施落实情况</w:t>
      </w:r>
      <w:bookmarkEnd w:id="8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本工程已按环评要求及相关环保要求建设了相应的设施，施工便道、弃土场等已得到恢复，本次调查结果显示，相关环保措施已基本落实，未对沿线环境造成较大的影响。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83" w:name="_Toc30663"/>
      <w:r>
        <w:rPr>
          <w:rFonts w:hint="eastAsia" w:ascii="Times New Roman" w:hAnsi="Times New Roman" w:eastAsia="宋体" w:cs="Times New Roman"/>
          <w:sz w:val="24"/>
          <w:szCs w:val="24"/>
          <w:lang w:val="en-US" w:eastAsia="zh-CN"/>
        </w:rPr>
        <w:t>10.1.3生态环境</w:t>
      </w:r>
      <w:bookmarkEnd w:id="8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本项目永久性占地11.52hm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vertAlign w:val="baseline"/>
          <w:lang w:val="en-US" w:eastAsia="zh-CN"/>
        </w:rPr>
        <w:t>其中建筑用地0.14</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、林地0.06</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、荒草地0.62</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、水田2.88</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、旱地9.46</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、水域0.06</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、交通用地0.06</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）；临时占地1.76</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，现已复土绿化</w:t>
      </w:r>
      <w:r>
        <w:rPr>
          <w:rFonts w:hint="eastAsia" w:ascii="Times New Roman" w:hAnsi="Times New Roman" w:eastAsia="宋体" w:cs="Times New Roman"/>
          <w:sz w:val="24"/>
          <w:szCs w:val="24"/>
          <w:lang w:val="en-US" w:eastAsia="zh-CN"/>
        </w:rPr>
        <w:t>。本项目所占用土地已完成征收，规划为园区建设项目用地。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本项目建设道路55840m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，挖方7.22万m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vertAlign w:val="baseline"/>
          <w:lang w:val="en-US" w:eastAsia="zh-CN"/>
        </w:rPr>
        <w:t>（其中土方4.37</w:t>
      </w:r>
      <w:r>
        <w:rPr>
          <w:rFonts w:hint="eastAsia" w:ascii="Times New Roman" w:hAnsi="Times New Roman" w:eastAsia="宋体" w:cs="Times New Roman"/>
          <w:sz w:val="24"/>
          <w:szCs w:val="24"/>
          <w:lang w:val="en-US" w:eastAsia="zh-CN"/>
        </w:rPr>
        <w:t>万m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vertAlign w:val="baseline"/>
          <w:lang w:val="en-US" w:eastAsia="zh-CN"/>
        </w:rPr>
        <w:t>，石方2.85</w:t>
      </w:r>
      <w:r>
        <w:rPr>
          <w:rFonts w:hint="eastAsia" w:ascii="Times New Roman" w:hAnsi="Times New Roman" w:eastAsia="宋体" w:cs="Times New Roman"/>
          <w:sz w:val="24"/>
          <w:szCs w:val="24"/>
          <w:lang w:val="en-US" w:eastAsia="zh-CN"/>
        </w:rPr>
        <w:t>万m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eastAsia="宋体" w:cs="Times New Roman"/>
          <w:sz w:val="24"/>
          <w:szCs w:val="24"/>
          <w:lang w:val="en-US" w:eastAsia="zh-CN"/>
        </w:rPr>
        <w:t>，填方5.94万m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（其中土方3.09万m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，石方2.85万m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）。本项目全线拆迁建筑物3000m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，拆迁户数约20户。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本项目所需要的沥青混凝土全部采用外购解决，不设置沥青混凝土拌合站。本道路不设收费站、服务区和养护工区等服务设施。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经实地勘察，本项目已按要求完成边坡建设，临时堆场恢复，沿线施工扰动区已进行生态恢复，基本完成水土保持要求。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道路沿线已种植行道树。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84" w:name="_Toc4781"/>
      <w:r>
        <w:rPr>
          <w:rFonts w:hint="eastAsia" w:ascii="Times New Roman" w:hAnsi="Times New Roman" w:eastAsia="宋体" w:cs="Times New Roman"/>
          <w:sz w:val="24"/>
          <w:szCs w:val="24"/>
          <w:lang w:val="en-US" w:eastAsia="zh-CN"/>
        </w:rPr>
        <w:t>10.1.4水环境</w:t>
      </w:r>
      <w:bookmarkEnd w:id="8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大泥窝河的氨氮、COD、BOD</w:t>
      </w:r>
      <w:r>
        <w:rPr>
          <w:rFonts w:hint="eastAsia" w:ascii="Times New Roman" w:hAnsi="Times New Roman" w:eastAsia="宋体" w:cs="Times New Roman"/>
          <w:sz w:val="24"/>
          <w:szCs w:val="24"/>
          <w:vertAlign w:val="subscript"/>
          <w:lang w:val="en-US" w:eastAsia="zh-CN"/>
        </w:rPr>
        <w:t>5</w:t>
      </w:r>
      <w:r>
        <w:rPr>
          <w:rFonts w:hint="eastAsia" w:ascii="Times New Roman" w:hAnsi="Times New Roman" w:eastAsia="宋体" w:cs="Times New Roman"/>
          <w:sz w:val="24"/>
          <w:szCs w:val="24"/>
          <w:lang w:val="en-US" w:eastAsia="zh-CN"/>
        </w:rPr>
        <w:t>、石油类的监测结果均超标（执行《地表水环境质量标准》（GB 3838-2002）Ⅲ类水标准），超标指数分别为0.15、0.25、0.78、5.80；从环评报告上的数据可知环评阶段大泥窝河的氨氮、COD、BOD</w:t>
      </w:r>
      <w:r>
        <w:rPr>
          <w:rFonts w:hint="eastAsia" w:ascii="Times New Roman" w:hAnsi="Times New Roman" w:eastAsia="宋体" w:cs="Times New Roman"/>
          <w:sz w:val="24"/>
          <w:szCs w:val="24"/>
          <w:vertAlign w:val="subscript"/>
          <w:lang w:val="en-US" w:eastAsia="zh-CN"/>
        </w:rPr>
        <w:t>5</w:t>
      </w:r>
      <w:r>
        <w:rPr>
          <w:rFonts w:hint="eastAsia" w:ascii="Times New Roman" w:hAnsi="Times New Roman" w:eastAsia="宋体" w:cs="Times New Roman"/>
          <w:sz w:val="24"/>
          <w:szCs w:val="24"/>
          <w:lang w:val="en-US" w:eastAsia="zh-CN"/>
        </w:rPr>
        <w:t>、石油类也存在超标，超标指数分别为11.40、1.29、2.22、12.40。由此可以看出本次验收调查期间大泥窝河的氨氮、COD、BOD</w:t>
      </w:r>
      <w:r>
        <w:rPr>
          <w:rFonts w:hint="eastAsia" w:ascii="Times New Roman" w:hAnsi="Times New Roman" w:eastAsia="宋体" w:cs="Times New Roman"/>
          <w:sz w:val="24"/>
          <w:szCs w:val="24"/>
          <w:vertAlign w:val="subscript"/>
          <w:lang w:val="en-US" w:eastAsia="zh-CN"/>
        </w:rPr>
        <w:t>5</w:t>
      </w:r>
      <w:r>
        <w:rPr>
          <w:rFonts w:hint="eastAsia" w:ascii="Times New Roman" w:hAnsi="Times New Roman" w:eastAsia="宋体" w:cs="Times New Roman"/>
          <w:sz w:val="24"/>
          <w:szCs w:val="24"/>
          <w:lang w:val="en-US" w:eastAsia="zh-CN"/>
        </w:rPr>
        <w:t>、石油类的监测结果虽然超标，但比较环评阶段，大泥窝河的水质有所好转。</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85" w:name="_Toc17519"/>
      <w:r>
        <w:rPr>
          <w:rFonts w:hint="eastAsia" w:ascii="Times New Roman" w:hAnsi="Times New Roman" w:eastAsia="宋体" w:cs="Times New Roman"/>
          <w:sz w:val="24"/>
          <w:szCs w:val="24"/>
          <w:lang w:val="en-US" w:eastAsia="zh-CN"/>
        </w:rPr>
        <w:t>10.1.5环境空气</w:t>
      </w:r>
      <w:bookmarkEnd w:id="8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eastAsiaTheme="minorEastAsia"/>
          <w:sz w:val="24"/>
          <w:szCs w:val="24"/>
          <w:lang w:val="en-US" w:eastAsia="zh-CN"/>
        </w:rPr>
      </w:pPr>
      <w:r>
        <w:rPr>
          <w:rFonts w:hint="eastAsia" w:ascii="Times New Roman" w:hAnsi="Times New Roman" w:eastAsia="宋体" w:cs="Times New Roman"/>
          <w:sz w:val="24"/>
          <w:szCs w:val="24"/>
          <w:lang w:val="en-US" w:eastAsia="zh-CN"/>
        </w:rPr>
        <w:t>本工程定期安排环卫人员清扫道路上洒落的散装物料减少车辆通过引起起尘，沿线种植行道树，在干燥天气对路面采取洒水措施，有效降低扬尘，对大气环境影响较小。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86" w:name="_Toc9275"/>
      <w:r>
        <w:rPr>
          <w:rFonts w:hint="eastAsia" w:ascii="Times New Roman" w:hAnsi="Times New Roman" w:eastAsia="宋体" w:cs="Times New Roman"/>
          <w:sz w:val="24"/>
          <w:szCs w:val="24"/>
          <w:lang w:val="en-US" w:eastAsia="zh-CN"/>
        </w:rPr>
        <w:t>10.1.6声环境</w:t>
      </w:r>
      <w:bookmarkEnd w:id="8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本工程已基本按照环境影响评价报告要求建设相关设施，沿线敏感点监测结果均满足《声环境质量标准》（GB 3096-2008）的相关要求。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87" w:name="_Toc28751"/>
      <w:r>
        <w:rPr>
          <w:rFonts w:hint="eastAsia" w:ascii="Times New Roman" w:hAnsi="Times New Roman" w:eastAsia="宋体" w:cs="Times New Roman"/>
          <w:sz w:val="24"/>
          <w:szCs w:val="24"/>
          <w:lang w:val="en-US" w:eastAsia="zh-CN"/>
        </w:rPr>
        <w:t>10.1.7固体废物</w:t>
      </w:r>
      <w:bookmarkEnd w:id="8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本工程沿线设置了垃圾池或垃圾箱，对生活垃圾收集后定期交由环卫部门清运，不向周边环境排弃，亦没有生活垃圾过多堆存不清运的情况，没有造成不良的环境影响。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88" w:name="_Toc10652"/>
      <w:r>
        <w:rPr>
          <w:rFonts w:hint="eastAsia" w:ascii="Times New Roman" w:hAnsi="Times New Roman" w:eastAsia="宋体" w:cs="Times New Roman"/>
          <w:sz w:val="24"/>
          <w:szCs w:val="24"/>
          <w:lang w:val="en-US" w:eastAsia="zh-CN"/>
        </w:rPr>
        <w:t>10.1.8应急预案</w:t>
      </w:r>
      <w:bookmarkEnd w:id="8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本项目制定了相适应的环境风险应急预案；应急管理机构已建立，管理职责明确，应急机制合理有效。</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综上所述，沙文生态科技产业园苏庄路道路工程在设计、施工和试运营过程中采取了较为有效的生态保护和污染防治措施，对沿线敏感目标未产生明显影响，在现有交通状况下全线敏感点声环境及大气环境质量均满足相应标准要求。建议通过竣工环境保护验收。</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eastAsia" w:ascii="Times New Roman" w:hAnsi="Times New Roman" w:eastAsia="宋体" w:cs="Times New Roman"/>
          <w:sz w:val="24"/>
          <w:szCs w:val="24"/>
          <w:lang w:val="en-US" w:eastAsia="zh-CN"/>
        </w:rPr>
      </w:pPr>
      <w:bookmarkStart w:id="89" w:name="_Toc17734"/>
      <w:r>
        <w:rPr>
          <w:rFonts w:hint="eastAsia" w:ascii="Times New Roman" w:hAnsi="Times New Roman" w:eastAsia="宋体" w:cs="Times New Roman"/>
          <w:sz w:val="24"/>
          <w:szCs w:val="24"/>
          <w:lang w:val="en-US" w:eastAsia="zh-CN"/>
        </w:rPr>
        <w:t>10.2建议</w:t>
      </w:r>
      <w:bookmarkEnd w:id="8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1、建议对自然恢复效果欠佳的取土场尽快采取有效的生态恢复措施；并加强对工程沿线临时占地、绿化及护坡工程的养护和管理。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2、加强风险事故应急管理，定期开展应急演练，提高风险应对能力。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3、加强对沿线桥面径流收集系统、</w:t>
      </w:r>
      <w:r>
        <w:rPr>
          <w:rFonts w:hint="eastAsia" w:ascii="Times New Roman" w:hAnsi="Times New Roman" w:eastAsia="宋体" w:cs="Times New Roman"/>
          <w:sz w:val="24"/>
          <w:szCs w:val="24"/>
          <w:lang w:val="en-US" w:eastAsia="zh-CN"/>
        </w:rPr>
        <w:t>边沟、边坡防护设施、沿线绿化</w:t>
      </w:r>
      <w:r>
        <w:rPr>
          <w:rFonts w:hint="default" w:ascii="Times New Roman" w:hAnsi="Times New Roman" w:eastAsia="宋体" w:cs="Times New Roman"/>
          <w:sz w:val="24"/>
          <w:szCs w:val="24"/>
          <w:lang w:val="en-US" w:eastAsia="zh-CN"/>
        </w:rPr>
        <w:t>等的管理和维护，确保其正常运行。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4、加强对上路车辆的检查和管理，严禁高噪声和未加盖篷布的散装物料运载车辆上路。</w:t>
      </w:r>
    </w:p>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sz w:val="24"/>
          <w:szCs w:val="24"/>
          <w:lang w:val="en-US" w:eastAsia="zh-CN"/>
        </w:rPr>
      </w:pPr>
      <w:bookmarkStart w:id="90" w:name="_Toc31493"/>
      <w:r>
        <w:rPr>
          <w:rFonts w:hint="eastAsia" w:ascii="Times New Roman" w:hAnsi="Times New Roman" w:eastAsia="宋体" w:cs="Times New Roman"/>
          <w:sz w:val="24"/>
          <w:szCs w:val="24"/>
          <w:lang w:val="en-US" w:eastAsia="zh-CN"/>
        </w:rPr>
        <w:t>附件一：立项文件批复</w:t>
      </w:r>
      <w:bookmarkEnd w:id="9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drawing>
          <wp:inline distT="0" distB="0" distL="114300" distR="114300">
            <wp:extent cx="5269865" cy="7232650"/>
            <wp:effectExtent l="0" t="0" r="6985" b="6350"/>
            <wp:docPr id="26" name="图片 26" descr="苏庄立项批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苏庄立项批复1"/>
                    <pic:cNvPicPr>
                      <a:picLocks noChangeAspect="1"/>
                    </pic:cNvPicPr>
                  </pic:nvPicPr>
                  <pic:blipFill>
                    <a:blip r:embed="rId19"/>
                    <a:stretch>
                      <a:fillRect/>
                    </a:stretch>
                  </pic:blipFill>
                  <pic:spPr>
                    <a:xfrm>
                      <a:off x="0" y="0"/>
                      <a:ext cx="5269865" cy="7232650"/>
                    </a:xfrm>
                    <a:prstGeom prst="rect">
                      <a:avLst/>
                    </a:prstGeom>
                  </pic:spPr>
                </pic:pic>
              </a:graphicData>
            </a:graphic>
          </wp:inline>
        </w:drawing>
      </w:r>
      <w:r>
        <w:rPr>
          <w:rFonts w:hint="default" w:ascii="Times New Roman" w:hAnsi="Times New Roman" w:eastAsia="宋体" w:cs="Times New Roman"/>
          <w:sz w:val="24"/>
          <w:szCs w:val="24"/>
          <w:lang w:val="en-US" w:eastAsia="zh-CN"/>
        </w:rPr>
        <w:drawing>
          <wp:inline distT="0" distB="0" distL="114300" distR="114300">
            <wp:extent cx="5269865" cy="7232650"/>
            <wp:effectExtent l="0" t="0" r="6985" b="6350"/>
            <wp:docPr id="25" name="图片 25" descr="苏庄立项批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苏庄立项批复2"/>
                    <pic:cNvPicPr>
                      <a:picLocks noChangeAspect="1"/>
                    </pic:cNvPicPr>
                  </pic:nvPicPr>
                  <pic:blipFill>
                    <a:blip r:embed="rId20"/>
                    <a:stretch>
                      <a:fillRect/>
                    </a:stretch>
                  </pic:blipFill>
                  <pic:spPr>
                    <a:xfrm>
                      <a:off x="0" y="0"/>
                      <a:ext cx="5269865" cy="7232650"/>
                    </a:xfrm>
                    <a:prstGeom prst="rect">
                      <a:avLst/>
                    </a:prstGeom>
                  </pic:spPr>
                </pic:pic>
              </a:graphicData>
            </a:graphic>
          </wp:inline>
        </w:drawing>
      </w:r>
    </w:p>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sz w:val="24"/>
          <w:szCs w:val="24"/>
          <w:lang w:val="en-US" w:eastAsia="zh-CN"/>
        </w:rPr>
      </w:pPr>
      <w:bookmarkStart w:id="91" w:name="_Toc24898"/>
      <w:r>
        <w:rPr>
          <w:rFonts w:hint="eastAsia" w:ascii="Times New Roman" w:hAnsi="Times New Roman" w:eastAsia="宋体" w:cs="Times New Roman"/>
          <w:sz w:val="24"/>
          <w:szCs w:val="24"/>
          <w:lang w:val="en-US" w:eastAsia="zh-CN"/>
        </w:rPr>
        <w:t>附件二：初步设计批复文件</w:t>
      </w:r>
      <w:bookmarkEnd w:id="9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drawing>
          <wp:inline distT="0" distB="0" distL="114300" distR="114300">
            <wp:extent cx="5269865" cy="7232650"/>
            <wp:effectExtent l="0" t="0" r="6985" b="6350"/>
            <wp:docPr id="31" name="图片 31" descr="苏庄初设批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苏庄初设批复1"/>
                    <pic:cNvPicPr>
                      <a:picLocks noChangeAspect="1"/>
                    </pic:cNvPicPr>
                  </pic:nvPicPr>
                  <pic:blipFill>
                    <a:blip r:embed="rId21"/>
                    <a:stretch>
                      <a:fillRect/>
                    </a:stretch>
                  </pic:blipFill>
                  <pic:spPr>
                    <a:xfrm>
                      <a:off x="0" y="0"/>
                      <a:ext cx="5269865" cy="7232650"/>
                    </a:xfrm>
                    <a:prstGeom prst="rect">
                      <a:avLst/>
                    </a:prstGeom>
                  </pic:spPr>
                </pic:pic>
              </a:graphicData>
            </a:graphic>
          </wp:inline>
        </w:drawing>
      </w:r>
      <w:r>
        <w:rPr>
          <w:rFonts w:hint="default" w:ascii="Times New Roman" w:hAnsi="Times New Roman" w:eastAsia="宋体" w:cs="Times New Roman"/>
          <w:sz w:val="24"/>
          <w:szCs w:val="24"/>
          <w:lang w:val="en-US" w:eastAsia="zh-CN"/>
        </w:rPr>
        <w:drawing>
          <wp:inline distT="0" distB="0" distL="114300" distR="114300">
            <wp:extent cx="5269865" cy="7232650"/>
            <wp:effectExtent l="0" t="0" r="6985" b="6350"/>
            <wp:docPr id="29" name="图片 29" descr="苏庄初设批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苏庄初设批复2"/>
                    <pic:cNvPicPr>
                      <a:picLocks noChangeAspect="1"/>
                    </pic:cNvPicPr>
                  </pic:nvPicPr>
                  <pic:blipFill>
                    <a:blip r:embed="rId22"/>
                    <a:stretch>
                      <a:fillRect/>
                    </a:stretch>
                  </pic:blipFill>
                  <pic:spPr>
                    <a:xfrm>
                      <a:off x="0" y="0"/>
                      <a:ext cx="5269865" cy="7232650"/>
                    </a:xfrm>
                    <a:prstGeom prst="rect">
                      <a:avLst/>
                    </a:prstGeom>
                  </pic:spPr>
                </pic:pic>
              </a:graphicData>
            </a:graphic>
          </wp:inline>
        </w:drawing>
      </w:r>
    </w:p>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br w:type="page"/>
      </w: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Times New Roman" w:hAnsi="Times New Roman" w:eastAsia="宋体" w:cs="Times New Roman"/>
          <w:sz w:val="24"/>
          <w:szCs w:val="24"/>
          <w:lang w:val="en-US" w:eastAsia="zh-CN"/>
        </w:rPr>
      </w:pPr>
      <w:bookmarkStart w:id="92" w:name="_Toc29455"/>
      <w:r>
        <w:rPr>
          <w:rFonts w:hint="eastAsia" w:ascii="Times New Roman" w:hAnsi="Times New Roman" w:eastAsia="宋体" w:cs="Times New Roman"/>
          <w:sz w:val="24"/>
          <w:szCs w:val="24"/>
          <w:lang w:val="en-US" w:eastAsia="zh-CN"/>
        </w:rPr>
        <w:t>附件三：环评批复文件</w:t>
      </w:r>
      <w:bookmarkEnd w:id="92"/>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drawing>
          <wp:inline distT="0" distB="0" distL="114300" distR="114300">
            <wp:extent cx="5269865" cy="7232650"/>
            <wp:effectExtent l="0" t="0" r="6985" b="6350"/>
            <wp:docPr id="8" name="图片 8" descr="7a5571df6f37b6addee6e7b291214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a5571df6f37b6addee6e7b2912144f"/>
                    <pic:cNvPicPr>
                      <a:picLocks noChangeAspect="1"/>
                    </pic:cNvPicPr>
                  </pic:nvPicPr>
                  <pic:blipFill>
                    <a:blip r:embed="rId23"/>
                    <a:stretch>
                      <a:fillRect/>
                    </a:stretch>
                  </pic:blipFill>
                  <pic:spPr>
                    <a:xfrm>
                      <a:off x="0" y="0"/>
                      <a:ext cx="5269865" cy="7232650"/>
                    </a:xfrm>
                    <a:prstGeom prst="rect">
                      <a:avLst/>
                    </a:prstGeom>
                  </pic:spPr>
                </pic:pic>
              </a:graphicData>
            </a:graphic>
          </wp:inline>
        </w:drawing>
      </w:r>
      <w:r>
        <w:rPr>
          <w:rFonts w:hint="eastAsia" w:ascii="Times New Roman" w:hAnsi="Times New Roman" w:eastAsia="宋体" w:cs="Times New Roman"/>
          <w:sz w:val="24"/>
          <w:szCs w:val="24"/>
          <w:lang w:val="en-US" w:eastAsia="zh-CN"/>
        </w:rPr>
        <w:drawing>
          <wp:inline distT="0" distB="0" distL="114300" distR="114300">
            <wp:extent cx="5269865" cy="7232650"/>
            <wp:effectExtent l="0" t="0" r="6985" b="6350"/>
            <wp:docPr id="9" name="图片 9" descr="80ca3dd327f00e698738df6ec5d12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0ca3dd327f00e698738df6ec5d126e"/>
                    <pic:cNvPicPr>
                      <a:picLocks noChangeAspect="1"/>
                    </pic:cNvPicPr>
                  </pic:nvPicPr>
                  <pic:blipFill>
                    <a:blip r:embed="rId24"/>
                    <a:stretch>
                      <a:fillRect/>
                    </a:stretch>
                  </pic:blipFill>
                  <pic:spPr>
                    <a:xfrm>
                      <a:off x="0" y="0"/>
                      <a:ext cx="5269865" cy="7232650"/>
                    </a:xfrm>
                    <a:prstGeom prst="rect">
                      <a:avLst/>
                    </a:prstGeom>
                  </pic:spPr>
                </pic:pic>
              </a:graphicData>
            </a:graphic>
          </wp:inline>
        </w:drawing>
      </w:r>
      <w:r>
        <w:rPr>
          <w:rFonts w:hint="eastAsia" w:ascii="Times New Roman" w:hAnsi="Times New Roman" w:eastAsia="宋体" w:cs="Times New Roman"/>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sz w:val="24"/>
          <w:szCs w:val="24"/>
          <w:lang w:val="en-US" w:eastAsia="zh-CN"/>
        </w:rPr>
      </w:pPr>
      <w:bookmarkStart w:id="93" w:name="_Toc8017"/>
      <w:r>
        <w:rPr>
          <w:rFonts w:hint="eastAsia" w:ascii="Times New Roman" w:hAnsi="Times New Roman" w:eastAsia="宋体" w:cs="Times New Roman"/>
          <w:sz w:val="24"/>
          <w:szCs w:val="24"/>
          <w:lang w:val="en-US" w:eastAsia="zh-CN"/>
        </w:rPr>
        <w:t>附件四：验收监测报告</w:t>
      </w:r>
      <w:bookmarkEnd w:id="9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pPr>
      <w:r>
        <w:drawing>
          <wp:inline distT="0" distB="0" distL="114300" distR="114300">
            <wp:extent cx="5038725" cy="7038975"/>
            <wp:effectExtent l="0" t="0" r="9525" b="952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25"/>
                    <a:stretch>
                      <a:fillRect/>
                    </a:stretch>
                  </pic:blipFill>
                  <pic:spPr>
                    <a:xfrm>
                      <a:off x="0" y="0"/>
                      <a:ext cx="5038725" cy="7038975"/>
                    </a:xfrm>
                    <a:prstGeom prst="rect">
                      <a:avLst/>
                    </a:prstGeom>
                    <a:noFill/>
                    <a:ln>
                      <a:noFill/>
                    </a:ln>
                  </pic:spPr>
                </pic:pic>
              </a:graphicData>
            </a:graphic>
          </wp:inline>
        </w:drawing>
      </w:r>
      <w:r>
        <w:drawing>
          <wp:inline distT="0" distB="0" distL="114300" distR="114300">
            <wp:extent cx="5000625" cy="6867525"/>
            <wp:effectExtent l="0" t="0" r="9525" b="952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26"/>
                    <a:stretch>
                      <a:fillRect/>
                    </a:stretch>
                  </pic:blipFill>
                  <pic:spPr>
                    <a:xfrm>
                      <a:off x="0" y="0"/>
                      <a:ext cx="5000625" cy="6867525"/>
                    </a:xfrm>
                    <a:prstGeom prst="rect">
                      <a:avLst/>
                    </a:prstGeom>
                    <a:noFill/>
                    <a:ln>
                      <a:noFill/>
                    </a:ln>
                  </pic:spPr>
                </pic:pic>
              </a:graphicData>
            </a:graphic>
          </wp:inline>
        </w:drawing>
      </w:r>
      <w:r>
        <w:drawing>
          <wp:inline distT="0" distB="0" distL="114300" distR="114300">
            <wp:extent cx="5000625" cy="6972300"/>
            <wp:effectExtent l="0" t="0" r="9525" b="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27"/>
                    <a:stretch>
                      <a:fillRect/>
                    </a:stretch>
                  </pic:blipFill>
                  <pic:spPr>
                    <a:xfrm>
                      <a:off x="0" y="0"/>
                      <a:ext cx="5000625" cy="6972300"/>
                    </a:xfrm>
                    <a:prstGeom prst="rect">
                      <a:avLst/>
                    </a:prstGeom>
                    <a:noFill/>
                    <a:ln>
                      <a:noFill/>
                    </a:ln>
                  </pic:spPr>
                </pic:pic>
              </a:graphicData>
            </a:graphic>
          </wp:inline>
        </w:drawing>
      </w:r>
      <w:r>
        <w:drawing>
          <wp:inline distT="0" distB="0" distL="114300" distR="114300">
            <wp:extent cx="4991100" cy="6991350"/>
            <wp:effectExtent l="0" t="0" r="0" b="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28"/>
                    <a:stretch>
                      <a:fillRect/>
                    </a:stretch>
                  </pic:blipFill>
                  <pic:spPr>
                    <a:xfrm>
                      <a:off x="0" y="0"/>
                      <a:ext cx="4991100" cy="6991350"/>
                    </a:xfrm>
                    <a:prstGeom prst="rect">
                      <a:avLst/>
                    </a:prstGeom>
                    <a:noFill/>
                    <a:ln>
                      <a:noFill/>
                    </a:ln>
                  </pic:spPr>
                </pic:pic>
              </a:graphicData>
            </a:graphic>
          </wp:inline>
        </w:drawing>
      </w:r>
      <w:r>
        <w:drawing>
          <wp:inline distT="0" distB="0" distL="114300" distR="114300">
            <wp:extent cx="5010150" cy="6972300"/>
            <wp:effectExtent l="0" t="0" r="0" b="0"/>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29"/>
                    <a:stretch>
                      <a:fillRect/>
                    </a:stretch>
                  </pic:blipFill>
                  <pic:spPr>
                    <a:xfrm>
                      <a:off x="0" y="0"/>
                      <a:ext cx="5010150" cy="6972300"/>
                    </a:xfrm>
                    <a:prstGeom prst="rect">
                      <a:avLst/>
                    </a:prstGeom>
                    <a:noFill/>
                    <a:ln>
                      <a:noFill/>
                    </a:ln>
                  </pic:spPr>
                </pic:pic>
              </a:graphicData>
            </a:graphic>
          </wp:inline>
        </w:drawing>
      </w:r>
      <w:r>
        <w:drawing>
          <wp:inline distT="0" distB="0" distL="114300" distR="114300">
            <wp:extent cx="5019675" cy="7019925"/>
            <wp:effectExtent l="0" t="0" r="9525" b="952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30"/>
                    <a:stretch>
                      <a:fillRect/>
                    </a:stretch>
                  </pic:blipFill>
                  <pic:spPr>
                    <a:xfrm>
                      <a:off x="0" y="0"/>
                      <a:ext cx="5019675" cy="7019925"/>
                    </a:xfrm>
                    <a:prstGeom prst="rect">
                      <a:avLst/>
                    </a:prstGeom>
                    <a:noFill/>
                    <a:ln>
                      <a:noFill/>
                    </a:ln>
                  </pic:spPr>
                </pic:pic>
              </a:graphicData>
            </a:graphic>
          </wp:inline>
        </w:drawing>
      </w:r>
      <w:r>
        <w:drawing>
          <wp:inline distT="0" distB="0" distL="114300" distR="114300">
            <wp:extent cx="4962525" cy="7010400"/>
            <wp:effectExtent l="0" t="0" r="9525" b="0"/>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31"/>
                    <a:stretch>
                      <a:fillRect/>
                    </a:stretch>
                  </pic:blipFill>
                  <pic:spPr>
                    <a:xfrm>
                      <a:off x="0" y="0"/>
                      <a:ext cx="4962525" cy="7010400"/>
                    </a:xfrm>
                    <a:prstGeom prst="rect">
                      <a:avLst/>
                    </a:prstGeom>
                    <a:noFill/>
                    <a:ln>
                      <a:noFill/>
                    </a:ln>
                  </pic:spPr>
                </pic:pic>
              </a:graphicData>
            </a:graphic>
          </wp:inline>
        </w:drawing>
      </w:r>
      <w:r>
        <w:drawing>
          <wp:inline distT="0" distB="0" distL="114300" distR="114300">
            <wp:extent cx="4972050" cy="6819900"/>
            <wp:effectExtent l="0" t="0" r="0" b="0"/>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1"/>
                    </pic:cNvPicPr>
                  </pic:nvPicPr>
                  <pic:blipFill>
                    <a:blip r:embed="rId32"/>
                    <a:stretch>
                      <a:fillRect/>
                    </a:stretch>
                  </pic:blipFill>
                  <pic:spPr>
                    <a:xfrm>
                      <a:off x="0" y="0"/>
                      <a:ext cx="4972050" cy="6819900"/>
                    </a:xfrm>
                    <a:prstGeom prst="rect">
                      <a:avLst/>
                    </a:prstGeom>
                    <a:noFill/>
                    <a:ln>
                      <a:noFill/>
                    </a:ln>
                  </pic:spPr>
                </pic:pic>
              </a:graphicData>
            </a:graphic>
          </wp:inline>
        </w:drawing>
      </w:r>
      <w:r>
        <w:drawing>
          <wp:inline distT="0" distB="0" distL="114300" distR="114300">
            <wp:extent cx="4953000" cy="6934200"/>
            <wp:effectExtent l="0" t="0" r="0" b="0"/>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33"/>
                    <a:stretch>
                      <a:fillRect/>
                    </a:stretch>
                  </pic:blipFill>
                  <pic:spPr>
                    <a:xfrm>
                      <a:off x="0" y="0"/>
                      <a:ext cx="4953000" cy="6934200"/>
                    </a:xfrm>
                    <a:prstGeom prst="rect">
                      <a:avLst/>
                    </a:prstGeom>
                    <a:noFill/>
                    <a:ln>
                      <a:noFill/>
                    </a:ln>
                  </pic:spPr>
                </pic:pic>
              </a:graphicData>
            </a:graphic>
          </wp:inline>
        </w:drawing>
      </w:r>
      <w:r>
        <w:drawing>
          <wp:inline distT="0" distB="0" distL="114300" distR="114300">
            <wp:extent cx="5029200" cy="7000875"/>
            <wp:effectExtent l="0" t="0" r="0" b="9525"/>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34"/>
                    <a:stretch>
                      <a:fillRect/>
                    </a:stretch>
                  </pic:blipFill>
                  <pic:spPr>
                    <a:xfrm>
                      <a:off x="0" y="0"/>
                      <a:ext cx="5029200" cy="7000875"/>
                    </a:xfrm>
                    <a:prstGeom prst="rect">
                      <a:avLst/>
                    </a:prstGeom>
                    <a:noFill/>
                    <a:ln>
                      <a:noFill/>
                    </a:ln>
                  </pic:spPr>
                </pic:pic>
              </a:graphicData>
            </a:graphic>
          </wp:inline>
        </w:drawing>
      </w:r>
      <w:r>
        <w:drawing>
          <wp:inline distT="0" distB="0" distL="114300" distR="114300">
            <wp:extent cx="5000625" cy="6800850"/>
            <wp:effectExtent l="0" t="0" r="9525" b="0"/>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35"/>
                    <a:stretch>
                      <a:fillRect/>
                    </a:stretch>
                  </pic:blipFill>
                  <pic:spPr>
                    <a:xfrm>
                      <a:off x="0" y="0"/>
                      <a:ext cx="5000625" cy="6800850"/>
                    </a:xfrm>
                    <a:prstGeom prst="rect">
                      <a:avLst/>
                    </a:prstGeom>
                    <a:noFill/>
                    <a:ln>
                      <a:noFill/>
                    </a:ln>
                  </pic:spPr>
                </pic:pic>
              </a:graphicData>
            </a:graphic>
          </wp:inline>
        </w:drawing>
      </w:r>
      <w:r>
        <w:drawing>
          <wp:inline distT="0" distB="0" distL="114300" distR="114300">
            <wp:extent cx="4933950" cy="6981825"/>
            <wp:effectExtent l="0" t="0" r="0" b="9525"/>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36"/>
                    <a:stretch>
                      <a:fillRect/>
                    </a:stretch>
                  </pic:blipFill>
                  <pic:spPr>
                    <a:xfrm>
                      <a:off x="0" y="0"/>
                      <a:ext cx="4933950" cy="6981825"/>
                    </a:xfrm>
                    <a:prstGeom prst="rect">
                      <a:avLst/>
                    </a:prstGeom>
                    <a:noFill/>
                    <a:ln>
                      <a:noFill/>
                    </a:ln>
                  </pic:spPr>
                </pic:pic>
              </a:graphicData>
            </a:graphic>
          </wp:inline>
        </w:drawing>
      </w:r>
      <w:r>
        <w:drawing>
          <wp:inline distT="0" distB="0" distL="114300" distR="114300">
            <wp:extent cx="5010150" cy="6838950"/>
            <wp:effectExtent l="0" t="0" r="0" b="0"/>
            <wp:docPr id="5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3"/>
                    <pic:cNvPicPr>
                      <a:picLocks noChangeAspect="1"/>
                    </pic:cNvPicPr>
                  </pic:nvPicPr>
                  <pic:blipFill>
                    <a:blip r:embed="rId37"/>
                    <a:stretch>
                      <a:fillRect/>
                    </a:stretch>
                  </pic:blipFill>
                  <pic:spPr>
                    <a:xfrm>
                      <a:off x="0" y="0"/>
                      <a:ext cx="5010150" cy="6838950"/>
                    </a:xfrm>
                    <a:prstGeom prst="rect">
                      <a:avLst/>
                    </a:prstGeom>
                    <a:noFill/>
                    <a:ln>
                      <a:noFill/>
                    </a:ln>
                  </pic:spPr>
                </pic:pic>
              </a:graphicData>
            </a:graphic>
          </wp:inline>
        </w:drawing>
      </w:r>
      <w:r>
        <w:drawing>
          <wp:inline distT="0" distB="0" distL="114300" distR="114300">
            <wp:extent cx="4962525" cy="6981825"/>
            <wp:effectExtent l="0" t="0" r="9525" b="9525"/>
            <wp:docPr id="5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4"/>
                    <pic:cNvPicPr>
                      <a:picLocks noChangeAspect="1"/>
                    </pic:cNvPicPr>
                  </pic:nvPicPr>
                  <pic:blipFill>
                    <a:blip r:embed="rId38"/>
                    <a:stretch>
                      <a:fillRect/>
                    </a:stretch>
                  </pic:blipFill>
                  <pic:spPr>
                    <a:xfrm>
                      <a:off x="0" y="0"/>
                      <a:ext cx="4962525" cy="6981825"/>
                    </a:xfrm>
                    <a:prstGeom prst="rect">
                      <a:avLst/>
                    </a:prstGeom>
                    <a:noFill/>
                    <a:ln>
                      <a:noFill/>
                    </a:ln>
                  </pic:spPr>
                </pic:pic>
              </a:graphicData>
            </a:graphic>
          </wp:inline>
        </w:drawing>
      </w:r>
      <w:r>
        <w:drawing>
          <wp:inline distT="0" distB="0" distL="114300" distR="114300">
            <wp:extent cx="4991100" cy="7019925"/>
            <wp:effectExtent l="0" t="0" r="0" b="9525"/>
            <wp:docPr id="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pic:cNvPicPr>
                      <a:picLocks noChangeAspect="1"/>
                    </pic:cNvPicPr>
                  </pic:nvPicPr>
                  <pic:blipFill>
                    <a:blip r:embed="rId39"/>
                    <a:stretch>
                      <a:fillRect/>
                    </a:stretch>
                  </pic:blipFill>
                  <pic:spPr>
                    <a:xfrm>
                      <a:off x="0" y="0"/>
                      <a:ext cx="4991100" cy="7019925"/>
                    </a:xfrm>
                    <a:prstGeom prst="rect">
                      <a:avLst/>
                    </a:prstGeom>
                    <a:noFill/>
                    <a:ln>
                      <a:noFill/>
                    </a:ln>
                  </pic:spPr>
                </pic:pic>
              </a:graphicData>
            </a:graphic>
          </wp:inline>
        </w:drawing>
      </w:r>
      <w:r>
        <w:drawing>
          <wp:inline distT="0" distB="0" distL="114300" distR="114300">
            <wp:extent cx="4943475" cy="6953250"/>
            <wp:effectExtent l="0" t="0" r="9525" b="0"/>
            <wp:docPr id="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pic:cNvPicPr>
                      <a:picLocks noChangeAspect="1"/>
                    </pic:cNvPicPr>
                  </pic:nvPicPr>
                  <pic:blipFill>
                    <a:blip r:embed="rId40"/>
                    <a:stretch>
                      <a:fillRect/>
                    </a:stretch>
                  </pic:blipFill>
                  <pic:spPr>
                    <a:xfrm>
                      <a:off x="0" y="0"/>
                      <a:ext cx="4943475" cy="6953250"/>
                    </a:xfrm>
                    <a:prstGeom prst="rect">
                      <a:avLst/>
                    </a:prstGeom>
                    <a:noFill/>
                    <a:ln>
                      <a:noFill/>
                    </a:ln>
                  </pic:spPr>
                </pic:pic>
              </a:graphicData>
            </a:graphic>
          </wp:inline>
        </w:drawing>
      </w:r>
      <w:r>
        <w:drawing>
          <wp:inline distT="0" distB="0" distL="114300" distR="114300">
            <wp:extent cx="5019675" cy="6991350"/>
            <wp:effectExtent l="0" t="0" r="9525" b="0"/>
            <wp:docPr id="6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7"/>
                    <pic:cNvPicPr>
                      <a:picLocks noChangeAspect="1"/>
                    </pic:cNvPicPr>
                  </pic:nvPicPr>
                  <pic:blipFill>
                    <a:blip r:embed="rId41"/>
                    <a:stretch>
                      <a:fillRect/>
                    </a:stretch>
                  </pic:blipFill>
                  <pic:spPr>
                    <a:xfrm>
                      <a:off x="0" y="0"/>
                      <a:ext cx="5019675" cy="6991350"/>
                    </a:xfrm>
                    <a:prstGeom prst="rect">
                      <a:avLst/>
                    </a:prstGeom>
                    <a:noFill/>
                    <a:ln>
                      <a:noFill/>
                    </a:ln>
                  </pic:spPr>
                </pic:pic>
              </a:graphicData>
            </a:graphic>
          </wp:inline>
        </w:drawing>
      </w:r>
      <w:r>
        <w:drawing>
          <wp:inline distT="0" distB="0" distL="114300" distR="114300">
            <wp:extent cx="5048250" cy="6877050"/>
            <wp:effectExtent l="0" t="0" r="0" b="0"/>
            <wp:docPr id="6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8"/>
                    <pic:cNvPicPr>
                      <a:picLocks noChangeAspect="1"/>
                    </pic:cNvPicPr>
                  </pic:nvPicPr>
                  <pic:blipFill>
                    <a:blip r:embed="rId42"/>
                    <a:stretch>
                      <a:fillRect/>
                    </a:stretch>
                  </pic:blipFill>
                  <pic:spPr>
                    <a:xfrm>
                      <a:off x="0" y="0"/>
                      <a:ext cx="5048250" cy="6877050"/>
                    </a:xfrm>
                    <a:prstGeom prst="rect">
                      <a:avLst/>
                    </a:prstGeom>
                    <a:noFill/>
                    <a:ln>
                      <a:noFill/>
                    </a:ln>
                  </pic:spPr>
                </pic:pic>
              </a:graphicData>
            </a:graphic>
          </wp:inline>
        </w:drawing>
      </w:r>
      <w:r>
        <w:drawing>
          <wp:inline distT="0" distB="0" distL="114300" distR="114300">
            <wp:extent cx="5019675" cy="7096125"/>
            <wp:effectExtent l="0" t="0" r="9525" b="9525"/>
            <wp:docPr id="6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9"/>
                    <pic:cNvPicPr>
                      <a:picLocks noChangeAspect="1"/>
                    </pic:cNvPicPr>
                  </pic:nvPicPr>
                  <pic:blipFill>
                    <a:blip r:embed="rId43"/>
                    <a:stretch>
                      <a:fillRect/>
                    </a:stretch>
                  </pic:blipFill>
                  <pic:spPr>
                    <a:xfrm>
                      <a:off x="0" y="0"/>
                      <a:ext cx="5019675" cy="7096125"/>
                    </a:xfrm>
                    <a:prstGeom prst="rect">
                      <a:avLst/>
                    </a:prstGeom>
                    <a:noFill/>
                    <a:ln>
                      <a:noFill/>
                    </a:ln>
                  </pic:spPr>
                </pic:pic>
              </a:graphicData>
            </a:graphic>
          </wp:inline>
        </w:drawing>
      </w:r>
      <w:r>
        <w:drawing>
          <wp:inline distT="0" distB="0" distL="114300" distR="114300">
            <wp:extent cx="4962525" cy="6972300"/>
            <wp:effectExtent l="0" t="0" r="9525" b="0"/>
            <wp:docPr id="6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0"/>
                    <pic:cNvPicPr>
                      <a:picLocks noChangeAspect="1"/>
                    </pic:cNvPicPr>
                  </pic:nvPicPr>
                  <pic:blipFill>
                    <a:blip r:embed="rId44"/>
                    <a:stretch>
                      <a:fillRect/>
                    </a:stretch>
                  </pic:blipFill>
                  <pic:spPr>
                    <a:xfrm>
                      <a:off x="0" y="0"/>
                      <a:ext cx="4962525" cy="6972300"/>
                    </a:xfrm>
                    <a:prstGeom prst="rect">
                      <a:avLst/>
                    </a:prstGeom>
                    <a:noFill/>
                    <a:ln>
                      <a:noFill/>
                    </a:ln>
                  </pic:spPr>
                </pic:pic>
              </a:graphicData>
            </a:graphic>
          </wp:inline>
        </w:drawing>
      </w:r>
      <w:r>
        <w:drawing>
          <wp:inline distT="0" distB="0" distL="114300" distR="114300">
            <wp:extent cx="5010150" cy="6915150"/>
            <wp:effectExtent l="0" t="0" r="0" b="0"/>
            <wp:docPr id="6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1"/>
                    <pic:cNvPicPr>
                      <a:picLocks noChangeAspect="1"/>
                    </pic:cNvPicPr>
                  </pic:nvPicPr>
                  <pic:blipFill>
                    <a:blip r:embed="rId45"/>
                    <a:stretch>
                      <a:fillRect/>
                    </a:stretch>
                  </pic:blipFill>
                  <pic:spPr>
                    <a:xfrm>
                      <a:off x="0" y="0"/>
                      <a:ext cx="5010150" cy="6915150"/>
                    </a:xfrm>
                    <a:prstGeom prst="rect">
                      <a:avLst/>
                    </a:prstGeom>
                    <a:noFill/>
                    <a:ln>
                      <a:noFill/>
                    </a:ln>
                  </pic:spPr>
                </pic:pic>
              </a:graphicData>
            </a:graphic>
          </wp:inline>
        </w:drawing>
      </w:r>
      <w:r>
        <w:drawing>
          <wp:inline distT="0" distB="0" distL="114300" distR="114300">
            <wp:extent cx="5019675" cy="7077075"/>
            <wp:effectExtent l="0" t="0" r="9525" b="9525"/>
            <wp:docPr id="6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2"/>
                    <pic:cNvPicPr>
                      <a:picLocks noChangeAspect="1"/>
                    </pic:cNvPicPr>
                  </pic:nvPicPr>
                  <pic:blipFill>
                    <a:blip r:embed="rId46"/>
                    <a:stretch>
                      <a:fillRect/>
                    </a:stretch>
                  </pic:blipFill>
                  <pic:spPr>
                    <a:xfrm>
                      <a:off x="0" y="0"/>
                      <a:ext cx="5019675" cy="7077075"/>
                    </a:xfrm>
                    <a:prstGeom prst="rect">
                      <a:avLst/>
                    </a:prstGeom>
                    <a:noFill/>
                    <a:ln>
                      <a:noFill/>
                    </a:ln>
                  </pic:spPr>
                </pic:pic>
              </a:graphicData>
            </a:graphic>
          </wp:inline>
        </w:drawing>
      </w:r>
      <w:r>
        <w:drawing>
          <wp:inline distT="0" distB="0" distL="114300" distR="114300">
            <wp:extent cx="4991100" cy="6905625"/>
            <wp:effectExtent l="0" t="0" r="0" b="9525"/>
            <wp:docPr id="6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3"/>
                    <pic:cNvPicPr>
                      <a:picLocks noChangeAspect="1"/>
                    </pic:cNvPicPr>
                  </pic:nvPicPr>
                  <pic:blipFill>
                    <a:blip r:embed="rId47"/>
                    <a:stretch>
                      <a:fillRect/>
                    </a:stretch>
                  </pic:blipFill>
                  <pic:spPr>
                    <a:xfrm>
                      <a:off x="0" y="0"/>
                      <a:ext cx="4991100" cy="6905625"/>
                    </a:xfrm>
                    <a:prstGeom prst="rect">
                      <a:avLst/>
                    </a:prstGeom>
                    <a:noFill/>
                    <a:ln>
                      <a:noFill/>
                    </a:ln>
                  </pic:spPr>
                </pic:pic>
              </a:graphicData>
            </a:graphic>
          </wp:inline>
        </w:drawing>
      </w:r>
      <w:r>
        <w:drawing>
          <wp:inline distT="0" distB="0" distL="114300" distR="114300">
            <wp:extent cx="4943475" cy="7048500"/>
            <wp:effectExtent l="0" t="0" r="9525" b="0"/>
            <wp:docPr id="6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4"/>
                    <pic:cNvPicPr>
                      <a:picLocks noChangeAspect="1"/>
                    </pic:cNvPicPr>
                  </pic:nvPicPr>
                  <pic:blipFill>
                    <a:blip r:embed="rId48"/>
                    <a:stretch>
                      <a:fillRect/>
                    </a:stretch>
                  </pic:blipFill>
                  <pic:spPr>
                    <a:xfrm>
                      <a:off x="0" y="0"/>
                      <a:ext cx="4943475" cy="7048500"/>
                    </a:xfrm>
                    <a:prstGeom prst="rect">
                      <a:avLst/>
                    </a:prstGeom>
                    <a:noFill/>
                    <a:ln>
                      <a:noFill/>
                    </a:ln>
                  </pic:spPr>
                </pic:pic>
              </a:graphicData>
            </a:graphic>
          </wp:inline>
        </w:drawing>
      </w:r>
      <w:r>
        <w:drawing>
          <wp:inline distT="0" distB="0" distL="114300" distR="114300">
            <wp:extent cx="4981575" cy="6753225"/>
            <wp:effectExtent l="0" t="0" r="9525" b="9525"/>
            <wp:docPr id="7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5"/>
                    <pic:cNvPicPr>
                      <a:picLocks noChangeAspect="1"/>
                    </pic:cNvPicPr>
                  </pic:nvPicPr>
                  <pic:blipFill>
                    <a:blip r:embed="rId49"/>
                    <a:stretch>
                      <a:fillRect/>
                    </a:stretch>
                  </pic:blipFill>
                  <pic:spPr>
                    <a:xfrm>
                      <a:off x="0" y="0"/>
                      <a:ext cx="4981575" cy="6753225"/>
                    </a:xfrm>
                    <a:prstGeom prst="rect">
                      <a:avLst/>
                    </a:prstGeom>
                    <a:noFill/>
                    <a:ln>
                      <a:noFill/>
                    </a:ln>
                  </pic:spPr>
                </pic:pic>
              </a:graphicData>
            </a:graphic>
          </wp:inline>
        </w:drawing>
      </w:r>
      <w:r>
        <w:drawing>
          <wp:inline distT="0" distB="0" distL="114300" distR="114300">
            <wp:extent cx="4991100" cy="6848475"/>
            <wp:effectExtent l="0" t="0" r="0" b="9525"/>
            <wp:docPr id="7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6"/>
                    <pic:cNvPicPr>
                      <a:picLocks noChangeAspect="1"/>
                    </pic:cNvPicPr>
                  </pic:nvPicPr>
                  <pic:blipFill>
                    <a:blip r:embed="rId50"/>
                    <a:stretch>
                      <a:fillRect/>
                    </a:stretch>
                  </pic:blipFill>
                  <pic:spPr>
                    <a:xfrm>
                      <a:off x="0" y="0"/>
                      <a:ext cx="4991100" cy="6848475"/>
                    </a:xfrm>
                    <a:prstGeom prst="rect">
                      <a:avLst/>
                    </a:prstGeom>
                    <a:noFill/>
                    <a:ln>
                      <a:noFill/>
                    </a:ln>
                  </pic:spPr>
                </pic:pic>
              </a:graphicData>
            </a:graphic>
          </wp:inline>
        </w:drawing>
      </w:r>
      <w:r>
        <w:drawing>
          <wp:inline distT="0" distB="0" distL="114300" distR="114300">
            <wp:extent cx="5029200" cy="6915150"/>
            <wp:effectExtent l="0" t="0" r="0" b="0"/>
            <wp:docPr id="7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7"/>
                    <pic:cNvPicPr>
                      <a:picLocks noChangeAspect="1"/>
                    </pic:cNvPicPr>
                  </pic:nvPicPr>
                  <pic:blipFill>
                    <a:blip r:embed="rId51"/>
                    <a:stretch>
                      <a:fillRect/>
                    </a:stretch>
                  </pic:blipFill>
                  <pic:spPr>
                    <a:xfrm>
                      <a:off x="0" y="0"/>
                      <a:ext cx="5029200" cy="6915150"/>
                    </a:xfrm>
                    <a:prstGeom prst="rect">
                      <a:avLst/>
                    </a:prstGeom>
                    <a:noFill/>
                    <a:ln>
                      <a:noFill/>
                    </a:ln>
                  </pic:spPr>
                </pic:pic>
              </a:graphicData>
            </a:graphic>
          </wp:inline>
        </w:drawing>
      </w:r>
      <w:r>
        <w:drawing>
          <wp:inline distT="0" distB="0" distL="114300" distR="114300">
            <wp:extent cx="4895850" cy="6905625"/>
            <wp:effectExtent l="0" t="0" r="0" b="9525"/>
            <wp:docPr id="7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8"/>
                    <pic:cNvPicPr>
                      <a:picLocks noChangeAspect="1"/>
                    </pic:cNvPicPr>
                  </pic:nvPicPr>
                  <pic:blipFill>
                    <a:blip r:embed="rId52"/>
                    <a:stretch>
                      <a:fillRect/>
                    </a:stretch>
                  </pic:blipFill>
                  <pic:spPr>
                    <a:xfrm>
                      <a:off x="0" y="0"/>
                      <a:ext cx="4895850" cy="6905625"/>
                    </a:xfrm>
                    <a:prstGeom prst="rect">
                      <a:avLst/>
                    </a:prstGeom>
                    <a:noFill/>
                    <a:ln>
                      <a:noFill/>
                    </a:ln>
                  </pic:spPr>
                </pic:pic>
              </a:graphicData>
            </a:graphic>
          </wp:inline>
        </w:drawing>
      </w:r>
      <w:r>
        <w:drawing>
          <wp:inline distT="0" distB="0" distL="114300" distR="114300">
            <wp:extent cx="4991100" cy="7086600"/>
            <wp:effectExtent l="0" t="0" r="0" b="0"/>
            <wp:docPr id="7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9"/>
                    <pic:cNvPicPr>
                      <a:picLocks noChangeAspect="1"/>
                    </pic:cNvPicPr>
                  </pic:nvPicPr>
                  <pic:blipFill>
                    <a:blip r:embed="rId53"/>
                    <a:stretch>
                      <a:fillRect/>
                    </a:stretch>
                  </pic:blipFill>
                  <pic:spPr>
                    <a:xfrm>
                      <a:off x="0" y="0"/>
                      <a:ext cx="4991100" cy="7086600"/>
                    </a:xfrm>
                    <a:prstGeom prst="rect">
                      <a:avLst/>
                    </a:prstGeom>
                    <a:noFill/>
                    <a:ln>
                      <a:noFill/>
                    </a:ln>
                  </pic:spPr>
                </pic:pic>
              </a:graphicData>
            </a:graphic>
          </wp:inline>
        </w:drawing>
      </w:r>
      <w:r>
        <w:drawing>
          <wp:inline distT="0" distB="0" distL="114300" distR="114300">
            <wp:extent cx="4981575" cy="6762750"/>
            <wp:effectExtent l="0" t="0" r="9525" b="0"/>
            <wp:docPr id="7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0"/>
                    <pic:cNvPicPr>
                      <a:picLocks noChangeAspect="1"/>
                    </pic:cNvPicPr>
                  </pic:nvPicPr>
                  <pic:blipFill>
                    <a:blip r:embed="rId54"/>
                    <a:stretch>
                      <a:fillRect/>
                    </a:stretch>
                  </pic:blipFill>
                  <pic:spPr>
                    <a:xfrm>
                      <a:off x="0" y="0"/>
                      <a:ext cx="4981575" cy="6762750"/>
                    </a:xfrm>
                    <a:prstGeom prst="rect">
                      <a:avLst/>
                    </a:prstGeom>
                    <a:noFill/>
                    <a:ln>
                      <a:noFill/>
                    </a:ln>
                  </pic:spPr>
                </pic:pic>
              </a:graphicData>
            </a:graphic>
          </wp:inline>
        </w:drawing>
      </w:r>
      <w:r>
        <w:drawing>
          <wp:inline distT="0" distB="0" distL="114300" distR="114300">
            <wp:extent cx="4943475" cy="7058025"/>
            <wp:effectExtent l="0" t="0" r="9525" b="9525"/>
            <wp:docPr id="7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1"/>
                    <pic:cNvPicPr>
                      <a:picLocks noChangeAspect="1"/>
                    </pic:cNvPicPr>
                  </pic:nvPicPr>
                  <pic:blipFill>
                    <a:blip r:embed="rId55"/>
                    <a:stretch>
                      <a:fillRect/>
                    </a:stretch>
                  </pic:blipFill>
                  <pic:spPr>
                    <a:xfrm>
                      <a:off x="0" y="0"/>
                      <a:ext cx="4943475" cy="7058025"/>
                    </a:xfrm>
                    <a:prstGeom prst="rect">
                      <a:avLst/>
                    </a:prstGeom>
                    <a:noFill/>
                    <a:ln>
                      <a:noFill/>
                    </a:ln>
                  </pic:spPr>
                </pic:pic>
              </a:graphicData>
            </a:graphic>
          </wp:inline>
        </w:drawing>
      </w:r>
      <w:r>
        <w:drawing>
          <wp:inline distT="0" distB="0" distL="114300" distR="114300">
            <wp:extent cx="5057775" cy="6972300"/>
            <wp:effectExtent l="0" t="0" r="9525" b="0"/>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56"/>
                    <a:stretch>
                      <a:fillRect/>
                    </a:stretch>
                  </pic:blipFill>
                  <pic:spPr>
                    <a:xfrm>
                      <a:off x="0" y="0"/>
                      <a:ext cx="5057775" cy="6972300"/>
                    </a:xfrm>
                    <a:prstGeom prst="rect">
                      <a:avLst/>
                    </a:prstGeom>
                    <a:noFill/>
                    <a:ln>
                      <a:noFill/>
                    </a:ln>
                  </pic:spPr>
                </pic:pic>
              </a:graphicData>
            </a:graphic>
          </wp:inline>
        </w:drawing>
      </w:r>
      <w:r>
        <w:drawing>
          <wp:inline distT="0" distB="0" distL="114300" distR="114300">
            <wp:extent cx="5029200" cy="6943725"/>
            <wp:effectExtent l="0" t="0" r="0" b="9525"/>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57"/>
                    <a:stretch>
                      <a:fillRect/>
                    </a:stretch>
                  </pic:blipFill>
                  <pic:spPr>
                    <a:xfrm>
                      <a:off x="0" y="0"/>
                      <a:ext cx="5029200" cy="6943725"/>
                    </a:xfrm>
                    <a:prstGeom prst="rect">
                      <a:avLst/>
                    </a:prstGeom>
                    <a:noFill/>
                    <a:ln>
                      <a:noFill/>
                    </a:ln>
                  </pic:spPr>
                </pic:pic>
              </a:graphicData>
            </a:graphic>
          </wp:inline>
        </w:drawing>
      </w:r>
      <w:r>
        <w:drawing>
          <wp:inline distT="0" distB="0" distL="114300" distR="114300">
            <wp:extent cx="4953000" cy="6962775"/>
            <wp:effectExtent l="0" t="0" r="0" b="9525"/>
            <wp:docPr id="7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4"/>
                    <pic:cNvPicPr>
                      <a:picLocks noChangeAspect="1"/>
                    </pic:cNvPicPr>
                  </pic:nvPicPr>
                  <pic:blipFill>
                    <a:blip r:embed="rId58"/>
                    <a:stretch>
                      <a:fillRect/>
                    </a:stretch>
                  </pic:blipFill>
                  <pic:spPr>
                    <a:xfrm>
                      <a:off x="0" y="0"/>
                      <a:ext cx="4953000" cy="6962775"/>
                    </a:xfrm>
                    <a:prstGeom prst="rect">
                      <a:avLst/>
                    </a:prstGeom>
                    <a:noFill/>
                    <a:ln>
                      <a:noFill/>
                    </a:ln>
                  </pic:spPr>
                </pic:pic>
              </a:graphicData>
            </a:graphic>
          </wp:inline>
        </w:drawing>
      </w:r>
      <w:r>
        <w:drawing>
          <wp:inline distT="0" distB="0" distL="114300" distR="114300">
            <wp:extent cx="5029200" cy="6886575"/>
            <wp:effectExtent l="0" t="0" r="0" b="9525"/>
            <wp:docPr id="8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5"/>
                    <pic:cNvPicPr>
                      <a:picLocks noChangeAspect="1"/>
                    </pic:cNvPicPr>
                  </pic:nvPicPr>
                  <pic:blipFill>
                    <a:blip r:embed="rId59"/>
                    <a:stretch>
                      <a:fillRect/>
                    </a:stretch>
                  </pic:blipFill>
                  <pic:spPr>
                    <a:xfrm>
                      <a:off x="0" y="0"/>
                      <a:ext cx="5029200" cy="6886575"/>
                    </a:xfrm>
                    <a:prstGeom prst="rect">
                      <a:avLst/>
                    </a:prstGeom>
                    <a:noFill/>
                    <a:ln>
                      <a:noFill/>
                    </a:ln>
                  </pic:spPr>
                </pic:pic>
              </a:graphicData>
            </a:graphic>
          </wp:inline>
        </w:drawing>
      </w:r>
      <w:r>
        <w:drawing>
          <wp:inline distT="0" distB="0" distL="114300" distR="114300">
            <wp:extent cx="4962525" cy="7038975"/>
            <wp:effectExtent l="0" t="0" r="9525" b="9525"/>
            <wp:docPr id="8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6"/>
                    <pic:cNvPicPr>
                      <a:picLocks noChangeAspect="1"/>
                    </pic:cNvPicPr>
                  </pic:nvPicPr>
                  <pic:blipFill>
                    <a:blip r:embed="rId60"/>
                    <a:stretch>
                      <a:fillRect/>
                    </a:stretch>
                  </pic:blipFill>
                  <pic:spPr>
                    <a:xfrm>
                      <a:off x="0" y="0"/>
                      <a:ext cx="4962525" cy="7038975"/>
                    </a:xfrm>
                    <a:prstGeom prst="rect">
                      <a:avLst/>
                    </a:prstGeom>
                    <a:noFill/>
                    <a:ln>
                      <a:noFill/>
                    </a:ln>
                  </pic:spPr>
                </pic:pic>
              </a:graphicData>
            </a:graphic>
          </wp:inline>
        </w:drawing>
      </w:r>
      <w:r>
        <w:drawing>
          <wp:inline distT="0" distB="0" distL="114300" distR="114300">
            <wp:extent cx="4867275" cy="6743700"/>
            <wp:effectExtent l="0" t="0" r="9525" b="0"/>
            <wp:docPr id="8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7"/>
                    <pic:cNvPicPr>
                      <a:picLocks noChangeAspect="1"/>
                    </pic:cNvPicPr>
                  </pic:nvPicPr>
                  <pic:blipFill>
                    <a:blip r:embed="rId61"/>
                    <a:stretch>
                      <a:fillRect/>
                    </a:stretch>
                  </pic:blipFill>
                  <pic:spPr>
                    <a:xfrm>
                      <a:off x="0" y="0"/>
                      <a:ext cx="4867275" cy="6743700"/>
                    </a:xfrm>
                    <a:prstGeom prst="rect">
                      <a:avLst/>
                    </a:prstGeom>
                    <a:noFill/>
                    <a:ln>
                      <a:noFill/>
                    </a:ln>
                  </pic:spPr>
                </pic:pic>
              </a:graphicData>
            </a:graphic>
          </wp:inline>
        </w:drawing>
      </w:r>
      <w:r>
        <w:drawing>
          <wp:inline distT="0" distB="0" distL="114300" distR="114300">
            <wp:extent cx="4924425" cy="6886575"/>
            <wp:effectExtent l="0" t="0" r="9525" b="9525"/>
            <wp:docPr id="8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8"/>
                    <pic:cNvPicPr>
                      <a:picLocks noChangeAspect="1"/>
                    </pic:cNvPicPr>
                  </pic:nvPicPr>
                  <pic:blipFill>
                    <a:blip r:embed="rId62"/>
                    <a:stretch>
                      <a:fillRect/>
                    </a:stretch>
                  </pic:blipFill>
                  <pic:spPr>
                    <a:xfrm>
                      <a:off x="0" y="0"/>
                      <a:ext cx="4924425" cy="6886575"/>
                    </a:xfrm>
                    <a:prstGeom prst="rect">
                      <a:avLst/>
                    </a:prstGeom>
                    <a:noFill/>
                    <a:ln>
                      <a:noFill/>
                    </a:ln>
                  </pic:spPr>
                </pic:pic>
              </a:graphicData>
            </a:graphic>
          </wp:inline>
        </w:drawing>
      </w:r>
      <w:r>
        <w:drawing>
          <wp:inline distT="0" distB="0" distL="114300" distR="114300">
            <wp:extent cx="4981575" cy="7048500"/>
            <wp:effectExtent l="0" t="0" r="9525" b="0"/>
            <wp:docPr id="8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9"/>
                    <pic:cNvPicPr>
                      <a:picLocks noChangeAspect="1"/>
                    </pic:cNvPicPr>
                  </pic:nvPicPr>
                  <pic:blipFill>
                    <a:blip r:embed="rId63"/>
                    <a:stretch>
                      <a:fillRect/>
                    </a:stretch>
                  </pic:blipFill>
                  <pic:spPr>
                    <a:xfrm>
                      <a:off x="0" y="0"/>
                      <a:ext cx="4981575" cy="7048500"/>
                    </a:xfrm>
                    <a:prstGeom prst="rect">
                      <a:avLst/>
                    </a:prstGeom>
                    <a:noFill/>
                    <a:ln>
                      <a:noFill/>
                    </a:ln>
                  </pic:spPr>
                </pic:pic>
              </a:graphicData>
            </a:graphic>
          </wp:inline>
        </w:drawing>
      </w:r>
    </w:p>
    <w:p>
      <w:pPr>
        <w:rPr>
          <w:rFonts w:hint="default"/>
          <w:lang w:val="en-US" w:eastAsia="zh-CN"/>
        </w:rPr>
      </w:pPr>
      <w:r>
        <w:rPr>
          <w:rFonts w:hint="default"/>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lang w:val="en-US" w:eastAsia="zh-CN"/>
        </w:rPr>
      </w:pPr>
      <w:bookmarkStart w:id="94" w:name="_Toc10237"/>
      <w:r>
        <w:rPr>
          <w:rFonts w:hint="eastAsia"/>
          <w:lang w:val="en-US" w:eastAsia="zh-CN"/>
        </w:rPr>
        <w:t>附件五：验收意见</w:t>
      </w:r>
      <w:bookmarkEnd w:id="9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lang w:val="en-US" w:eastAsia="zh-CN"/>
        </w:rPr>
      </w:pPr>
      <w:r>
        <w:drawing>
          <wp:inline distT="0" distB="0" distL="114300" distR="114300">
            <wp:extent cx="4838700" cy="704850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64"/>
                    <a:stretch>
                      <a:fillRect/>
                    </a:stretch>
                  </pic:blipFill>
                  <pic:spPr>
                    <a:xfrm>
                      <a:off x="0" y="0"/>
                      <a:ext cx="4838700" cy="7048500"/>
                    </a:xfrm>
                    <a:prstGeom prst="rect">
                      <a:avLst/>
                    </a:prstGeom>
                    <a:noFill/>
                    <a:ln>
                      <a:noFill/>
                    </a:ln>
                  </pic:spPr>
                </pic:pic>
              </a:graphicData>
            </a:graphic>
          </wp:inline>
        </w:drawing>
      </w:r>
      <w:r>
        <w:drawing>
          <wp:inline distT="0" distB="0" distL="114300" distR="114300">
            <wp:extent cx="4667250" cy="6934200"/>
            <wp:effectExtent l="0" t="0" r="0"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65"/>
                    <a:stretch>
                      <a:fillRect/>
                    </a:stretch>
                  </pic:blipFill>
                  <pic:spPr>
                    <a:xfrm>
                      <a:off x="0" y="0"/>
                      <a:ext cx="4667250" cy="6934200"/>
                    </a:xfrm>
                    <a:prstGeom prst="rect">
                      <a:avLst/>
                    </a:prstGeom>
                    <a:noFill/>
                    <a:ln>
                      <a:noFill/>
                    </a:ln>
                  </pic:spPr>
                </pic:pic>
              </a:graphicData>
            </a:graphic>
          </wp:inline>
        </w:drawing>
      </w:r>
      <w:r>
        <w:drawing>
          <wp:inline distT="0" distB="0" distL="114300" distR="114300">
            <wp:extent cx="4257675" cy="6600825"/>
            <wp:effectExtent l="0" t="0" r="9525" b="952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66"/>
                    <a:stretch>
                      <a:fillRect/>
                    </a:stretch>
                  </pic:blipFill>
                  <pic:spPr>
                    <a:xfrm>
                      <a:off x="0" y="0"/>
                      <a:ext cx="4257675" cy="6600825"/>
                    </a:xfrm>
                    <a:prstGeom prst="rect">
                      <a:avLst/>
                    </a:prstGeom>
                    <a:noFill/>
                    <a:ln>
                      <a:noFill/>
                    </a:ln>
                  </pic:spPr>
                </pic:pic>
              </a:graphicData>
            </a:graphic>
          </wp:inline>
        </w:drawing>
      </w:r>
      <w:r>
        <w:drawing>
          <wp:inline distT="0" distB="0" distL="114300" distR="114300">
            <wp:extent cx="5273675" cy="4533900"/>
            <wp:effectExtent l="0" t="0" r="3175"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67"/>
                    <a:stretch>
                      <a:fillRect/>
                    </a:stretch>
                  </pic:blipFill>
                  <pic:spPr>
                    <a:xfrm>
                      <a:off x="0" y="0"/>
                      <a:ext cx="5273675" cy="4533900"/>
                    </a:xfrm>
                    <a:prstGeom prst="rect">
                      <a:avLst/>
                    </a:prstGeom>
                    <a:noFill/>
                    <a:ln>
                      <a:noFill/>
                    </a:ln>
                  </pic:spPr>
                </pic:pic>
              </a:graphicData>
            </a:graphic>
          </wp:inline>
        </w:drawing>
      </w:r>
    </w:p>
    <w:sectPr>
      <w:pgSz w:w="11906" w:h="16838"/>
      <w:pgMar w:top="1440" w:right="1800" w:bottom="1440" w:left="1800" w:header="850"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MingLiU">
    <w:panose1 w:val="02020509000000000000"/>
    <w:charset w:val="88"/>
    <w:family w:val="auto"/>
    <w:pitch w:val="default"/>
    <w:sig w:usb0="A00002FF" w:usb1="28CFFCFA" w:usb2="00000016" w:usb3="00000000" w:csb0="0010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Calibri">
    <w:panose1 w:val="020F0502020204030204"/>
    <w:charset w:val="00"/>
    <w:family w:val="auto"/>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r>
                            <w:rPr>
                              <w:rFonts w:hint="eastAsia"/>
                              <w:lang w:eastAsia="zh-CN"/>
                            </w:rPr>
                            <w:t xml:space="preserve"> 页 共 </w:t>
                          </w:r>
                          <w:r>
                            <w:rPr>
                              <w:rFonts w:hint="eastAsia"/>
                              <w:lang w:val="en-US" w:eastAsia="zh-CN"/>
                            </w:rPr>
                            <w:t>99</w:t>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r>
                      <w:rPr>
                        <w:rFonts w:hint="eastAsia"/>
                        <w:lang w:eastAsia="zh-CN"/>
                      </w:rPr>
                      <w:t xml:space="preserve"> 页 共 </w:t>
                    </w:r>
                    <w:r>
                      <w:rPr>
                        <w:rFonts w:hint="eastAsia"/>
                        <w:lang w:val="en-US" w:eastAsia="zh-CN"/>
                      </w:rPr>
                      <w:t>99</w:t>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single" w:color="auto" w:sz="4" w:space="1"/>
      </w:pBdr>
      <w:jc w:val="center"/>
    </w:pPr>
    <w:r>
      <w:rPr>
        <w:rFonts w:hint="eastAsia" w:ascii="Times New Roman" w:hAnsi="Times New Roman" w:eastAsia="宋体" w:cs="Times New Roman"/>
        <w:sz w:val="18"/>
        <w:szCs w:val="18"/>
        <w:lang w:val="en-US" w:eastAsia="zh-CN"/>
      </w:rPr>
      <w:t>沙文生态科技产业园苏庄路道路工程竣工环境保护验收调查报告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31E6CA"/>
    <w:multiLevelType w:val="singleLevel"/>
    <w:tmpl w:val="8031E6CA"/>
    <w:lvl w:ilvl="0" w:tentative="0">
      <w:start w:val="1"/>
      <w:numFmt w:val="chineseCounting"/>
      <w:suff w:val="nothing"/>
      <w:lvlText w:val="%1、"/>
      <w:lvlJc w:val="left"/>
      <w:rPr>
        <w:rFonts w:hint="eastAsia"/>
      </w:rPr>
    </w:lvl>
  </w:abstractNum>
  <w:abstractNum w:abstractNumId="1">
    <w:nsid w:val="88B31472"/>
    <w:multiLevelType w:val="singleLevel"/>
    <w:tmpl w:val="88B31472"/>
    <w:lvl w:ilvl="0" w:tentative="0">
      <w:start w:val="1"/>
      <w:numFmt w:val="decimal"/>
      <w:suff w:val="nothing"/>
      <w:lvlText w:val="（%1）"/>
      <w:lvlJc w:val="left"/>
    </w:lvl>
  </w:abstractNum>
  <w:abstractNum w:abstractNumId="2">
    <w:nsid w:val="977FCFCB"/>
    <w:multiLevelType w:val="singleLevel"/>
    <w:tmpl w:val="977FCFCB"/>
    <w:lvl w:ilvl="0" w:tentative="0">
      <w:start w:val="1"/>
      <w:numFmt w:val="decimal"/>
      <w:suff w:val="nothing"/>
      <w:lvlText w:val="（%1）"/>
      <w:lvlJc w:val="left"/>
    </w:lvl>
  </w:abstractNum>
  <w:abstractNum w:abstractNumId="3">
    <w:nsid w:val="B7DF6232"/>
    <w:multiLevelType w:val="singleLevel"/>
    <w:tmpl w:val="B7DF6232"/>
    <w:lvl w:ilvl="0" w:tentative="0">
      <w:start w:val="1"/>
      <w:numFmt w:val="decimal"/>
      <w:suff w:val="nothing"/>
      <w:lvlText w:val="（%1）"/>
      <w:lvlJc w:val="left"/>
    </w:lvl>
  </w:abstractNum>
  <w:abstractNum w:abstractNumId="4">
    <w:nsid w:val="BC2ED5BA"/>
    <w:multiLevelType w:val="singleLevel"/>
    <w:tmpl w:val="BC2ED5BA"/>
    <w:lvl w:ilvl="0" w:tentative="0">
      <w:start w:val="1"/>
      <w:numFmt w:val="decimal"/>
      <w:suff w:val="nothing"/>
      <w:lvlText w:val="（%1）"/>
      <w:lvlJc w:val="left"/>
    </w:lvl>
  </w:abstractNum>
  <w:abstractNum w:abstractNumId="5">
    <w:nsid w:val="C92215F2"/>
    <w:multiLevelType w:val="singleLevel"/>
    <w:tmpl w:val="C92215F2"/>
    <w:lvl w:ilvl="0" w:tentative="0">
      <w:start w:val="1"/>
      <w:numFmt w:val="decimal"/>
      <w:suff w:val="nothing"/>
      <w:lvlText w:val="（%1）"/>
      <w:lvlJc w:val="left"/>
    </w:lvl>
  </w:abstractNum>
  <w:abstractNum w:abstractNumId="6">
    <w:nsid w:val="D85C04E6"/>
    <w:multiLevelType w:val="singleLevel"/>
    <w:tmpl w:val="D85C04E6"/>
    <w:lvl w:ilvl="0" w:tentative="0">
      <w:start w:val="1"/>
      <w:numFmt w:val="decimal"/>
      <w:suff w:val="nothing"/>
      <w:lvlText w:val="（%1）"/>
      <w:lvlJc w:val="left"/>
    </w:lvl>
  </w:abstractNum>
  <w:abstractNum w:abstractNumId="7">
    <w:nsid w:val="D954F3EC"/>
    <w:multiLevelType w:val="singleLevel"/>
    <w:tmpl w:val="D954F3EC"/>
    <w:lvl w:ilvl="0" w:tentative="0">
      <w:start w:val="1"/>
      <w:numFmt w:val="decimal"/>
      <w:suff w:val="nothing"/>
      <w:lvlText w:val="（%1）"/>
      <w:lvlJc w:val="left"/>
    </w:lvl>
  </w:abstractNum>
  <w:abstractNum w:abstractNumId="8">
    <w:nsid w:val="DCEE3E4B"/>
    <w:multiLevelType w:val="singleLevel"/>
    <w:tmpl w:val="DCEE3E4B"/>
    <w:lvl w:ilvl="0" w:tentative="0">
      <w:start w:val="1"/>
      <w:numFmt w:val="decimal"/>
      <w:suff w:val="nothing"/>
      <w:lvlText w:val="（%1）"/>
      <w:lvlJc w:val="left"/>
    </w:lvl>
  </w:abstractNum>
  <w:abstractNum w:abstractNumId="9">
    <w:nsid w:val="E7839E30"/>
    <w:multiLevelType w:val="singleLevel"/>
    <w:tmpl w:val="E7839E30"/>
    <w:lvl w:ilvl="0" w:tentative="0">
      <w:start w:val="1"/>
      <w:numFmt w:val="decimal"/>
      <w:suff w:val="nothing"/>
      <w:lvlText w:val="（%1）"/>
      <w:lvlJc w:val="left"/>
    </w:lvl>
  </w:abstractNum>
  <w:abstractNum w:abstractNumId="10">
    <w:nsid w:val="EEDA5947"/>
    <w:multiLevelType w:val="singleLevel"/>
    <w:tmpl w:val="EEDA5947"/>
    <w:lvl w:ilvl="0" w:tentative="0">
      <w:start w:val="1"/>
      <w:numFmt w:val="decimal"/>
      <w:suff w:val="nothing"/>
      <w:lvlText w:val="（%1）"/>
      <w:lvlJc w:val="left"/>
    </w:lvl>
  </w:abstractNum>
  <w:abstractNum w:abstractNumId="11">
    <w:nsid w:val="EF373150"/>
    <w:multiLevelType w:val="singleLevel"/>
    <w:tmpl w:val="EF373150"/>
    <w:lvl w:ilvl="0" w:tentative="0">
      <w:start w:val="1"/>
      <w:numFmt w:val="decimal"/>
      <w:suff w:val="nothing"/>
      <w:lvlText w:val="%1、"/>
      <w:lvlJc w:val="left"/>
    </w:lvl>
  </w:abstractNum>
  <w:abstractNum w:abstractNumId="12">
    <w:nsid w:val="F063513B"/>
    <w:multiLevelType w:val="singleLevel"/>
    <w:tmpl w:val="F063513B"/>
    <w:lvl w:ilvl="0" w:tentative="0">
      <w:start w:val="1"/>
      <w:numFmt w:val="decimal"/>
      <w:suff w:val="nothing"/>
      <w:lvlText w:val="%1、"/>
      <w:lvlJc w:val="left"/>
    </w:lvl>
  </w:abstractNum>
  <w:abstractNum w:abstractNumId="13">
    <w:nsid w:val="01696CC6"/>
    <w:multiLevelType w:val="singleLevel"/>
    <w:tmpl w:val="01696CC6"/>
    <w:lvl w:ilvl="0" w:tentative="0">
      <w:start w:val="1"/>
      <w:numFmt w:val="decimal"/>
      <w:suff w:val="nothing"/>
      <w:lvlText w:val="（%1）"/>
      <w:lvlJc w:val="left"/>
    </w:lvl>
  </w:abstractNum>
  <w:abstractNum w:abstractNumId="14">
    <w:nsid w:val="02461E7D"/>
    <w:multiLevelType w:val="singleLevel"/>
    <w:tmpl w:val="02461E7D"/>
    <w:lvl w:ilvl="0" w:tentative="0">
      <w:start w:val="1"/>
      <w:numFmt w:val="decimal"/>
      <w:suff w:val="nothing"/>
      <w:lvlText w:val="（%1）"/>
      <w:lvlJc w:val="left"/>
    </w:lvl>
  </w:abstractNum>
  <w:abstractNum w:abstractNumId="15">
    <w:nsid w:val="038AA07A"/>
    <w:multiLevelType w:val="singleLevel"/>
    <w:tmpl w:val="038AA07A"/>
    <w:lvl w:ilvl="0" w:tentative="0">
      <w:start w:val="1"/>
      <w:numFmt w:val="decimal"/>
      <w:suff w:val="nothing"/>
      <w:lvlText w:val="（%1）"/>
      <w:lvlJc w:val="left"/>
    </w:lvl>
  </w:abstractNum>
  <w:abstractNum w:abstractNumId="16">
    <w:nsid w:val="072E998B"/>
    <w:multiLevelType w:val="singleLevel"/>
    <w:tmpl w:val="072E998B"/>
    <w:lvl w:ilvl="0" w:tentative="0">
      <w:start w:val="1"/>
      <w:numFmt w:val="decimal"/>
      <w:suff w:val="nothing"/>
      <w:lvlText w:val="（%1）"/>
      <w:lvlJc w:val="left"/>
    </w:lvl>
  </w:abstractNum>
  <w:abstractNum w:abstractNumId="17">
    <w:nsid w:val="0C93516F"/>
    <w:multiLevelType w:val="singleLevel"/>
    <w:tmpl w:val="0C93516F"/>
    <w:lvl w:ilvl="0" w:tentative="0">
      <w:start w:val="1"/>
      <w:numFmt w:val="chineseCounting"/>
      <w:suff w:val="nothing"/>
      <w:lvlText w:val="%1、"/>
      <w:lvlJc w:val="left"/>
      <w:rPr>
        <w:rFonts w:hint="eastAsia"/>
      </w:rPr>
    </w:lvl>
  </w:abstractNum>
  <w:abstractNum w:abstractNumId="18">
    <w:nsid w:val="0FF0F667"/>
    <w:multiLevelType w:val="singleLevel"/>
    <w:tmpl w:val="0FF0F667"/>
    <w:lvl w:ilvl="0" w:tentative="0">
      <w:start w:val="1"/>
      <w:numFmt w:val="decimal"/>
      <w:suff w:val="nothing"/>
      <w:lvlText w:val="（%1）"/>
      <w:lvlJc w:val="left"/>
    </w:lvl>
  </w:abstractNum>
  <w:abstractNum w:abstractNumId="19">
    <w:nsid w:val="14D9A7D9"/>
    <w:multiLevelType w:val="singleLevel"/>
    <w:tmpl w:val="14D9A7D9"/>
    <w:lvl w:ilvl="0" w:tentative="0">
      <w:start w:val="1"/>
      <w:numFmt w:val="decimal"/>
      <w:suff w:val="nothing"/>
      <w:lvlText w:val="（%1）"/>
      <w:lvlJc w:val="left"/>
    </w:lvl>
  </w:abstractNum>
  <w:abstractNum w:abstractNumId="20">
    <w:nsid w:val="1C734FDC"/>
    <w:multiLevelType w:val="singleLevel"/>
    <w:tmpl w:val="1C734FDC"/>
    <w:lvl w:ilvl="0" w:tentative="0">
      <w:start w:val="1"/>
      <w:numFmt w:val="decimal"/>
      <w:suff w:val="nothing"/>
      <w:lvlText w:val="（%1）"/>
      <w:lvlJc w:val="left"/>
    </w:lvl>
  </w:abstractNum>
  <w:abstractNum w:abstractNumId="21">
    <w:nsid w:val="21432364"/>
    <w:multiLevelType w:val="singleLevel"/>
    <w:tmpl w:val="21432364"/>
    <w:lvl w:ilvl="0" w:tentative="0">
      <w:start w:val="1"/>
      <w:numFmt w:val="decimal"/>
      <w:suff w:val="nothing"/>
      <w:lvlText w:val="（%1）"/>
      <w:lvlJc w:val="left"/>
    </w:lvl>
  </w:abstractNum>
  <w:abstractNum w:abstractNumId="22">
    <w:nsid w:val="2B667659"/>
    <w:multiLevelType w:val="singleLevel"/>
    <w:tmpl w:val="2B667659"/>
    <w:lvl w:ilvl="0" w:tentative="0">
      <w:start w:val="1"/>
      <w:numFmt w:val="decimal"/>
      <w:suff w:val="nothing"/>
      <w:lvlText w:val="（%1）"/>
      <w:lvlJc w:val="left"/>
    </w:lvl>
  </w:abstractNum>
  <w:abstractNum w:abstractNumId="23">
    <w:nsid w:val="3601C93C"/>
    <w:multiLevelType w:val="singleLevel"/>
    <w:tmpl w:val="3601C93C"/>
    <w:lvl w:ilvl="0" w:tentative="0">
      <w:start w:val="1"/>
      <w:numFmt w:val="lowerLetter"/>
      <w:lvlText w:val="%1."/>
      <w:lvlJc w:val="left"/>
      <w:pPr>
        <w:tabs>
          <w:tab w:val="left" w:pos="312"/>
        </w:tabs>
      </w:pPr>
    </w:lvl>
  </w:abstractNum>
  <w:abstractNum w:abstractNumId="24">
    <w:nsid w:val="3F6D92FD"/>
    <w:multiLevelType w:val="singleLevel"/>
    <w:tmpl w:val="3F6D92FD"/>
    <w:lvl w:ilvl="0" w:tentative="0">
      <w:start w:val="1"/>
      <w:numFmt w:val="decimal"/>
      <w:suff w:val="nothing"/>
      <w:lvlText w:val="（%1）"/>
      <w:lvlJc w:val="left"/>
    </w:lvl>
  </w:abstractNum>
  <w:abstractNum w:abstractNumId="25">
    <w:nsid w:val="4168A59C"/>
    <w:multiLevelType w:val="singleLevel"/>
    <w:tmpl w:val="4168A59C"/>
    <w:lvl w:ilvl="0" w:tentative="0">
      <w:start w:val="1"/>
      <w:numFmt w:val="decimal"/>
      <w:suff w:val="nothing"/>
      <w:lvlText w:val="（%1）"/>
      <w:lvlJc w:val="left"/>
    </w:lvl>
  </w:abstractNum>
  <w:abstractNum w:abstractNumId="26">
    <w:nsid w:val="516F452E"/>
    <w:multiLevelType w:val="multilevel"/>
    <w:tmpl w:val="516F452E"/>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5B3CDA16"/>
    <w:multiLevelType w:val="singleLevel"/>
    <w:tmpl w:val="5B3CDA16"/>
    <w:lvl w:ilvl="0" w:tentative="0">
      <w:start w:val="1"/>
      <w:numFmt w:val="chineseCounting"/>
      <w:suff w:val="nothing"/>
      <w:lvlText w:val="%1、"/>
      <w:lvlJc w:val="left"/>
      <w:rPr>
        <w:rFonts w:hint="eastAsia"/>
      </w:rPr>
    </w:lvl>
  </w:abstractNum>
  <w:abstractNum w:abstractNumId="28">
    <w:nsid w:val="5B5BD2DE"/>
    <w:multiLevelType w:val="singleLevel"/>
    <w:tmpl w:val="5B5BD2DE"/>
    <w:lvl w:ilvl="0" w:tentative="0">
      <w:start w:val="1"/>
      <w:numFmt w:val="decimal"/>
      <w:suff w:val="nothing"/>
      <w:lvlText w:val="（%1）"/>
      <w:lvlJc w:val="left"/>
    </w:lvl>
  </w:abstractNum>
  <w:abstractNum w:abstractNumId="29">
    <w:nsid w:val="5F348103"/>
    <w:multiLevelType w:val="singleLevel"/>
    <w:tmpl w:val="5F348103"/>
    <w:lvl w:ilvl="0" w:tentative="0">
      <w:start w:val="1"/>
      <w:numFmt w:val="decimal"/>
      <w:suff w:val="nothing"/>
      <w:lvlText w:val="（%1）"/>
      <w:lvlJc w:val="left"/>
    </w:lvl>
  </w:abstractNum>
  <w:abstractNum w:abstractNumId="30">
    <w:nsid w:val="69FEC374"/>
    <w:multiLevelType w:val="singleLevel"/>
    <w:tmpl w:val="69FEC374"/>
    <w:lvl w:ilvl="0" w:tentative="0">
      <w:start w:val="1"/>
      <w:numFmt w:val="decimal"/>
      <w:suff w:val="nothing"/>
      <w:lvlText w:val="%1、"/>
      <w:lvlJc w:val="left"/>
    </w:lvl>
  </w:abstractNum>
  <w:num w:numId="1">
    <w:abstractNumId w:val="4"/>
  </w:num>
  <w:num w:numId="2">
    <w:abstractNumId w:val="25"/>
  </w:num>
  <w:num w:numId="3">
    <w:abstractNumId w:val="8"/>
  </w:num>
  <w:num w:numId="4">
    <w:abstractNumId w:val="6"/>
  </w:num>
  <w:num w:numId="5">
    <w:abstractNumId w:val="24"/>
  </w:num>
  <w:num w:numId="6">
    <w:abstractNumId w:val="18"/>
  </w:num>
  <w:num w:numId="7">
    <w:abstractNumId w:val="26"/>
  </w:num>
  <w:num w:numId="8">
    <w:abstractNumId w:val="7"/>
  </w:num>
  <w:num w:numId="9">
    <w:abstractNumId w:val="13"/>
  </w:num>
  <w:num w:numId="10">
    <w:abstractNumId w:val="17"/>
  </w:num>
  <w:num w:numId="11">
    <w:abstractNumId w:val="30"/>
  </w:num>
  <w:num w:numId="12">
    <w:abstractNumId w:val="19"/>
  </w:num>
  <w:num w:numId="13">
    <w:abstractNumId w:val="3"/>
  </w:num>
  <w:num w:numId="14">
    <w:abstractNumId w:val="23"/>
  </w:num>
  <w:num w:numId="15">
    <w:abstractNumId w:val="22"/>
  </w:num>
  <w:num w:numId="16">
    <w:abstractNumId w:val="0"/>
  </w:num>
  <w:num w:numId="17">
    <w:abstractNumId w:val="21"/>
  </w:num>
  <w:num w:numId="18">
    <w:abstractNumId w:val="11"/>
  </w:num>
  <w:num w:numId="19">
    <w:abstractNumId w:val="5"/>
  </w:num>
  <w:num w:numId="20">
    <w:abstractNumId w:val="28"/>
  </w:num>
  <w:num w:numId="21">
    <w:abstractNumId w:val="16"/>
  </w:num>
  <w:num w:numId="22">
    <w:abstractNumId w:val="27"/>
  </w:num>
  <w:num w:numId="23">
    <w:abstractNumId w:val="12"/>
  </w:num>
  <w:num w:numId="24">
    <w:abstractNumId w:val="2"/>
  </w:num>
  <w:num w:numId="25">
    <w:abstractNumId w:val="29"/>
  </w:num>
  <w:num w:numId="26">
    <w:abstractNumId w:val="9"/>
  </w:num>
  <w:num w:numId="27">
    <w:abstractNumId w:val="10"/>
  </w:num>
  <w:num w:numId="28">
    <w:abstractNumId w:val="20"/>
  </w:num>
  <w:num w:numId="29">
    <w:abstractNumId w:val="14"/>
  </w:num>
  <w:num w:numId="30">
    <w:abstractNumId w:val="15"/>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634D3C"/>
    <w:rsid w:val="08AD32B0"/>
    <w:rsid w:val="0B4367D9"/>
    <w:rsid w:val="0DB012BD"/>
    <w:rsid w:val="0E657CCB"/>
    <w:rsid w:val="0ED95B69"/>
    <w:rsid w:val="124B0BC6"/>
    <w:rsid w:val="17C10ED7"/>
    <w:rsid w:val="1E745D5E"/>
    <w:rsid w:val="254A619A"/>
    <w:rsid w:val="28AD1A2F"/>
    <w:rsid w:val="2C57657A"/>
    <w:rsid w:val="2F890CCE"/>
    <w:rsid w:val="32EC6656"/>
    <w:rsid w:val="3444351A"/>
    <w:rsid w:val="36233EF3"/>
    <w:rsid w:val="36E027A1"/>
    <w:rsid w:val="37634D3C"/>
    <w:rsid w:val="39022A5D"/>
    <w:rsid w:val="44654388"/>
    <w:rsid w:val="44767004"/>
    <w:rsid w:val="44A12A90"/>
    <w:rsid w:val="47883AB7"/>
    <w:rsid w:val="47BF0951"/>
    <w:rsid w:val="484F3B09"/>
    <w:rsid w:val="4C843543"/>
    <w:rsid w:val="4DC51E28"/>
    <w:rsid w:val="4EB11F17"/>
    <w:rsid w:val="5014056C"/>
    <w:rsid w:val="5B3648B4"/>
    <w:rsid w:val="5CC26C73"/>
    <w:rsid w:val="5E242803"/>
    <w:rsid w:val="600274E1"/>
    <w:rsid w:val="6275397A"/>
    <w:rsid w:val="66F47BB9"/>
    <w:rsid w:val="682D30C7"/>
    <w:rsid w:val="691E0569"/>
    <w:rsid w:val="6A8729A5"/>
    <w:rsid w:val="6BA91C8F"/>
    <w:rsid w:val="6C99445E"/>
    <w:rsid w:val="719A4603"/>
    <w:rsid w:val="75D0142E"/>
    <w:rsid w:val="7D53312E"/>
    <w:rsid w:val="7E2B53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pPr>
      <w:spacing w:after="120" w:afterLines="0" w:afterAutospacing="0"/>
    </w:pPr>
  </w:style>
  <w:style w:type="paragraph" w:styleId="4">
    <w:name w:val="toc 3"/>
    <w:basedOn w:val="1"/>
    <w:next w:val="1"/>
    <w:qFormat/>
    <w:uiPriority w:val="0"/>
    <w:pPr>
      <w:ind w:left="840" w:leftChars="4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WPSOffice手动目录 1"/>
    <w:qFormat/>
    <w:uiPriority w:val="0"/>
    <w:pPr>
      <w:ind w:leftChars="0"/>
    </w:pPr>
    <w:rPr>
      <w:rFonts w:asciiTheme="minorHAnsi" w:hAnsiTheme="minorHAnsi" w:eastAsiaTheme="minorHAnsi" w:cstheme="minorBidi"/>
      <w:sz w:val="20"/>
      <w:szCs w:val="20"/>
    </w:rPr>
  </w:style>
  <w:style w:type="paragraph" w:customStyle="1" w:styleId="13">
    <w:name w:val="WPSOffice手动目录 2"/>
    <w:qFormat/>
    <w:uiPriority w:val="0"/>
    <w:pPr>
      <w:ind w:leftChars="200"/>
    </w:pPr>
    <w:rPr>
      <w:rFonts w:asciiTheme="minorHAnsi" w:hAnsiTheme="minorHAnsi" w:eastAsiaTheme="minorHAnsi" w:cstheme="minorBidi"/>
      <w:sz w:val="20"/>
      <w:szCs w:val="20"/>
    </w:rPr>
  </w:style>
  <w:style w:type="paragraph" w:customStyle="1" w:styleId="14">
    <w:name w:val="WPSOffice手动目录 3"/>
    <w:qFormat/>
    <w:uiPriority w:val="0"/>
    <w:pPr>
      <w:ind w:leftChars="400"/>
    </w:pPr>
    <w:rPr>
      <w:rFonts w:asciiTheme="minorHAnsi" w:hAnsiTheme="minorHAnsi" w:eastAsiaTheme="minorHAnsi" w:cstheme="minorBidi"/>
      <w:sz w:val="20"/>
      <w:szCs w:val="20"/>
    </w:rPr>
  </w:style>
  <w:style w:type="paragraph" w:customStyle="1" w:styleId="15">
    <w:name w:val="Table Paragraph"/>
    <w:basedOn w:val="1"/>
    <w:qFormat/>
    <w:uiPriority w:val="1"/>
    <w:pPr>
      <w:jc w:val="center"/>
    </w:pPr>
    <w:rPr>
      <w:rFonts w:ascii="Times New Roman" w:hAnsi="Times New Roman" w:eastAsia="Times New Roman" w:cs="Times New Roman"/>
      <w:lang w:val="zh-CN" w:eastAsia="zh-CN" w:bidi="zh-CN"/>
    </w:rPr>
  </w:style>
  <w:style w:type="character" w:customStyle="1" w:styleId="16">
    <w:name w:val="font41"/>
    <w:basedOn w:val="11"/>
    <w:qFormat/>
    <w:uiPriority w:val="0"/>
    <w:rPr>
      <w:rFonts w:hint="eastAsia" w:ascii="MingLiU" w:hAnsi="MingLiU" w:eastAsia="MingLiU" w:cs="MingLiU"/>
      <w:color w:val="000000"/>
      <w:sz w:val="22"/>
      <w:szCs w:val="22"/>
      <w:u w:val="none"/>
    </w:rPr>
  </w:style>
  <w:style w:type="character" w:customStyle="1" w:styleId="17">
    <w:name w:val="font31"/>
    <w:basedOn w:val="11"/>
    <w:qFormat/>
    <w:uiPriority w:val="0"/>
    <w:rPr>
      <w:rFonts w:hint="default" w:ascii="Times New Roman" w:hAnsi="Times New Roman" w:cs="Times New Roman"/>
      <w:b/>
      <w:color w:val="000000"/>
      <w:sz w:val="22"/>
      <w:szCs w:val="22"/>
      <w:u w:val="none"/>
    </w:rPr>
  </w:style>
  <w:style w:type="character" w:customStyle="1" w:styleId="18">
    <w:name w:val="font01"/>
    <w:basedOn w:val="11"/>
    <w:qFormat/>
    <w:uiPriority w:val="0"/>
    <w:rPr>
      <w:rFonts w:hint="default" w:ascii="Times New Roman" w:hAnsi="Times New Roman" w:cs="Times New Roman"/>
      <w:color w:val="000000"/>
      <w:sz w:val="24"/>
      <w:szCs w:val="24"/>
      <w:u w:val="none"/>
    </w:rPr>
  </w:style>
  <w:style w:type="character" w:customStyle="1" w:styleId="19">
    <w:name w:val="font21"/>
    <w:basedOn w:val="11"/>
    <w:qFormat/>
    <w:uiPriority w:val="0"/>
    <w:rPr>
      <w:rFonts w:hint="default" w:ascii="Arial" w:hAnsi="Arial" w:cs="Arial"/>
      <w:i/>
      <w:color w:val="000000"/>
      <w:sz w:val="20"/>
      <w:szCs w:val="20"/>
      <w:u w:val="none"/>
    </w:rPr>
  </w:style>
  <w:style w:type="character" w:customStyle="1" w:styleId="20">
    <w:name w:val="font11"/>
    <w:basedOn w:val="11"/>
    <w:qFormat/>
    <w:uiPriority w:val="0"/>
    <w:rPr>
      <w:rFonts w:hint="default" w:ascii="Times New Roman" w:hAnsi="Times New Roman" w:cs="Times New Roman"/>
      <w:b/>
      <w:color w:val="000000"/>
      <w:sz w:val="18"/>
      <w:szCs w:val="18"/>
      <w:u w:val="none"/>
    </w:rPr>
  </w:style>
  <w:style w:type="character" w:customStyle="1" w:styleId="21">
    <w:name w:val="font61"/>
    <w:basedOn w:val="11"/>
    <w:qFormat/>
    <w:uiPriority w:val="0"/>
    <w:rPr>
      <w:rFonts w:hint="eastAsia" w:ascii="MingLiU" w:hAnsi="MingLiU" w:eastAsia="MingLiU" w:cs="MingLiU"/>
      <w:color w:val="000000"/>
      <w:sz w:val="14"/>
      <w:szCs w:val="14"/>
      <w:u w:val="none"/>
    </w:rPr>
  </w:style>
  <w:style w:type="character" w:customStyle="1" w:styleId="22">
    <w:name w:val="font51"/>
    <w:basedOn w:val="11"/>
    <w:qFormat/>
    <w:uiPriority w:val="0"/>
    <w:rPr>
      <w:rFonts w:hint="default" w:ascii="Arial" w:hAnsi="Arial" w:cs="Arial"/>
      <w:b/>
      <w:color w:val="000000"/>
      <w:sz w:val="14"/>
      <w:szCs w:val="1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0" Type="http://schemas.openxmlformats.org/officeDocument/2006/relationships/fontTable" Target="fontTable.xml"/><Relationship Id="rId7" Type="http://schemas.openxmlformats.org/officeDocument/2006/relationships/image" Target="media/image2.jpeg"/><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jpe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2020-07-27T06:37:00Z</dcterms:created>
  <dc:creator>爱乐人行素</dc:creator>
  <cp:lastModifiedBy>爱乐人行素</cp:lastModifiedBy>
  <dcterms:modified xsi:type="dcterms:W3CDTF">2020-09-23T01:49:52Z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