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eastAsia" w:ascii="Times New Roman" w:hAnsi="Times New Roman" w:cs="Times New Roman"/>
          <w:sz w:val="28"/>
          <w:szCs w:val="28"/>
          <w:lang w:eastAsia="zh-CN"/>
        </w:rPr>
      </w:pPr>
      <w:r>
        <w:rPr>
          <w:rFonts w:hint="eastAsia"/>
          <w:sz w:val="28"/>
          <w:szCs w:val="28"/>
          <w:lang w:eastAsia="zh-CN"/>
        </w:rPr>
        <w:t>项目编号：</w:t>
      </w:r>
      <w:r>
        <w:rPr>
          <w:rFonts w:hint="default" w:ascii="Times New Roman" w:hAnsi="Times New Roman" w:cs="Times New Roman"/>
          <w:sz w:val="28"/>
          <w:szCs w:val="28"/>
          <w:lang w:eastAsia="zh-CN"/>
        </w:rPr>
        <w:t>MDJ20-0064</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3</w:t>
      </w:r>
      <w:r>
        <w:rPr>
          <w:rFonts w:hint="eastAsia" w:ascii="Times New Roman" w:hAnsi="Times New Roman" w:cs="Times New Roman"/>
          <w:sz w:val="28"/>
          <w:szCs w:val="28"/>
          <w:lang w:eastAsia="zh-CN"/>
        </w:rPr>
        <w:t>）</w:t>
      </w:r>
    </w:p>
    <w:p>
      <w:pPr>
        <w:jc w:val="center"/>
        <w:rPr>
          <w:rFonts w:hint="eastAsia" w:ascii="仿宋" w:hAnsi="仿宋" w:eastAsia="仿宋" w:cs="仿宋"/>
          <w:sz w:val="32"/>
          <w:szCs w:val="32"/>
          <w:lang w:eastAsia="zh-CN"/>
        </w:rPr>
      </w:pPr>
    </w:p>
    <w:p>
      <w:pPr>
        <w:jc w:val="center"/>
        <w:rPr>
          <w:rFonts w:hint="eastAsia" w:ascii="仿宋" w:hAnsi="仿宋" w:eastAsia="仿宋" w:cs="仿宋"/>
          <w:sz w:val="32"/>
          <w:szCs w:val="32"/>
          <w:lang w:eastAsia="zh-CN"/>
        </w:rPr>
      </w:pPr>
    </w:p>
    <w:p>
      <w:pPr>
        <w:jc w:val="center"/>
        <w:rPr>
          <w:rFonts w:hint="eastAsia" w:ascii="仿宋" w:hAnsi="仿宋" w:eastAsia="仿宋" w:cs="仿宋"/>
          <w:sz w:val="32"/>
          <w:szCs w:val="32"/>
          <w:lang w:eastAsia="zh-CN"/>
        </w:rPr>
      </w:pPr>
    </w:p>
    <w:p>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白金大道提升改造二期工程（近期）建设工程项目</w:t>
      </w:r>
    </w:p>
    <w:p>
      <w:pPr>
        <w:jc w:val="center"/>
        <w:rPr>
          <w:rFonts w:hint="eastAsia" w:ascii="黑体" w:hAnsi="黑体" w:eastAsia="黑体" w:cs="黑体"/>
          <w:sz w:val="52"/>
          <w:szCs w:val="52"/>
          <w:lang w:eastAsia="zh-CN"/>
        </w:rPr>
      </w:pPr>
      <w:r>
        <w:rPr>
          <w:rFonts w:hint="eastAsia" w:ascii="黑体" w:hAnsi="黑体" w:eastAsia="黑体" w:cs="黑体"/>
          <w:sz w:val="52"/>
          <w:szCs w:val="52"/>
          <w:lang w:eastAsia="zh-CN"/>
        </w:rPr>
        <w:t>竣工环境保护验收调查报告</w:t>
      </w: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ind w:firstLine="960" w:firstLineChars="3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建设单位：贵阳高科控股集团有限公司</w:t>
      </w:r>
    </w:p>
    <w:p>
      <w:pPr>
        <w:ind w:firstLine="960" w:firstLineChars="300"/>
        <w:jc w:val="left"/>
        <w:rPr>
          <w:rFonts w:hint="eastAsia" w:ascii="仿宋" w:hAnsi="仿宋" w:eastAsia="仿宋" w:cs="仿宋"/>
          <w:sz w:val="32"/>
          <w:szCs w:val="32"/>
          <w:lang w:eastAsia="zh-CN"/>
        </w:rPr>
      </w:pPr>
    </w:p>
    <w:p>
      <w:pPr>
        <w:ind w:firstLine="960" w:firstLineChars="3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委托单位：贵阳高科控股集团有限公司</w:t>
      </w:r>
    </w:p>
    <w:p>
      <w:pPr>
        <w:ind w:firstLine="960" w:firstLineChars="300"/>
        <w:jc w:val="left"/>
        <w:rPr>
          <w:rFonts w:hint="eastAsia" w:ascii="仿宋" w:hAnsi="仿宋" w:eastAsia="仿宋" w:cs="仿宋"/>
          <w:sz w:val="32"/>
          <w:szCs w:val="32"/>
          <w:lang w:eastAsia="zh-CN"/>
        </w:rPr>
      </w:pPr>
    </w:p>
    <w:p>
      <w:pPr>
        <w:ind w:firstLine="960" w:firstLineChars="3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调查单位：贵州明德工程咨询有限公司</w:t>
      </w:r>
    </w:p>
    <w:p>
      <w:pPr>
        <w:ind w:firstLine="960" w:firstLineChars="300"/>
        <w:jc w:val="left"/>
        <w:rPr>
          <w:rFonts w:hint="eastAsia" w:ascii="仿宋" w:hAnsi="仿宋" w:eastAsia="仿宋" w:cs="仿宋"/>
          <w:sz w:val="32"/>
          <w:szCs w:val="32"/>
          <w:lang w:eastAsia="zh-CN"/>
        </w:rPr>
      </w:pPr>
    </w:p>
    <w:p>
      <w:pPr>
        <w:ind w:firstLine="960" w:firstLineChars="3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完成时间：二零二零年九</w:t>
      </w:r>
      <w:bookmarkStart w:id="95" w:name="_GoBack"/>
      <w:bookmarkEnd w:id="95"/>
      <w:r>
        <w:rPr>
          <w:rFonts w:hint="eastAsia" w:ascii="仿宋" w:hAnsi="仿宋" w:eastAsia="仿宋" w:cs="仿宋"/>
          <w:sz w:val="32"/>
          <w:szCs w:val="32"/>
          <w:lang w:eastAsia="zh-CN"/>
        </w:rPr>
        <w:t>月</w:t>
      </w:r>
    </w:p>
    <w:p>
      <w:pPr>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调查单位名称：贵州明德工程咨询有限公司</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调查单位法人代表：吕均</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总技术负责人：唐田</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技术审核人：唐田</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项目负责人：杨雄</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编制人员：杨雄</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监测单位名称：贵州明德工程咨询有限公司</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监测单位参与人员：陶鹏程、彭登辉、周苹、罗芳、唐文香、翟凯吉、宋云</w:t>
      </w:r>
    </w:p>
    <w:p>
      <w:pPr>
        <w:jc w:val="left"/>
        <w:rPr>
          <w:rFonts w:hint="eastAsia" w:ascii="仿宋" w:hAnsi="仿宋" w:eastAsia="仿宋" w:cs="仿宋"/>
          <w:sz w:val="32"/>
          <w:szCs w:val="32"/>
          <w:lang w:val="en-US" w:eastAsia="zh-CN"/>
        </w:rPr>
      </w:pPr>
    </w:p>
    <w:p>
      <w:pP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br w:type="page"/>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1"/>
        <w:gridCol w:w="4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jc w:val="center"/>
              <w:rPr>
                <w:rFonts w:hint="default" w:ascii="仿宋" w:hAnsi="仿宋" w:eastAsia="仿宋" w:cs="仿宋"/>
                <w:sz w:val="24"/>
                <w:szCs w:val="24"/>
                <w:vertAlign w:val="baseline"/>
                <w:lang w:val="en-US" w:eastAsia="zh-CN"/>
              </w:rPr>
            </w:pPr>
            <w:r>
              <w:drawing>
                <wp:inline distT="0" distB="0" distL="114300" distR="114300">
                  <wp:extent cx="2526030" cy="1659890"/>
                  <wp:effectExtent l="0" t="0" r="7620" b="1651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2526030" cy="1659890"/>
                          </a:xfrm>
                          <a:prstGeom prst="rect">
                            <a:avLst/>
                          </a:prstGeom>
                          <a:noFill/>
                          <a:ln>
                            <a:noFill/>
                          </a:ln>
                        </pic:spPr>
                      </pic:pic>
                    </a:graphicData>
                  </a:graphic>
                </wp:inline>
              </w:drawing>
            </w:r>
          </w:p>
        </w:tc>
        <w:tc>
          <w:tcPr>
            <w:tcW w:w="4261" w:type="dxa"/>
            <w:vAlign w:val="center"/>
          </w:tcPr>
          <w:p>
            <w:pPr>
              <w:jc w:val="center"/>
              <w:rPr>
                <w:rFonts w:hint="default" w:ascii="仿宋" w:hAnsi="仿宋" w:eastAsia="仿宋" w:cs="仿宋"/>
                <w:sz w:val="24"/>
                <w:szCs w:val="24"/>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2190115" cy="1643380"/>
                  <wp:effectExtent l="0" t="0" r="635" b="13970"/>
                  <wp:docPr id="12" name="图片 12" descr="IMG_0995(20200518-20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0995(20200518-204603)"/>
                          <pic:cNvPicPr>
                            <a:picLocks noChangeAspect="1"/>
                          </pic:cNvPicPr>
                        </pic:nvPicPr>
                        <pic:blipFill>
                          <a:blip r:embed="rId7"/>
                          <a:stretch>
                            <a:fillRect/>
                          </a:stretch>
                        </pic:blipFill>
                        <pic:spPr>
                          <a:xfrm>
                            <a:off x="0" y="0"/>
                            <a:ext cx="2190115" cy="1643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项目起点</w:t>
            </w:r>
          </w:p>
        </w:tc>
        <w:tc>
          <w:tcPr>
            <w:tcW w:w="4261"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沿线居民点-铝兴社区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jc w:val="center"/>
              <w:rPr>
                <w:rFonts w:hint="eastAsia" w:ascii="仿宋" w:hAnsi="仿宋" w:eastAsia="仿宋" w:cs="仿宋"/>
                <w:sz w:val="24"/>
                <w:szCs w:val="24"/>
                <w:vertAlign w:val="baseline"/>
                <w:lang w:val="en-US" w:eastAsia="zh-CN"/>
              </w:rPr>
            </w:pPr>
            <w:r>
              <w:drawing>
                <wp:inline distT="0" distB="0" distL="114300" distR="114300">
                  <wp:extent cx="2600960" cy="1734820"/>
                  <wp:effectExtent l="0" t="0" r="8890" b="1778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8"/>
                          <a:stretch>
                            <a:fillRect/>
                          </a:stretch>
                        </pic:blipFill>
                        <pic:spPr>
                          <a:xfrm>
                            <a:off x="0" y="0"/>
                            <a:ext cx="2600960" cy="1734820"/>
                          </a:xfrm>
                          <a:prstGeom prst="rect">
                            <a:avLst/>
                          </a:prstGeom>
                          <a:noFill/>
                          <a:ln>
                            <a:noFill/>
                          </a:ln>
                        </pic:spPr>
                      </pic:pic>
                    </a:graphicData>
                  </a:graphic>
                </wp:inline>
              </w:drawing>
            </w:r>
          </w:p>
        </w:tc>
        <w:tc>
          <w:tcPr>
            <w:tcW w:w="4261" w:type="dxa"/>
            <w:vAlign w:val="center"/>
          </w:tcPr>
          <w:p>
            <w:pPr>
              <w:jc w:val="center"/>
              <w:rPr>
                <w:rFonts w:hint="eastAsia" w:ascii="仿宋" w:hAnsi="仿宋" w:eastAsia="仿宋" w:cs="仿宋"/>
                <w:sz w:val="24"/>
                <w:szCs w:val="24"/>
                <w:vertAlign w:val="baseline"/>
                <w:lang w:val="en-US" w:eastAsia="zh-CN"/>
              </w:rPr>
            </w:pPr>
            <w:r>
              <w:drawing>
                <wp:inline distT="0" distB="0" distL="114300" distR="114300">
                  <wp:extent cx="2167890" cy="1711325"/>
                  <wp:effectExtent l="0" t="0" r="3810" b="317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9"/>
                          <a:stretch>
                            <a:fillRect/>
                          </a:stretch>
                        </pic:blipFill>
                        <pic:spPr>
                          <a:xfrm>
                            <a:off x="0" y="0"/>
                            <a:ext cx="2167890" cy="1711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贵耐医院</w:t>
            </w:r>
          </w:p>
        </w:tc>
        <w:tc>
          <w:tcPr>
            <w:tcW w:w="4261"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沿线居民点-金东社区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jc w:val="center"/>
              <w:rPr>
                <w:rFonts w:hint="eastAsia" w:ascii="仿宋" w:hAnsi="仿宋" w:eastAsia="仿宋" w:cs="仿宋"/>
                <w:sz w:val="24"/>
                <w:szCs w:val="24"/>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2444115" cy="1833880"/>
                  <wp:effectExtent l="0" t="0" r="13335" b="13970"/>
                  <wp:docPr id="8" name="图片 8" descr="IMG_0993(20200518-20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0993(20200518-204630)"/>
                          <pic:cNvPicPr>
                            <a:picLocks noChangeAspect="1"/>
                          </pic:cNvPicPr>
                        </pic:nvPicPr>
                        <pic:blipFill>
                          <a:blip r:embed="rId10"/>
                          <a:stretch>
                            <a:fillRect/>
                          </a:stretch>
                        </pic:blipFill>
                        <pic:spPr>
                          <a:xfrm>
                            <a:off x="0" y="0"/>
                            <a:ext cx="2444115" cy="1833880"/>
                          </a:xfrm>
                          <a:prstGeom prst="rect">
                            <a:avLst/>
                          </a:prstGeom>
                        </pic:spPr>
                      </pic:pic>
                    </a:graphicData>
                  </a:graphic>
                </wp:inline>
              </w:drawing>
            </w:r>
          </w:p>
        </w:tc>
        <w:tc>
          <w:tcPr>
            <w:tcW w:w="4261" w:type="dxa"/>
            <w:vAlign w:val="center"/>
          </w:tcPr>
          <w:p>
            <w:pPr>
              <w:jc w:val="center"/>
              <w:rPr>
                <w:rFonts w:hint="eastAsia" w:ascii="仿宋" w:hAnsi="仿宋" w:eastAsia="仿宋" w:cs="仿宋"/>
                <w:sz w:val="24"/>
                <w:szCs w:val="24"/>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2531745" cy="1900555"/>
                  <wp:effectExtent l="0" t="0" r="1905" b="4445"/>
                  <wp:docPr id="9" name="图片 9" descr="IMG_0998(20200518-20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0998(20200518-204603)"/>
                          <pic:cNvPicPr>
                            <a:picLocks noChangeAspect="1"/>
                          </pic:cNvPicPr>
                        </pic:nvPicPr>
                        <pic:blipFill>
                          <a:blip r:embed="rId11"/>
                          <a:stretch>
                            <a:fillRect/>
                          </a:stretch>
                        </pic:blipFill>
                        <pic:spPr>
                          <a:xfrm>
                            <a:off x="0" y="0"/>
                            <a:ext cx="2531745" cy="19005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沿线居民点-龚北社区</w:t>
            </w:r>
          </w:p>
        </w:tc>
        <w:tc>
          <w:tcPr>
            <w:tcW w:w="4261"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贵铝医院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jc w:val="center"/>
              <w:rPr>
                <w:rFonts w:hint="eastAsia" w:ascii="仿宋" w:hAnsi="仿宋" w:eastAsia="仿宋" w:cs="仿宋"/>
                <w:sz w:val="24"/>
                <w:szCs w:val="24"/>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2529205" cy="1898650"/>
                  <wp:effectExtent l="0" t="0" r="4445" b="6350"/>
                  <wp:docPr id="16" name="图片 16" descr="IMG_1031(20200518-20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1031(20200518-201138)"/>
                          <pic:cNvPicPr>
                            <a:picLocks noChangeAspect="1"/>
                          </pic:cNvPicPr>
                        </pic:nvPicPr>
                        <pic:blipFill>
                          <a:blip r:embed="rId12"/>
                          <a:stretch>
                            <a:fillRect/>
                          </a:stretch>
                        </pic:blipFill>
                        <pic:spPr>
                          <a:xfrm>
                            <a:off x="0" y="0"/>
                            <a:ext cx="2529205" cy="1898650"/>
                          </a:xfrm>
                          <a:prstGeom prst="rect">
                            <a:avLst/>
                          </a:prstGeom>
                        </pic:spPr>
                      </pic:pic>
                    </a:graphicData>
                  </a:graphic>
                </wp:inline>
              </w:drawing>
            </w:r>
          </w:p>
        </w:tc>
        <w:tc>
          <w:tcPr>
            <w:tcW w:w="4261" w:type="dxa"/>
            <w:vAlign w:val="center"/>
          </w:tcPr>
          <w:p>
            <w:pPr>
              <w:jc w:val="center"/>
              <w:rPr>
                <w:rFonts w:hint="eastAsia" w:ascii="仿宋" w:hAnsi="仿宋" w:eastAsia="仿宋" w:cs="仿宋"/>
                <w:sz w:val="24"/>
                <w:szCs w:val="24"/>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2408555" cy="1807210"/>
                  <wp:effectExtent l="0" t="0" r="10795" b="2540"/>
                  <wp:docPr id="17" name="图片 17" descr="IMG_0999(20200518-20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0999(20200518-204603)"/>
                          <pic:cNvPicPr>
                            <a:picLocks noChangeAspect="1"/>
                          </pic:cNvPicPr>
                        </pic:nvPicPr>
                        <pic:blipFill>
                          <a:blip r:embed="rId13"/>
                          <a:stretch>
                            <a:fillRect/>
                          </a:stretch>
                        </pic:blipFill>
                        <pic:spPr>
                          <a:xfrm>
                            <a:off x="0" y="0"/>
                            <a:ext cx="2408555" cy="18072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塔山公园</w:t>
            </w:r>
          </w:p>
        </w:tc>
        <w:tc>
          <w:tcPr>
            <w:tcW w:w="4261"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白云一中</w:t>
            </w:r>
          </w:p>
        </w:tc>
      </w:tr>
    </w:tbl>
    <w:p>
      <w:pP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br w:type="page"/>
      </w:r>
    </w:p>
    <w:sdt>
      <w:sdtPr>
        <w:rPr>
          <w:rFonts w:ascii="宋体" w:hAnsi="宋体" w:eastAsia="宋体" w:cstheme="minorBidi"/>
          <w:kern w:val="2"/>
          <w:sz w:val="21"/>
          <w:szCs w:val="24"/>
          <w:lang w:val="en-US" w:eastAsia="zh-CN" w:bidi="ar-SA"/>
        </w:rPr>
        <w:id w:val="147478809"/>
        <w15:color w:val="DBDBDB"/>
        <w:docPartObj>
          <w:docPartGallery w:val="Table of Contents"/>
          <w:docPartUnique/>
        </w:docPartObj>
      </w:sdtPr>
      <w:sdtEndPr>
        <w:rPr>
          <w:rFonts w:hint="default" w:ascii="仿宋" w:hAnsi="仿宋" w:eastAsia="仿宋" w:cs="仿宋"/>
          <w:kern w:val="2"/>
          <w:sz w:val="21"/>
          <w:szCs w:val="3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7"/>
            <w:tabs>
              <w:tab w:val="right" w:leader="dot" w:pos="8306"/>
            </w:tabs>
          </w:pPr>
          <w:r>
            <w:rPr>
              <w:rFonts w:hint="default" w:ascii="仿宋" w:hAnsi="仿宋" w:eastAsia="仿宋" w:cs="仿宋"/>
              <w:sz w:val="32"/>
              <w:szCs w:val="32"/>
              <w:lang w:val="en-US" w:eastAsia="zh-CN"/>
            </w:rPr>
            <w:fldChar w:fldCharType="begin"/>
          </w:r>
          <w:r>
            <w:rPr>
              <w:rFonts w:hint="default" w:ascii="仿宋" w:hAnsi="仿宋" w:eastAsia="仿宋" w:cs="仿宋"/>
              <w:sz w:val="32"/>
              <w:szCs w:val="32"/>
              <w:lang w:val="en-US" w:eastAsia="zh-CN"/>
            </w:rPr>
            <w:instrText xml:space="preserve">TOC \o "1-3" \h \u </w:instrText>
          </w:r>
          <w:r>
            <w:rPr>
              <w:rFonts w:hint="default" w:ascii="仿宋" w:hAnsi="仿宋" w:eastAsia="仿宋" w:cs="仿宋"/>
              <w:sz w:val="32"/>
              <w:szCs w:val="32"/>
              <w:lang w:val="en-US" w:eastAsia="zh-CN"/>
            </w:rPr>
            <w:fldChar w:fldCharType="separate"/>
          </w: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_Toc16125 </w:instrText>
          </w:r>
          <w:r>
            <w:rPr>
              <w:rFonts w:hint="default" w:ascii="仿宋" w:hAnsi="仿宋" w:eastAsia="仿宋" w:cs="仿宋"/>
              <w:szCs w:val="32"/>
              <w:lang w:val="en-US" w:eastAsia="zh-CN"/>
            </w:rPr>
            <w:fldChar w:fldCharType="separate"/>
          </w:r>
          <w:r>
            <w:rPr>
              <w:rFonts w:hint="eastAsia" w:ascii="宋体" w:hAnsi="宋体" w:eastAsia="宋体" w:cs="宋体"/>
              <w:bCs/>
              <w:szCs w:val="32"/>
              <w:lang w:val="en-US" w:eastAsia="zh-CN"/>
            </w:rPr>
            <w:t>前  言</w:t>
          </w:r>
          <w:r>
            <w:tab/>
          </w:r>
          <w:r>
            <w:fldChar w:fldCharType="begin"/>
          </w:r>
          <w:r>
            <w:instrText xml:space="preserve"> PAGEREF _Toc16125 </w:instrText>
          </w:r>
          <w:r>
            <w:fldChar w:fldCharType="separate"/>
          </w:r>
          <w:r>
            <w:t>7</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_Toc27354 </w:instrText>
          </w:r>
          <w:r>
            <w:rPr>
              <w:rFonts w:hint="default" w:ascii="仿宋" w:hAnsi="仿宋" w:eastAsia="仿宋" w:cs="仿宋"/>
              <w:szCs w:val="32"/>
              <w:lang w:val="en-US" w:eastAsia="zh-CN"/>
            </w:rPr>
            <w:fldChar w:fldCharType="separate"/>
          </w:r>
          <w:r>
            <w:rPr>
              <w:rFonts w:hint="default" w:ascii="Times New Roman" w:hAnsi="Times New Roman" w:eastAsia="宋体" w:cs="Times New Roman"/>
              <w:bCs/>
              <w:szCs w:val="28"/>
              <w:lang w:val="en-US" w:eastAsia="zh-CN"/>
            </w:rPr>
            <w:t>1 总论</w:t>
          </w:r>
          <w:r>
            <w:tab/>
          </w:r>
          <w:r>
            <w:fldChar w:fldCharType="begin"/>
          </w:r>
          <w:r>
            <w:instrText xml:space="preserve"> PAGEREF _Toc27354 </w:instrText>
          </w:r>
          <w:r>
            <w:fldChar w:fldCharType="separate"/>
          </w:r>
          <w:r>
            <w:t>9</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_Toc31975 </w:instrText>
          </w:r>
          <w:r>
            <w:rPr>
              <w:rFonts w:hint="default" w:ascii="仿宋" w:hAnsi="仿宋" w:eastAsia="仿宋" w:cs="仿宋"/>
              <w:szCs w:val="32"/>
              <w:lang w:val="en-US" w:eastAsia="zh-CN"/>
            </w:rPr>
            <w:fldChar w:fldCharType="separate"/>
          </w:r>
          <w:r>
            <w:rPr>
              <w:rFonts w:hint="default" w:ascii="Times New Roman" w:hAnsi="Times New Roman" w:eastAsia="宋体" w:cs="Times New Roman"/>
              <w:szCs w:val="24"/>
              <w:lang w:val="en-US" w:eastAsia="zh-CN"/>
            </w:rPr>
            <w:t>1.1编制依据</w:t>
          </w:r>
          <w:r>
            <w:tab/>
          </w:r>
          <w:r>
            <w:fldChar w:fldCharType="begin"/>
          </w:r>
          <w:r>
            <w:instrText xml:space="preserve"> PAGEREF _Toc31975 </w:instrText>
          </w:r>
          <w:r>
            <w:fldChar w:fldCharType="separate"/>
          </w:r>
          <w:r>
            <w:t>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_Toc6274 </w:instrText>
          </w:r>
          <w:r>
            <w:rPr>
              <w:rFonts w:hint="default" w:ascii="仿宋" w:hAnsi="仿宋" w:eastAsia="仿宋" w:cs="仿宋"/>
              <w:szCs w:val="32"/>
              <w:lang w:val="en-US" w:eastAsia="zh-CN"/>
            </w:rPr>
            <w:fldChar w:fldCharType="separate"/>
          </w:r>
          <w:r>
            <w:rPr>
              <w:rFonts w:hint="default" w:ascii="Times New Roman" w:hAnsi="Times New Roman" w:eastAsia="宋体" w:cs="Times New Roman"/>
              <w:szCs w:val="24"/>
              <w:lang w:val="en-US" w:eastAsia="zh-CN"/>
            </w:rPr>
            <w:t>1.1.1法律法规</w:t>
          </w:r>
          <w:r>
            <w:tab/>
          </w:r>
          <w:r>
            <w:fldChar w:fldCharType="begin"/>
          </w:r>
          <w:r>
            <w:instrText xml:space="preserve"> PAGEREF _Toc6274 </w:instrText>
          </w:r>
          <w:r>
            <w:fldChar w:fldCharType="separate"/>
          </w:r>
          <w:r>
            <w:t>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_Toc22621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1.1.2工程技术资料</w:t>
          </w:r>
          <w:r>
            <w:tab/>
          </w:r>
          <w:r>
            <w:fldChar w:fldCharType="begin"/>
          </w:r>
          <w:r>
            <w:instrText xml:space="preserve"> PAGEREF _Toc22621 </w:instrText>
          </w:r>
          <w:r>
            <w:fldChar w:fldCharType="separate"/>
          </w:r>
          <w:r>
            <w:t>10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_Toc2296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1.2调查目的</w:t>
          </w:r>
          <w:r>
            <w:tab/>
          </w:r>
          <w:r>
            <w:fldChar w:fldCharType="begin"/>
          </w:r>
          <w:r>
            <w:instrText xml:space="preserve"> PAGEREF _Toc2296 </w:instrText>
          </w:r>
          <w:r>
            <w:fldChar w:fldCharType="separate"/>
          </w:r>
          <w:r>
            <w:t>10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_Toc28180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1.3调查方法</w:t>
          </w:r>
          <w:r>
            <w:tab/>
          </w:r>
          <w:r>
            <w:fldChar w:fldCharType="begin"/>
          </w:r>
          <w:r>
            <w:instrText xml:space="preserve"> PAGEREF _Toc28180 </w:instrText>
          </w:r>
          <w:r>
            <w:fldChar w:fldCharType="separate"/>
          </w:r>
          <w:r>
            <w:t>10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_Toc17317 </w:instrText>
          </w:r>
          <w:r>
            <w:rPr>
              <w:rFonts w:hint="default" w:ascii="仿宋" w:hAnsi="仿宋" w:eastAsia="仿宋" w:cs="仿宋"/>
              <w:szCs w:val="32"/>
              <w:lang w:val="en-US" w:eastAsia="zh-CN"/>
            </w:rPr>
            <w:fldChar w:fldCharType="separate"/>
          </w:r>
          <w:r>
            <w:rPr>
              <w:rFonts w:hint="default" w:ascii="Times New Roman" w:hAnsi="Times New Roman" w:cs="Times New Roman"/>
              <w:lang w:val="en-US" w:eastAsia="zh-CN"/>
            </w:rPr>
            <w:t>1.4调查范围及因子</w:t>
          </w:r>
          <w:r>
            <w:tab/>
          </w:r>
          <w:r>
            <w:fldChar w:fldCharType="begin"/>
          </w:r>
          <w:r>
            <w:instrText xml:space="preserve"> PAGEREF _Toc17317 </w:instrText>
          </w:r>
          <w:r>
            <w:fldChar w:fldCharType="separate"/>
          </w:r>
          <w:r>
            <w:t>11</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_Toc14133 </w:instrText>
          </w:r>
          <w:r>
            <w:rPr>
              <w:rFonts w:hint="default" w:ascii="仿宋" w:hAnsi="仿宋" w:eastAsia="仿宋" w:cs="仿宋"/>
              <w:szCs w:val="32"/>
              <w:lang w:val="en-US" w:eastAsia="zh-CN"/>
            </w:rPr>
            <w:fldChar w:fldCharType="separate"/>
          </w:r>
          <w:r>
            <w:rPr>
              <w:rFonts w:hint="default" w:ascii="Times New Roman" w:hAnsi="Times New Roman" w:cs="Times New Roman"/>
              <w:lang w:val="en-US" w:eastAsia="zh-CN"/>
            </w:rPr>
            <w:t>1.4.1</w:t>
          </w:r>
          <w:r>
            <w:rPr>
              <w:rFonts w:hint="eastAsia" w:ascii="Times New Roman" w:hAnsi="Times New Roman" w:cs="Times New Roman"/>
              <w:lang w:val="en-US" w:eastAsia="zh-CN"/>
            </w:rPr>
            <w:t>调查范围</w:t>
          </w:r>
          <w:r>
            <w:tab/>
          </w:r>
          <w:r>
            <w:fldChar w:fldCharType="begin"/>
          </w:r>
          <w:r>
            <w:instrText xml:space="preserve"> PAGEREF _Toc14133 </w:instrText>
          </w:r>
          <w:r>
            <w:fldChar w:fldCharType="separate"/>
          </w:r>
          <w:r>
            <w:t>11</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_Toc14057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1.4.2调查因子</w:t>
          </w:r>
          <w:r>
            <w:tab/>
          </w:r>
          <w:r>
            <w:fldChar w:fldCharType="begin"/>
          </w:r>
          <w:r>
            <w:instrText xml:space="preserve"> PAGEREF _Toc14057 </w:instrText>
          </w:r>
          <w:r>
            <w:fldChar w:fldCharType="separate"/>
          </w:r>
          <w:r>
            <w:t>13</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_Toc17171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1.5验收标准</w:t>
          </w:r>
          <w:r>
            <w:tab/>
          </w:r>
          <w:r>
            <w:fldChar w:fldCharType="begin"/>
          </w:r>
          <w:r>
            <w:instrText xml:space="preserve"> PAGEREF _Toc17171 </w:instrText>
          </w:r>
          <w:r>
            <w:fldChar w:fldCharType="separate"/>
          </w:r>
          <w:r>
            <w:t>13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_Toc28022 </w:instrText>
          </w:r>
          <w:r>
            <w:rPr>
              <w:rFonts w:hint="default" w:ascii="仿宋" w:hAnsi="仿宋" w:eastAsia="仿宋" w:cs="仿宋"/>
              <w:szCs w:val="32"/>
              <w:lang w:val="en-US" w:eastAsia="zh-CN"/>
            </w:rPr>
            <w:fldChar w:fldCharType="separate"/>
          </w:r>
          <w:r>
            <w:rPr>
              <w:rFonts w:hint="default" w:ascii="Times New Roman" w:hAnsi="Times New Roman" w:cs="Times New Roman"/>
              <w:szCs w:val="24"/>
              <w:lang w:val="en-US" w:eastAsia="zh-CN"/>
            </w:rPr>
            <w:t>1.5.1</w:t>
          </w:r>
          <w:r>
            <w:rPr>
              <w:rFonts w:hint="eastAsia" w:ascii="Times New Roman" w:hAnsi="Times New Roman" w:cs="Times New Roman"/>
              <w:szCs w:val="24"/>
              <w:lang w:val="en-US" w:eastAsia="zh-CN"/>
            </w:rPr>
            <w:t>环境质量标准</w:t>
          </w:r>
          <w:r>
            <w:tab/>
          </w:r>
          <w:r>
            <w:fldChar w:fldCharType="begin"/>
          </w:r>
          <w:r>
            <w:instrText xml:space="preserve"> PAGEREF _Toc28022 </w:instrText>
          </w:r>
          <w:r>
            <w:fldChar w:fldCharType="separate"/>
          </w:r>
          <w:r>
            <w:t>13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_Toc28565 </w:instrText>
          </w:r>
          <w:r>
            <w:rPr>
              <w:rFonts w:hint="default" w:ascii="仿宋" w:hAnsi="仿宋" w:eastAsia="仿宋" w:cs="仿宋"/>
              <w:szCs w:val="32"/>
              <w:lang w:val="en-US" w:eastAsia="zh-CN"/>
            </w:rPr>
            <w:fldChar w:fldCharType="separate"/>
          </w:r>
          <w:r>
            <w:rPr>
              <w:rFonts w:hint="eastAsia" w:ascii="Times New Roman" w:hAnsi="Times New Roman" w:cs="Times New Roman"/>
              <w:szCs w:val="24"/>
              <w:lang w:val="en-US" w:eastAsia="zh-CN"/>
            </w:rPr>
            <w:t>1.5.2污染物排放标准</w:t>
          </w:r>
          <w:r>
            <w:tab/>
          </w:r>
          <w:r>
            <w:fldChar w:fldCharType="begin"/>
          </w:r>
          <w:r>
            <w:instrText xml:space="preserve"> PAGEREF _Toc28565 </w:instrText>
          </w:r>
          <w:r>
            <w:fldChar w:fldCharType="separate"/>
          </w:r>
          <w:r>
            <w:t>14</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_Toc23443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1.6保护目标及调查重点</w:t>
          </w:r>
          <w:r>
            <w:tab/>
          </w:r>
          <w:r>
            <w:fldChar w:fldCharType="begin"/>
          </w:r>
          <w:r>
            <w:instrText xml:space="preserve"> PAGEREF _Toc23443 </w:instrText>
          </w:r>
          <w:r>
            <w:fldChar w:fldCharType="separate"/>
          </w:r>
          <w:r>
            <w:t>14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_Toc7678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1.6.1生态环境保护目标</w:t>
          </w:r>
          <w:r>
            <w:tab/>
          </w:r>
          <w:r>
            <w:fldChar w:fldCharType="begin"/>
          </w:r>
          <w:r>
            <w:instrText xml:space="preserve"> PAGEREF _Toc7678 </w:instrText>
          </w:r>
          <w:r>
            <w:fldChar w:fldCharType="separate"/>
          </w:r>
          <w:r>
            <w:t>14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_Toc27449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1.6.2环境空气及声环境保护目标</w:t>
          </w:r>
          <w:r>
            <w:tab/>
          </w:r>
          <w:r>
            <w:fldChar w:fldCharType="begin"/>
          </w:r>
          <w:r>
            <w:instrText xml:space="preserve"> PAGEREF _Toc27449 </w:instrText>
          </w:r>
          <w:r>
            <w:fldChar w:fldCharType="separate"/>
          </w:r>
          <w:r>
            <w:t>15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_Toc3841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1.6.3水环境保护目标</w:t>
          </w:r>
          <w:r>
            <w:tab/>
          </w:r>
          <w:r>
            <w:fldChar w:fldCharType="begin"/>
          </w:r>
          <w:r>
            <w:instrText xml:space="preserve"> PAGEREF _Toc3841 </w:instrText>
          </w:r>
          <w:r>
            <w:fldChar w:fldCharType="separate"/>
          </w:r>
          <w:r>
            <w:t>16</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_Toc26226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2 工程概况</w:t>
          </w:r>
          <w:r>
            <w:tab/>
          </w:r>
          <w:r>
            <w:fldChar w:fldCharType="begin"/>
          </w:r>
          <w:r>
            <w:instrText xml:space="preserve"> PAGEREF _Toc26226 </w:instrText>
          </w:r>
          <w:r>
            <w:fldChar w:fldCharType="separate"/>
          </w:r>
          <w:r>
            <w:t>18</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_Toc10290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2.1地理位置及路线走向</w:t>
          </w:r>
          <w:r>
            <w:tab/>
          </w:r>
          <w:r>
            <w:fldChar w:fldCharType="begin"/>
          </w:r>
          <w:r>
            <w:instrText xml:space="preserve"> PAGEREF _Toc10290 </w:instrText>
          </w:r>
          <w:r>
            <w:fldChar w:fldCharType="separate"/>
          </w:r>
          <w:r>
            <w:t>18</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_Toc6502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2.2项目建设过程</w:t>
          </w:r>
          <w:r>
            <w:tab/>
          </w:r>
          <w:r>
            <w:fldChar w:fldCharType="begin"/>
          </w:r>
          <w:r>
            <w:instrText xml:space="preserve"> PAGEREF _Toc6502 </w:instrText>
          </w:r>
          <w:r>
            <w:fldChar w:fldCharType="separate"/>
          </w:r>
          <w:r>
            <w:t>18</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_Toc13918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2.3建设内容</w:t>
          </w:r>
          <w:r>
            <w:tab/>
          </w:r>
          <w:r>
            <w:fldChar w:fldCharType="begin"/>
          </w:r>
          <w:r>
            <w:instrText xml:space="preserve"> PAGEREF _Toc13918 </w:instrText>
          </w:r>
          <w:r>
            <w:fldChar w:fldCharType="separate"/>
          </w:r>
          <w:r>
            <w:t>19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_Toc4587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2.3.1建设规模及主要技术指标</w:t>
          </w:r>
          <w:r>
            <w:tab/>
          </w:r>
          <w:r>
            <w:fldChar w:fldCharType="begin"/>
          </w:r>
          <w:r>
            <w:instrText xml:space="preserve"> PAGEREF _Toc4587 </w:instrText>
          </w:r>
          <w:r>
            <w:fldChar w:fldCharType="separate"/>
          </w:r>
          <w:r>
            <w:t>19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_Toc6995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2.3.2主要工程内容</w:t>
          </w:r>
          <w:r>
            <w:tab/>
          </w:r>
          <w:r>
            <w:fldChar w:fldCharType="begin"/>
          </w:r>
          <w:r>
            <w:instrText xml:space="preserve"> PAGEREF _Toc6995 </w:instrText>
          </w:r>
          <w:r>
            <w:fldChar w:fldCharType="separate"/>
          </w:r>
          <w:r>
            <w:t>20</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_Toc20641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2.3.3工程土石方量</w:t>
          </w:r>
          <w:r>
            <w:tab/>
          </w:r>
          <w:r>
            <w:fldChar w:fldCharType="begin"/>
          </w:r>
          <w:r>
            <w:instrText xml:space="preserve"> PAGEREF _Toc20641 </w:instrText>
          </w:r>
          <w:r>
            <w:fldChar w:fldCharType="separate"/>
          </w:r>
          <w:r>
            <w:t>22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_Toc2835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2.3.4项目变更情况</w:t>
          </w:r>
          <w:r>
            <w:tab/>
          </w:r>
          <w:r>
            <w:fldChar w:fldCharType="begin"/>
          </w:r>
          <w:r>
            <w:instrText xml:space="preserve"> PAGEREF _Toc2835 </w:instrText>
          </w:r>
          <w:r>
            <w:fldChar w:fldCharType="separate"/>
          </w:r>
          <w:r>
            <w:t>23</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_Toc8157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2.4 环保投资</w:t>
          </w:r>
          <w:r>
            <w:tab/>
          </w:r>
          <w:r>
            <w:fldChar w:fldCharType="begin"/>
          </w:r>
          <w:r>
            <w:instrText xml:space="preserve"> PAGEREF _Toc8157 </w:instrText>
          </w:r>
          <w:r>
            <w:fldChar w:fldCharType="separate"/>
          </w:r>
          <w:r>
            <w:t>23</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_Toc23441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3 环境影响评价报告回顾</w:t>
          </w:r>
          <w:r>
            <w:tab/>
          </w:r>
          <w:r>
            <w:fldChar w:fldCharType="begin"/>
          </w:r>
          <w:r>
            <w:instrText xml:space="preserve"> PAGEREF _Toc23441 </w:instrText>
          </w:r>
          <w:r>
            <w:fldChar w:fldCharType="separate"/>
          </w:r>
          <w:r>
            <w:t>24</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_Toc9964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3.1环境影响影响评价报告的主要结论</w:t>
          </w:r>
          <w:r>
            <w:tab/>
          </w:r>
          <w:r>
            <w:fldChar w:fldCharType="begin"/>
          </w:r>
          <w:r>
            <w:instrText xml:space="preserve"> PAGEREF _Toc9964 </w:instrText>
          </w:r>
          <w:r>
            <w:fldChar w:fldCharType="separate"/>
          </w:r>
          <w:r>
            <w:t>24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_Toc17256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3.1.1工程概况</w:t>
          </w:r>
          <w:r>
            <w:tab/>
          </w:r>
          <w:r>
            <w:fldChar w:fldCharType="begin"/>
          </w:r>
          <w:r>
            <w:instrText xml:space="preserve"> PAGEREF _Toc17256 </w:instrText>
          </w:r>
          <w:r>
            <w:fldChar w:fldCharType="separate"/>
          </w:r>
          <w:r>
            <w:t>24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_Toc17530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3.1.2规划符合性</w:t>
          </w:r>
          <w:r>
            <w:tab/>
          </w:r>
          <w:r>
            <w:fldChar w:fldCharType="begin"/>
          </w:r>
          <w:r>
            <w:instrText xml:space="preserve"> PAGEREF _Toc17530 </w:instrText>
          </w:r>
          <w:r>
            <w:fldChar w:fldCharType="separate"/>
          </w:r>
          <w:r>
            <w:t>24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_Toc1833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3.1.3环评现状结论</w:t>
          </w:r>
          <w:r>
            <w:tab/>
          </w:r>
          <w:r>
            <w:fldChar w:fldCharType="begin"/>
          </w:r>
          <w:r>
            <w:instrText xml:space="preserve"> PAGEREF _Toc1833 </w:instrText>
          </w:r>
          <w:r>
            <w:fldChar w:fldCharType="separate"/>
          </w:r>
          <w:r>
            <w:t>25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_Toc20764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3.1.4环境影响评价</w:t>
          </w:r>
          <w:r>
            <w:tab/>
          </w:r>
          <w:r>
            <w:fldChar w:fldCharType="begin"/>
          </w:r>
          <w:r>
            <w:instrText xml:space="preserve"> PAGEREF _Toc20764 </w:instrText>
          </w:r>
          <w:r>
            <w:fldChar w:fldCharType="separate"/>
          </w:r>
          <w:r>
            <w:t>27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_Toc21041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3.1.5主要环境保护措施</w:t>
          </w:r>
          <w:r>
            <w:tab/>
          </w:r>
          <w:r>
            <w:fldChar w:fldCharType="begin"/>
          </w:r>
          <w:r>
            <w:instrText xml:space="preserve"> PAGEREF _Toc21041 </w:instrText>
          </w:r>
          <w:r>
            <w:fldChar w:fldCharType="separate"/>
          </w:r>
          <w:r>
            <w:t>29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_Toc13141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3.1.6公众参与</w:t>
          </w:r>
          <w:r>
            <w:tab/>
          </w:r>
          <w:r>
            <w:fldChar w:fldCharType="begin"/>
          </w:r>
          <w:r>
            <w:instrText xml:space="preserve"> PAGEREF _Toc13141 </w:instrText>
          </w:r>
          <w:r>
            <w:fldChar w:fldCharType="separate"/>
          </w:r>
          <w:r>
            <w:t>32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_Toc7982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3.1.7环保投资及环境经济损益分析</w:t>
          </w:r>
          <w:r>
            <w:tab/>
          </w:r>
          <w:r>
            <w:fldChar w:fldCharType="begin"/>
          </w:r>
          <w:r>
            <w:instrText xml:space="preserve"> PAGEREF _Toc7982 </w:instrText>
          </w:r>
          <w:r>
            <w:fldChar w:fldCharType="separate"/>
          </w:r>
          <w:r>
            <w:t>33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_Toc14473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3.1.8环评总结论</w:t>
          </w:r>
          <w:r>
            <w:tab/>
          </w:r>
          <w:r>
            <w:fldChar w:fldCharType="begin"/>
          </w:r>
          <w:r>
            <w:instrText xml:space="preserve"> PAGEREF _Toc14473 </w:instrText>
          </w:r>
          <w:r>
            <w:fldChar w:fldCharType="separate"/>
          </w:r>
          <w:r>
            <w:t>33</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_Toc30129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3.2环境影响评价报告建议</w:t>
          </w:r>
          <w:r>
            <w:tab/>
          </w:r>
          <w:r>
            <w:fldChar w:fldCharType="begin"/>
          </w:r>
          <w:r>
            <w:instrText xml:space="preserve"> PAGEREF _Toc30129 </w:instrText>
          </w:r>
          <w:r>
            <w:fldChar w:fldCharType="separate"/>
          </w:r>
          <w:r>
            <w:t>33</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_Toc699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3.3环境影响评价报告批复</w:t>
          </w:r>
          <w:r>
            <w:tab/>
          </w:r>
          <w:r>
            <w:fldChar w:fldCharType="begin"/>
          </w:r>
          <w:r>
            <w:instrText xml:space="preserve"> PAGEREF _Toc699 </w:instrText>
          </w:r>
          <w:r>
            <w:fldChar w:fldCharType="separate"/>
          </w:r>
          <w:r>
            <w:t>34</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_Toc11657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4 环保措施落实情况</w:t>
          </w:r>
          <w:r>
            <w:tab/>
          </w:r>
          <w:r>
            <w:fldChar w:fldCharType="begin"/>
          </w:r>
          <w:r>
            <w:instrText xml:space="preserve"> PAGEREF _Toc11657 </w:instrText>
          </w:r>
          <w:r>
            <w:fldChar w:fldCharType="separate"/>
          </w:r>
          <w:r>
            <w:t>37</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_Toc6410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5 施工期环境影响调查</w:t>
          </w:r>
          <w:r>
            <w:tab/>
          </w:r>
          <w:r>
            <w:fldChar w:fldCharType="begin"/>
          </w:r>
          <w:r>
            <w:instrText xml:space="preserve"> PAGEREF _Toc6410 </w:instrText>
          </w:r>
          <w:r>
            <w:fldChar w:fldCharType="separate"/>
          </w:r>
          <w:r>
            <w:t>43</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_Toc11705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val="0"/>
              <w:szCs w:val="24"/>
              <w:lang w:val="en-US" w:eastAsia="zh-CN"/>
            </w:rPr>
            <w:t>5.1生态环境</w:t>
          </w:r>
          <w:r>
            <w:tab/>
          </w:r>
          <w:r>
            <w:fldChar w:fldCharType="begin"/>
          </w:r>
          <w:r>
            <w:instrText xml:space="preserve"> PAGEREF _Toc11705 </w:instrText>
          </w:r>
          <w:r>
            <w:fldChar w:fldCharType="separate"/>
          </w:r>
          <w:r>
            <w:t>43</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_Toc22855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val="0"/>
              <w:szCs w:val="24"/>
              <w:lang w:val="en-US" w:eastAsia="zh-CN"/>
            </w:rPr>
            <w:t>5.2水环境</w:t>
          </w:r>
          <w:r>
            <w:tab/>
          </w:r>
          <w:r>
            <w:fldChar w:fldCharType="begin"/>
          </w:r>
          <w:r>
            <w:instrText xml:space="preserve"> PAGEREF _Toc22855 </w:instrText>
          </w:r>
          <w:r>
            <w:fldChar w:fldCharType="separate"/>
          </w:r>
          <w:r>
            <w:t>43</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_Toc3135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5.3环境空气</w:t>
          </w:r>
          <w:r>
            <w:tab/>
          </w:r>
          <w:r>
            <w:fldChar w:fldCharType="begin"/>
          </w:r>
          <w:r>
            <w:instrText xml:space="preserve"> PAGEREF _Toc3135 </w:instrText>
          </w:r>
          <w:r>
            <w:fldChar w:fldCharType="separate"/>
          </w:r>
          <w:r>
            <w:t>44</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_Toc15137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5.4声环境</w:t>
          </w:r>
          <w:r>
            <w:tab/>
          </w:r>
          <w:r>
            <w:fldChar w:fldCharType="begin"/>
          </w:r>
          <w:r>
            <w:instrText xml:space="preserve"> PAGEREF _Toc15137 </w:instrText>
          </w:r>
          <w:r>
            <w:fldChar w:fldCharType="separate"/>
          </w:r>
          <w:r>
            <w:t>44</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_Toc23824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5.5固体废物</w:t>
          </w:r>
          <w:r>
            <w:tab/>
          </w:r>
          <w:r>
            <w:fldChar w:fldCharType="begin"/>
          </w:r>
          <w:r>
            <w:instrText xml:space="preserve"> PAGEREF _Toc23824 </w:instrText>
          </w:r>
          <w:r>
            <w:fldChar w:fldCharType="separate"/>
          </w:r>
          <w:r>
            <w:t>44</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_Toc6577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5.6小结</w:t>
          </w:r>
          <w:r>
            <w:tab/>
          </w:r>
          <w:r>
            <w:fldChar w:fldCharType="begin"/>
          </w:r>
          <w:r>
            <w:instrText xml:space="preserve"> PAGEREF _Toc6577 </w:instrText>
          </w:r>
          <w:r>
            <w:fldChar w:fldCharType="separate"/>
          </w:r>
          <w:r>
            <w:t>44</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_Toc12786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6 运营期环境影响调查</w:t>
          </w:r>
          <w:r>
            <w:tab/>
          </w:r>
          <w:r>
            <w:fldChar w:fldCharType="begin"/>
          </w:r>
          <w:r>
            <w:instrText xml:space="preserve"> PAGEREF _Toc12786 </w:instrText>
          </w:r>
          <w:r>
            <w:fldChar w:fldCharType="separate"/>
          </w:r>
          <w:r>
            <w:t>45</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_Toc7794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6.1生态环境</w:t>
          </w:r>
          <w:r>
            <w:tab/>
          </w:r>
          <w:r>
            <w:fldChar w:fldCharType="begin"/>
          </w:r>
          <w:r>
            <w:instrText xml:space="preserve"> PAGEREF _Toc7794 </w:instrText>
          </w:r>
          <w:r>
            <w:fldChar w:fldCharType="separate"/>
          </w:r>
          <w:r>
            <w:t>45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_Toc6679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6.1.1工程占地</w:t>
          </w:r>
          <w:r>
            <w:tab/>
          </w:r>
          <w:r>
            <w:fldChar w:fldCharType="begin"/>
          </w:r>
          <w:r>
            <w:instrText xml:space="preserve"> PAGEREF _Toc6679 </w:instrText>
          </w:r>
          <w:r>
            <w:fldChar w:fldCharType="separate"/>
          </w:r>
          <w:r>
            <w:t>45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_Toc231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vertAlign w:val="baseline"/>
              <w:lang w:val="en-US" w:eastAsia="zh-CN"/>
            </w:rPr>
            <w:t>6.1.2土石方</w:t>
          </w:r>
          <w:r>
            <w:tab/>
          </w:r>
          <w:r>
            <w:fldChar w:fldCharType="begin"/>
          </w:r>
          <w:r>
            <w:instrText xml:space="preserve"> PAGEREF _Toc231 </w:instrText>
          </w:r>
          <w:r>
            <w:fldChar w:fldCharType="separate"/>
          </w:r>
          <w:r>
            <w:t>45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_Toc10155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6.1.3取、弃土场</w:t>
          </w:r>
          <w:r>
            <w:tab/>
          </w:r>
          <w:r>
            <w:fldChar w:fldCharType="begin"/>
          </w:r>
          <w:r>
            <w:instrText xml:space="preserve"> PAGEREF _Toc10155 </w:instrText>
          </w:r>
          <w:r>
            <w:fldChar w:fldCharType="separate"/>
          </w:r>
          <w:r>
            <w:t>45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_Toc10362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6.1.4水土保持</w:t>
          </w:r>
          <w:r>
            <w:tab/>
          </w:r>
          <w:r>
            <w:fldChar w:fldCharType="begin"/>
          </w:r>
          <w:r>
            <w:instrText xml:space="preserve"> PAGEREF _Toc10362 </w:instrText>
          </w:r>
          <w:r>
            <w:fldChar w:fldCharType="separate"/>
          </w:r>
          <w:r>
            <w:t>45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_Toc29357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6.1.5绿化与景观</w:t>
          </w:r>
          <w:r>
            <w:tab/>
          </w:r>
          <w:r>
            <w:fldChar w:fldCharType="begin"/>
          </w:r>
          <w:r>
            <w:instrText xml:space="preserve"> PAGEREF _Toc29357 </w:instrText>
          </w:r>
          <w:r>
            <w:fldChar w:fldCharType="separate"/>
          </w:r>
          <w:r>
            <w:t>45</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_Toc27231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6.2环境空气及噪声环境</w:t>
          </w:r>
          <w:r>
            <w:tab/>
          </w:r>
          <w:r>
            <w:fldChar w:fldCharType="begin"/>
          </w:r>
          <w:r>
            <w:instrText xml:space="preserve"> PAGEREF _Toc27231 </w:instrText>
          </w:r>
          <w:r>
            <w:fldChar w:fldCharType="separate"/>
          </w:r>
          <w:r>
            <w:t>45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_Toc3030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6.2.1敏感点调查</w:t>
          </w:r>
          <w:r>
            <w:tab/>
          </w:r>
          <w:r>
            <w:fldChar w:fldCharType="begin"/>
          </w:r>
          <w:r>
            <w:instrText xml:space="preserve"> PAGEREF _Toc3030 </w:instrText>
          </w:r>
          <w:r>
            <w:fldChar w:fldCharType="separate"/>
          </w:r>
          <w:r>
            <w:t>45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_Toc11133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6.2.2现状监测内容</w:t>
          </w:r>
          <w:r>
            <w:tab/>
          </w:r>
          <w:r>
            <w:fldChar w:fldCharType="begin"/>
          </w:r>
          <w:r>
            <w:instrText xml:space="preserve"> PAGEREF _Toc11133 </w:instrText>
          </w:r>
          <w:r>
            <w:fldChar w:fldCharType="separate"/>
          </w:r>
          <w:r>
            <w:t>46</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_Toc10065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6.2.3监测结果</w:t>
          </w:r>
          <w:r>
            <w:tab/>
          </w:r>
          <w:r>
            <w:fldChar w:fldCharType="begin"/>
          </w:r>
          <w:r>
            <w:instrText xml:space="preserve"> PAGEREF _Toc10065 </w:instrText>
          </w:r>
          <w:r>
            <w:fldChar w:fldCharType="separate"/>
          </w:r>
          <w:r>
            <w:t>48</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_Toc11947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6.3固体废物</w:t>
          </w:r>
          <w:r>
            <w:tab/>
          </w:r>
          <w:r>
            <w:fldChar w:fldCharType="begin"/>
          </w:r>
          <w:r>
            <w:instrText xml:space="preserve"> PAGEREF _Toc11947 </w:instrText>
          </w:r>
          <w:r>
            <w:fldChar w:fldCharType="separate"/>
          </w:r>
          <w:r>
            <w:t>53</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_Toc18062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7 环境管理与监测计划的落实</w:t>
          </w:r>
          <w:r>
            <w:tab/>
          </w:r>
          <w:r>
            <w:fldChar w:fldCharType="begin"/>
          </w:r>
          <w:r>
            <w:instrText xml:space="preserve"> PAGEREF _Toc18062 </w:instrText>
          </w:r>
          <w:r>
            <w:fldChar w:fldCharType="separate"/>
          </w:r>
          <w:r>
            <w:t>53</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_Toc22976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7.1环境管理情况</w:t>
          </w:r>
          <w:r>
            <w:tab/>
          </w:r>
          <w:r>
            <w:fldChar w:fldCharType="begin"/>
          </w:r>
          <w:r>
            <w:instrText xml:space="preserve"> PAGEREF _Toc22976 </w:instrText>
          </w:r>
          <w:r>
            <w:fldChar w:fldCharType="separate"/>
          </w:r>
          <w:r>
            <w:t>53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_Toc8582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7.1.1施工期环境管理</w:t>
          </w:r>
          <w:r>
            <w:tab/>
          </w:r>
          <w:r>
            <w:fldChar w:fldCharType="begin"/>
          </w:r>
          <w:r>
            <w:instrText xml:space="preserve"> PAGEREF _Toc8582 </w:instrText>
          </w:r>
          <w:r>
            <w:fldChar w:fldCharType="separate"/>
          </w:r>
          <w:r>
            <w:t>53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_Toc20558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7.1.2运营期环境管理</w:t>
          </w:r>
          <w:r>
            <w:tab/>
          </w:r>
          <w:r>
            <w:fldChar w:fldCharType="begin"/>
          </w:r>
          <w:r>
            <w:instrText xml:space="preserve"> PAGEREF _Toc20558 </w:instrText>
          </w:r>
          <w:r>
            <w:fldChar w:fldCharType="separate"/>
          </w:r>
          <w:r>
            <w:t>53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_Toc21275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7.1.3建议</w:t>
          </w:r>
          <w:r>
            <w:tab/>
          </w:r>
          <w:r>
            <w:fldChar w:fldCharType="begin"/>
          </w:r>
          <w:r>
            <w:instrText xml:space="preserve"> PAGEREF _Toc21275 </w:instrText>
          </w:r>
          <w:r>
            <w:fldChar w:fldCharType="separate"/>
          </w:r>
          <w:r>
            <w:t>53</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_Toc30969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7.2监测计划的落实</w:t>
          </w:r>
          <w:r>
            <w:tab/>
          </w:r>
          <w:r>
            <w:fldChar w:fldCharType="begin"/>
          </w:r>
          <w:r>
            <w:instrText xml:space="preserve"> PAGEREF _Toc30969 </w:instrText>
          </w:r>
          <w:r>
            <w:fldChar w:fldCharType="separate"/>
          </w:r>
          <w:r>
            <w:t>54</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_Toc10620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8 公众意见调查</w:t>
          </w:r>
          <w:r>
            <w:tab/>
          </w:r>
          <w:r>
            <w:fldChar w:fldCharType="begin"/>
          </w:r>
          <w:r>
            <w:instrText xml:space="preserve"> PAGEREF _Toc10620 </w:instrText>
          </w:r>
          <w:r>
            <w:fldChar w:fldCharType="separate"/>
          </w:r>
          <w:r>
            <w:t>56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_Toc27342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8.1调查的目的、对象、方法</w:t>
          </w:r>
          <w:r>
            <w:tab/>
          </w:r>
          <w:r>
            <w:fldChar w:fldCharType="begin"/>
          </w:r>
          <w:r>
            <w:instrText xml:space="preserve"> PAGEREF _Toc27342 </w:instrText>
          </w:r>
          <w:r>
            <w:fldChar w:fldCharType="separate"/>
          </w:r>
          <w:r>
            <w:t>56</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_Toc17081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8.1.1调查的目的</w:t>
          </w:r>
          <w:r>
            <w:tab/>
          </w:r>
          <w:r>
            <w:fldChar w:fldCharType="begin"/>
          </w:r>
          <w:r>
            <w:instrText xml:space="preserve"> PAGEREF _Toc17081 </w:instrText>
          </w:r>
          <w:r>
            <w:fldChar w:fldCharType="separate"/>
          </w:r>
          <w:r>
            <w:t>56</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_Toc27140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8.1.2调查的对象</w:t>
          </w:r>
          <w:r>
            <w:tab/>
          </w:r>
          <w:r>
            <w:fldChar w:fldCharType="begin"/>
          </w:r>
          <w:r>
            <w:instrText xml:space="preserve"> PAGEREF _Toc27140 </w:instrText>
          </w:r>
          <w:r>
            <w:fldChar w:fldCharType="separate"/>
          </w:r>
          <w:r>
            <w:t>56</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_Toc7916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8.1.3调查的方式</w:t>
          </w:r>
          <w:r>
            <w:tab/>
          </w:r>
          <w:r>
            <w:fldChar w:fldCharType="begin"/>
          </w:r>
          <w:r>
            <w:instrText xml:space="preserve"> PAGEREF _Toc7916 </w:instrText>
          </w:r>
          <w:r>
            <w:fldChar w:fldCharType="separate"/>
          </w:r>
          <w:r>
            <w:t>56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_Toc6154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8.2调查结果</w:t>
          </w:r>
          <w:r>
            <w:tab/>
          </w:r>
          <w:r>
            <w:fldChar w:fldCharType="begin"/>
          </w:r>
          <w:r>
            <w:instrText xml:space="preserve"> PAGEREF _Toc6154 </w:instrText>
          </w:r>
          <w:r>
            <w:fldChar w:fldCharType="separate"/>
          </w:r>
          <w:r>
            <w:t>56</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_Toc23707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8.2.1司乘人员</w:t>
          </w:r>
          <w:r>
            <w:tab/>
          </w:r>
          <w:r>
            <w:fldChar w:fldCharType="begin"/>
          </w:r>
          <w:r>
            <w:instrText xml:space="preserve"> PAGEREF _Toc23707 </w:instrText>
          </w:r>
          <w:r>
            <w:fldChar w:fldCharType="separate"/>
          </w:r>
          <w:r>
            <w:t>56</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_Toc22743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8.2.2道路沿线公众</w:t>
          </w:r>
          <w:r>
            <w:tab/>
          </w:r>
          <w:r>
            <w:fldChar w:fldCharType="begin"/>
          </w:r>
          <w:r>
            <w:instrText xml:space="preserve"> PAGEREF _Toc22743 </w:instrText>
          </w:r>
          <w:r>
            <w:fldChar w:fldCharType="separate"/>
          </w:r>
          <w:r>
            <w:t>59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_Toc14660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8.2.3小结与建议</w:t>
          </w:r>
          <w:r>
            <w:tab/>
          </w:r>
          <w:r>
            <w:fldChar w:fldCharType="begin"/>
          </w:r>
          <w:r>
            <w:instrText xml:space="preserve"> PAGEREF _Toc14660 </w:instrText>
          </w:r>
          <w:r>
            <w:fldChar w:fldCharType="separate"/>
          </w:r>
          <w:r>
            <w:t>61</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_Toc16334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9 风险事故防范与应急措施调查</w:t>
          </w:r>
          <w:r>
            <w:tab/>
          </w:r>
          <w:r>
            <w:fldChar w:fldCharType="begin"/>
          </w:r>
          <w:r>
            <w:instrText xml:space="preserve"> PAGEREF _Toc16334 </w:instrText>
          </w:r>
          <w:r>
            <w:fldChar w:fldCharType="separate"/>
          </w:r>
          <w:r>
            <w:t>61</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_Toc32560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9.1风险因素调查</w:t>
          </w:r>
          <w:r>
            <w:tab/>
          </w:r>
          <w:r>
            <w:fldChar w:fldCharType="begin"/>
          </w:r>
          <w:r>
            <w:instrText xml:space="preserve"> PAGEREF _Toc32560 </w:instrText>
          </w:r>
          <w:r>
            <w:fldChar w:fldCharType="separate"/>
          </w:r>
          <w:r>
            <w:t>61</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_Toc10424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9.2风险防范与预防措施</w:t>
          </w:r>
          <w:r>
            <w:tab/>
          </w:r>
          <w:r>
            <w:fldChar w:fldCharType="begin"/>
          </w:r>
          <w:r>
            <w:instrText xml:space="preserve"> PAGEREF _Toc10424 </w:instrText>
          </w:r>
          <w:r>
            <w:fldChar w:fldCharType="separate"/>
          </w:r>
          <w:r>
            <w:t>62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_Toc4868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9.2.1主要预防措施</w:t>
          </w:r>
          <w:r>
            <w:tab/>
          </w:r>
          <w:r>
            <w:fldChar w:fldCharType="begin"/>
          </w:r>
          <w:r>
            <w:instrText xml:space="preserve"> PAGEREF _Toc4868 </w:instrText>
          </w:r>
          <w:r>
            <w:fldChar w:fldCharType="separate"/>
          </w:r>
          <w:r>
            <w:t>62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_Toc1445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9.2.2</w:t>
          </w:r>
          <w:r>
            <w:rPr>
              <w:rFonts w:hint="default" w:ascii="Times New Roman" w:hAnsi="Times New Roman" w:eastAsia="宋体" w:cs="Times New Roman"/>
              <w:szCs w:val="24"/>
              <w:lang w:val="en-US" w:eastAsia="zh-CN"/>
            </w:rPr>
            <w:t>主要应急措施</w:t>
          </w:r>
          <w:r>
            <w:tab/>
          </w:r>
          <w:r>
            <w:fldChar w:fldCharType="begin"/>
          </w:r>
          <w:r>
            <w:instrText xml:space="preserve"> PAGEREF _Toc1445 </w:instrText>
          </w:r>
          <w:r>
            <w:fldChar w:fldCharType="separate"/>
          </w:r>
          <w:r>
            <w:t>63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_Toc9893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9.2.3应急预案</w:t>
          </w:r>
          <w:r>
            <w:tab/>
          </w:r>
          <w:r>
            <w:fldChar w:fldCharType="begin"/>
          </w:r>
          <w:r>
            <w:instrText xml:space="preserve"> PAGEREF _Toc9893 </w:instrText>
          </w:r>
          <w:r>
            <w:fldChar w:fldCharType="separate"/>
          </w:r>
          <w:r>
            <w:t>65</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_Toc28846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10 调查结论及建议</w:t>
          </w:r>
          <w:r>
            <w:tab/>
          </w:r>
          <w:r>
            <w:fldChar w:fldCharType="begin"/>
          </w:r>
          <w:r>
            <w:instrText xml:space="preserve"> PAGEREF _Toc28846 </w:instrText>
          </w:r>
          <w:r>
            <w:fldChar w:fldCharType="separate"/>
          </w:r>
          <w:r>
            <w:t>66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_Toc1128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10.1调查结论</w:t>
          </w:r>
          <w:r>
            <w:tab/>
          </w:r>
          <w:r>
            <w:fldChar w:fldCharType="begin"/>
          </w:r>
          <w:r>
            <w:instrText xml:space="preserve"> PAGEREF _Toc1128 </w:instrText>
          </w:r>
          <w:r>
            <w:fldChar w:fldCharType="separate"/>
          </w:r>
          <w:r>
            <w:t>66</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_Toc18670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10.1.1工程概况</w:t>
          </w:r>
          <w:r>
            <w:tab/>
          </w:r>
          <w:r>
            <w:fldChar w:fldCharType="begin"/>
          </w:r>
          <w:r>
            <w:instrText xml:space="preserve"> PAGEREF _Toc18670 </w:instrText>
          </w:r>
          <w:r>
            <w:fldChar w:fldCharType="separate"/>
          </w:r>
          <w:r>
            <w:t>66</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_Toc15531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10.1.2环保措施落实情况</w:t>
          </w:r>
          <w:r>
            <w:tab/>
          </w:r>
          <w:r>
            <w:fldChar w:fldCharType="begin"/>
          </w:r>
          <w:r>
            <w:instrText xml:space="preserve"> PAGEREF _Toc15531 </w:instrText>
          </w:r>
          <w:r>
            <w:fldChar w:fldCharType="separate"/>
          </w:r>
          <w:r>
            <w:t>66</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_Toc7221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10.1.3生态环境</w:t>
          </w:r>
          <w:r>
            <w:tab/>
          </w:r>
          <w:r>
            <w:fldChar w:fldCharType="begin"/>
          </w:r>
          <w:r>
            <w:instrText xml:space="preserve"> PAGEREF _Toc7221 </w:instrText>
          </w:r>
          <w:r>
            <w:fldChar w:fldCharType="separate"/>
          </w:r>
          <w:r>
            <w:t>66</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_Toc4423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10.1.4水环境</w:t>
          </w:r>
          <w:r>
            <w:tab/>
          </w:r>
          <w:r>
            <w:fldChar w:fldCharType="begin"/>
          </w:r>
          <w:r>
            <w:instrText xml:space="preserve"> PAGEREF _Toc4423 </w:instrText>
          </w:r>
          <w:r>
            <w:fldChar w:fldCharType="separate"/>
          </w:r>
          <w:r>
            <w:t>66</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_Toc27442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10.1.5环境空气</w:t>
          </w:r>
          <w:r>
            <w:tab/>
          </w:r>
          <w:r>
            <w:fldChar w:fldCharType="begin"/>
          </w:r>
          <w:r>
            <w:instrText xml:space="preserve"> PAGEREF _Toc27442 </w:instrText>
          </w:r>
          <w:r>
            <w:fldChar w:fldCharType="separate"/>
          </w:r>
          <w:r>
            <w:t>67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_Toc5498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10.1.6声环境</w:t>
          </w:r>
          <w:r>
            <w:tab/>
          </w:r>
          <w:r>
            <w:fldChar w:fldCharType="begin"/>
          </w:r>
          <w:r>
            <w:instrText xml:space="preserve"> PAGEREF _Toc5498 </w:instrText>
          </w:r>
          <w:r>
            <w:fldChar w:fldCharType="separate"/>
          </w:r>
          <w:r>
            <w:t>67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_Toc1077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10.1.7固体废物</w:t>
          </w:r>
          <w:r>
            <w:tab/>
          </w:r>
          <w:r>
            <w:fldChar w:fldCharType="begin"/>
          </w:r>
          <w:r>
            <w:instrText xml:space="preserve"> PAGEREF _Toc1077 </w:instrText>
          </w:r>
          <w:r>
            <w:fldChar w:fldCharType="separate"/>
          </w:r>
          <w:r>
            <w:t>67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_Toc28219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10.1.8公众调查</w:t>
          </w:r>
          <w:r>
            <w:tab/>
          </w:r>
          <w:r>
            <w:fldChar w:fldCharType="begin"/>
          </w:r>
          <w:r>
            <w:instrText xml:space="preserve"> PAGEREF _Toc28219 </w:instrText>
          </w:r>
          <w:r>
            <w:fldChar w:fldCharType="separate"/>
          </w:r>
          <w:r>
            <w:t>67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_Toc20661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10.1.9应急预案</w:t>
          </w:r>
          <w:r>
            <w:tab/>
          </w:r>
          <w:r>
            <w:fldChar w:fldCharType="begin"/>
          </w:r>
          <w:r>
            <w:instrText xml:space="preserve"> PAGEREF _Toc20661 </w:instrText>
          </w:r>
          <w:r>
            <w:fldChar w:fldCharType="separate"/>
          </w:r>
          <w:r>
            <w:t>67</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_Toc15894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10.2建议</w:t>
          </w:r>
          <w:r>
            <w:tab/>
          </w:r>
          <w:r>
            <w:fldChar w:fldCharType="begin"/>
          </w:r>
          <w:r>
            <w:instrText xml:space="preserve"> PAGEREF _Toc15894 </w:instrText>
          </w:r>
          <w:r>
            <w:fldChar w:fldCharType="separate"/>
          </w:r>
          <w:r>
            <w:t>67</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_Toc5173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附件一：立项文件批复</w:t>
          </w:r>
          <w:r>
            <w:tab/>
          </w:r>
          <w:r>
            <w:fldChar w:fldCharType="begin"/>
          </w:r>
          <w:r>
            <w:instrText xml:space="preserve"> PAGEREF _Toc5173 </w:instrText>
          </w:r>
          <w:r>
            <w:fldChar w:fldCharType="separate"/>
          </w:r>
          <w:r>
            <w:t>69</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_Toc24834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附件二：环评批复文件</w:t>
          </w:r>
          <w:r>
            <w:tab/>
          </w:r>
          <w:r>
            <w:fldChar w:fldCharType="begin"/>
          </w:r>
          <w:r>
            <w:instrText xml:space="preserve"> PAGEREF _Toc24834 </w:instrText>
          </w:r>
          <w:r>
            <w:fldChar w:fldCharType="separate"/>
          </w:r>
          <w:r>
            <w:t>71</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_Toc20299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附件三：验收监测报告</w:t>
          </w:r>
          <w:r>
            <w:tab/>
          </w:r>
          <w:r>
            <w:fldChar w:fldCharType="begin"/>
          </w:r>
          <w:r>
            <w:instrText xml:space="preserve"> PAGEREF _Toc20299 </w:instrText>
          </w:r>
          <w:r>
            <w:fldChar w:fldCharType="separate"/>
          </w:r>
          <w:r>
            <w:t>75</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_Toc32721 </w:instrText>
          </w:r>
          <w:r>
            <w:rPr>
              <w:rFonts w:hint="default" w:ascii="仿宋" w:hAnsi="仿宋" w:eastAsia="仿宋" w:cs="仿宋"/>
              <w:szCs w:val="32"/>
              <w:lang w:val="en-US" w:eastAsia="zh-CN"/>
            </w:rPr>
            <w:fldChar w:fldCharType="separate"/>
          </w:r>
          <w:r>
            <w:rPr>
              <w:rFonts w:hint="eastAsia"/>
              <w:lang w:val="en-US" w:eastAsia="zh-CN"/>
            </w:rPr>
            <w:t>附件四：验收意见</w:t>
          </w:r>
          <w:r>
            <w:tab/>
          </w:r>
          <w:r>
            <w:fldChar w:fldCharType="begin"/>
          </w:r>
          <w:r>
            <w:instrText xml:space="preserve"> PAGEREF _Toc32721 </w:instrText>
          </w:r>
          <w:r>
            <w:fldChar w:fldCharType="separate"/>
          </w:r>
          <w:r>
            <w:t>114</w:t>
          </w:r>
          <w:r>
            <w:fldChar w:fldCharType="end"/>
          </w:r>
          <w:r>
            <w:rPr>
              <w:rFonts w:hint="default" w:ascii="仿宋" w:hAnsi="仿宋" w:eastAsia="仿宋" w:cs="仿宋"/>
              <w:szCs w:val="32"/>
              <w:lang w:val="en-US" w:eastAsia="zh-CN"/>
            </w:rPr>
            <w:fldChar w:fldCharType="end"/>
          </w:r>
        </w:p>
        <w:p>
          <w:pPr>
            <w:jc w:val="left"/>
            <w:rPr>
              <w:rFonts w:hint="default"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r>
            <w:rPr>
              <w:rFonts w:hint="default" w:ascii="仿宋" w:hAnsi="仿宋" w:eastAsia="仿宋" w:cs="仿宋"/>
              <w:szCs w:val="32"/>
              <w:lang w:val="en-US" w:eastAsia="zh-CN"/>
            </w:rPr>
            <w:fldChar w:fldCharType="end"/>
          </w:r>
        </w:p>
      </w:sdtContent>
    </w:sdt>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eastAsia" w:ascii="宋体" w:hAnsi="宋体" w:eastAsia="宋体" w:cs="宋体"/>
          <w:b/>
          <w:bCs/>
          <w:sz w:val="32"/>
          <w:szCs w:val="32"/>
          <w:lang w:val="en-US" w:eastAsia="zh-CN"/>
        </w:rPr>
      </w:pPr>
      <w:bookmarkStart w:id="0" w:name="_Toc16125"/>
      <w:r>
        <w:rPr>
          <w:rFonts w:hint="eastAsia" w:ascii="宋体" w:hAnsi="宋体" w:eastAsia="宋体" w:cs="宋体"/>
          <w:b/>
          <w:bCs/>
          <w:sz w:val="32"/>
          <w:szCs w:val="32"/>
          <w:lang w:val="en-US" w:eastAsia="zh-CN"/>
        </w:rPr>
        <w:t>前  言</w:t>
      </w:r>
      <w:bookmarkEnd w:id="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白金大道项目位于贵阳市北面的白云区、高新区范围，为园区内部主骨架路网，为“一纵一横“之纵向道路。南起观山湖区长岭路北段与东林寺路交叉口，向北经艳山红铁路编组站、白云大道、同心路、白云环路、绕城高速公路、干田路、麦沙大道等，终点止于沙文生态产业园北面的青山路。道路走向与贵遵高速路、G210大致平行。从路网中可以看出白金大道作为片区南北向的主干道，不仅联系观山湖区、白云区和沙文生态科技产业园，还与道路沿线周边的众多主、次干路及支路相连接，是贵阳市规划路网中的重要城市主干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白金大道作为沙文生态科技产业园内主干路网“一纵一横“之纵向道路，同时还是联系园区与白云区、观山湖区的主要通道，及贵阳大数据产业的主要发展轴，道路的建成通车对于促进和完善科技园区与外界的联系起到积极的促进作用。为满足园区日子增加的交通需求，树立园区的整体景观形象，实现白金大道兼顾过境交通和区域内部交通的需要，需对道路进行提升改造。白金大道现状道路全宽 40~60米，全长11.58公里，设计车速60km/h。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白金大道全线提升改造工程分为三期实施，涉及的内容主要有路幅加宽、管线改迁及绿化景观提升等。一期工程范围为东林寺路—同心路路段；二期工程范围为同心路—白云环路路段；三期工程范围为白云环路—青山路路段。其中白金大道提升改造一期工程（东林寺路至同心路段）已于2014年5月开工，目前已基本提升改造完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b w:val="0"/>
          <w:bCs w:val="0"/>
          <w:sz w:val="24"/>
          <w:szCs w:val="24"/>
          <w:lang w:val="en-US" w:eastAsia="zh-CN"/>
        </w:rPr>
        <w:t>白金大道同心路至云环路段道路两侧为居民居住区，交通量大，同时由于园区建设，超限超载车辆较多。路段交通拥堵，车道宽度与规划及园区发展不符，道路景观绿化效果较差，路基沉降严重，局部路段路面破损、沉降等问题，严重影响城市道路整体形象，成为目前白金大道的主要瓶颈。白金大道提升改造二期工程将为缓解道路交通，增加道路承载力以及区域发展起到重要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为此，</w:t>
      </w:r>
      <w:r>
        <w:rPr>
          <w:rFonts w:hint="eastAsia" w:ascii="Times New Roman" w:hAnsi="Times New Roman" w:eastAsia="宋体" w:cs="Times New Roman"/>
          <w:sz w:val="24"/>
          <w:szCs w:val="24"/>
          <w:lang w:eastAsia="zh-CN"/>
        </w:rPr>
        <w:t>贵阳高科控股集团有限公司</w:t>
      </w:r>
      <w:r>
        <w:rPr>
          <w:rFonts w:hint="default" w:ascii="Times New Roman" w:hAnsi="Times New Roman" w:eastAsia="宋体" w:cs="Times New Roman"/>
          <w:sz w:val="24"/>
          <w:szCs w:val="24"/>
        </w:rPr>
        <w:t>实施本项目，道路全段设计为60km/h行车速度，总长</w:t>
      </w:r>
      <w:r>
        <w:rPr>
          <w:rFonts w:hint="eastAsia" w:ascii="Times New Roman" w:hAnsi="Times New Roman" w:eastAsia="宋体" w:cs="Times New Roman"/>
          <w:sz w:val="24"/>
          <w:szCs w:val="24"/>
          <w:lang w:val="en-US" w:eastAsia="zh-CN"/>
        </w:rPr>
        <w:t>2.48</w:t>
      </w:r>
      <w:r>
        <w:rPr>
          <w:rFonts w:hint="default" w:ascii="Times New Roman" w:hAnsi="Times New Roman" w:eastAsia="宋体" w:cs="Times New Roman"/>
          <w:sz w:val="24"/>
          <w:szCs w:val="24"/>
        </w:rPr>
        <w:t>km</w:t>
      </w:r>
      <w:r>
        <w:rPr>
          <w:rFonts w:hint="eastAsia" w:ascii="Times New Roman" w:hAnsi="Times New Roman" w:eastAsia="宋体" w:cs="Times New Roman"/>
          <w:sz w:val="24"/>
          <w:szCs w:val="24"/>
          <w:lang w:eastAsia="zh-CN"/>
        </w:rPr>
        <w:t>，主线高架桥长</w:t>
      </w:r>
      <w:r>
        <w:rPr>
          <w:rFonts w:hint="eastAsia" w:ascii="Times New Roman" w:hAnsi="Times New Roman" w:eastAsia="宋体" w:cs="Times New Roman"/>
          <w:sz w:val="24"/>
          <w:szCs w:val="24"/>
          <w:lang w:val="en-US" w:eastAsia="zh-CN"/>
        </w:rPr>
        <w:t>1.97km，宽17.5m，双向四车道，</w:t>
      </w:r>
      <w:r>
        <w:rPr>
          <w:rFonts w:hint="eastAsia" w:ascii="Times New Roman" w:hAnsi="Times New Roman" w:eastAsia="宋体" w:cs="Times New Roman"/>
          <w:sz w:val="24"/>
          <w:szCs w:val="24"/>
          <w:lang w:eastAsia="zh-CN"/>
        </w:rPr>
        <w:t>总投资</w:t>
      </w:r>
      <w:r>
        <w:rPr>
          <w:rFonts w:hint="eastAsia" w:ascii="Times New Roman" w:hAnsi="Times New Roman" w:eastAsia="宋体" w:cs="Times New Roman"/>
          <w:sz w:val="24"/>
          <w:szCs w:val="24"/>
          <w:lang w:val="en-US" w:eastAsia="zh-CN"/>
        </w:rPr>
        <w:t>238496.57万元</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贵阳国家高新技术产业开发区产业发展局</w:t>
      </w:r>
      <w:r>
        <w:rPr>
          <w:rFonts w:hint="default" w:ascii="Times New Roman" w:hAnsi="Times New Roman" w:eastAsia="宋体" w:cs="Times New Roman"/>
          <w:sz w:val="24"/>
          <w:szCs w:val="24"/>
        </w:rPr>
        <w:t>于20</w:t>
      </w:r>
      <w:r>
        <w:rPr>
          <w:rFonts w:hint="eastAsia" w:ascii="Times New Roman" w:hAnsi="Times New Roman" w:eastAsia="宋体" w:cs="Times New Roman"/>
          <w:sz w:val="24"/>
          <w:szCs w:val="24"/>
          <w:lang w:val="en-US" w:eastAsia="zh-CN"/>
        </w:rPr>
        <w:t>16</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3日</w:t>
      </w:r>
      <w:r>
        <w:rPr>
          <w:rFonts w:hint="default" w:ascii="Times New Roman" w:hAnsi="Times New Roman" w:eastAsia="宋体" w:cs="Times New Roman"/>
          <w:sz w:val="24"/>
          <w:szCs w:val="24"/>
        </w:rPr>
        <w:t>以</w:t>
      </w:r>
      <w:r>
        <w:rPr>
          <w:rFonts w:hint="eastAsia" w:ascii="Times New Roman" w:hAnsi="Times New Roman" w:eastAsia="宋体" w:cs="Times New Roman"/>
          <w:sz w:val="24"/>
          <w:szCs w:val="24"/>
          <w:lang w:eastAsia="zh-CN"/>
        </w:rPr>
        <w:t>高新产项[2016]102号</w:t>
      </w:r>
      <w:r>
        <w:rPr>
          <w:rFonts w:hint="default" w:ascii="Times New Roman" w:hAnsi="Times New Roman" w:eastAsia="宋体" w:cs="Times New Roman"/>
          <w:sz w:val="24"/>
          <w:szCs w:val="24"/>
        </w:rPr>
        <w:t>文同意项目建设。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根据《中华人民共和国环境保护法》及《建设项目竣工环境保护验收管理办法》（国家环保总局第</w:t>
      </w:r>
      <w:r>
        <w:rPr>
          <w:rFonts w:hint="default" w:ascii="Times New Roman" w:hAnsi="Times New Roman" w:eastAsia="宋体" w:cs="Times New Roman"/>
          <w:sz w:val="24"/>
          <w:szCs w:val="24"/>
          <w:lang w:val="en-US" w:eastAsia="zh-CN"/>
        </w:rPr>
        <w:t>13</w:t>
      </w:r>
      <w:r>
        <w:rPr>
          <w:rFonts w:hint="eastAsia" w:ascii="Times New Roman" w:hAnsi="Times New Roman" w:eastAsia="宋体" w:cs="Times New Roman"/>
          <w:sz w:val="24"/>
          <w:szCs w:val="24"/>
          <w:lang w:val="en-US" w:eastAsia="zh-CN"/>
        </w:rPr>
        <w:t>号令）等有关规定，按照环境保护设施与主体工程同时设计、同时施工、同时投入使用的“三同时”制度的要求，需查清工程在施工过程中对环境影响报告书和工程设计文件所提出的环境保护措施和建议的落实情况，调查分析公路在建设和运营期间对环境已造成的实际影响及可能存在的潜在影响，以便采取有效的环境保护补救措施，全面做好环境保护工作，为工程竣工环境保护验收提供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我公司于2020年3月份接受贵阳高科控股集团有限公司委托，对白金大道道路工程进行竣工环境保护验收调查并组织监测，编制《白金大道提升改造二期工程（近期）建设工程项目竣工环境保护验收调查报告》。</w:t>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default" w:ascii="Times New Roman" w:hAnsi="Times New Roman" w:eastAsia="宋体" w:cs="Times New Roman"/>
          <w:b/>
          <w:bCs/>
          <w:sz w:val="28"/>
          <w:szCs w:val="28"/>
          <w:lang w:val="en-US" w:eastAsia="zh-CN"/>
        </w:rPr>
      </w:pPr>
      <w:bookmarkStart w:id="1" w:name="_Toc27354"/>
      <w:r>
        <w:rPr>
          <w:rFonts w:hint="default" w:ascii="Times New Roman" w:hAnsi="Times New Roman" w:eastAsia="宋体" w:cs="Times New Roman"/>
          <w:b/>
          <w:bCs/>
          <w:sz w:val="28"/>
          <w:szCs w:val="28"/>
          <w:lang w:val="en-US" w:eastAsia="zh-CN"/>
        </w:rPr>
        <w:t>1 总论</w:t>
      </w:r>
      <w:bookmarkEnd w:id="1"/>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1"/>
        <w:rPr>
          <w:rFonts w:hint="default" w:ascii="Times New Roman" w:hAnsi="Times New Roman" w:eastAsia="宋体" w:cs="Times New Roman"/>
          <w:sz w:val="24"/>
          <w:szCs w:val="24"/>
          <w:lang w:val="en-US" w:eastAsia="zh-CN"/>
        </w:rPr>
      </w:pPr>
      <w:bookmarkStart w:id="2" w:name="_Toc31975"/>
      <w:r>
        <w:rPr>
          <w:rFonts w:hint="default" w:ascii="Times New Roman" w:hAnsi="Times New Roman" w:eastAsia="宋体" w:cs="Times New Roman"/>
          <w:sz w:val="24"/>
          <w:szCs w:val="24"/>
          <w:lang w:val="en-US" w:eastAsia="zh-CN"/>
        </w:rPr>
        <w:t>1.1编制依据</w:t>
      </w:r>
      <w:bookmarkEnd w:id="2"/>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sz w:val="24"/>
          <w:szCs w:val="24"/>
          <w:lang w:val="en-US" w:eastAsia="zh-CN"/>
        </w:rPr>
      </w:pPr>
      <w:bookmarkStart w:id="3" w:name="_Toc6274"/>
      <w:r>
        <w:rPr>
          <w:rFonts w:hint="default" w:ascii="Times New Roman" w:hAnsi="Times New Roman" w:eastAsia="宋体" w:cs="Times New Roman"/>
          <w:sz w:val="24"/>
          <w:szCs w:val="24"/>
          <w:lang w:val="en-US" w:eastAsia="zh-CN"/>
        </w:rPr>
        <w:t>1.1.1法律法规</w:t>
      </w:r>
      <w:bookmarkEnd w:id="3"/>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《中华人民共和国环境保护法》（2014.4.24）</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《中华人民共和国水土保持法》（201</w:t>
      </w:r>
      <w:r>
        <w:rPr>
          <w:rFonts w:hint="eastAsia"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12.25</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《中华人民共和国土地管理法》（2004.8.28）</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《中华人民共和国环境噪声污染防治法》（1996.10.29）</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《中华人民共和国水污染防治法》（2008.2.28）</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《中华人民共和国大气污染防治法》（2000.4.29）</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《中华人民共和国固体废物污染环境防治法》（2004.12.29）</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《中华人民共和国环境影响评价法》（2002.10.28）</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《中华人民共和国公路法》（2004.8.28）</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《建设项目环境保护管理条例》（国务院令第</w:t>
      </w:r>
      <w:r>
        <w:rPr>
          <w:rFonts w:hint="eastAsia" w:ascii="Times New Roman" w:hAnsi="Times New Roman" w:eastAsia="宋体" w:cs="Times New Roman"/>
          <w:sz w:val="24"/>
          <w:szCs w:val="24"/>
          <w:lang w:val="en-US" w:eastAsia="zh-CN"/>
        </w:rPr>
        <w:t>682</w:t>
      </w:r>
      <w:r>
        <w:rPr>
          <w:rFonts w:hint="default" w:ascii="Times New Roman" w:hAnsi="Times New Roman" w:eastAsia="宋体" w:cs="Times New Roman"/>
          <w:sz w:val="24"/>
          <w:szCs w:val="24"/>
          <w:lang w:val="en-US" w:eastAsia="zh-CN"/>
        </w:rPr>
        <w:t>号，</w:t>
      </w:r>
      <w:r>
        <w:rPr>
          <w:rFonts w:hint="eastAsia" w:ascii="Times New Roman" w:hAnsi="Times New Roman" w:eastAsia="宋体" w:cs="Times New Roman"/>
          <w:sz w:val="24"/>
          <w:szCs w:val="24"/>
          <w:lang w:val="en-US" w:eastAsia="zh-CN"/>
        </w:rPr>
        <w:t>2017.07.16</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《建设项目竣工环境保护验收</w:t>
      </w:r>
      <w:r>
        <w:rPr>
          <w:rFonts w:hint="eastAsia" w:ascii="Times New Roman" w:hAnsi="Times New Roman" w:eastAsia="宋体" w:cs="Times New Roman"/>
          <w:sz w:val="24"/>
          <w:szCs w:val="24"/>
          <w:lang w:val="en-US" w:eastAsia="zh-CN"/>
        </w:rPr>
        <w:t>暂行</w:t>
      </w:r>
      <w:r>
        <w:rPr>
          <w:rFonts w:hint="default" w:ascii="Times New Roman" w:hAnsi="Times New Roman" w:eastAsia="宋体" w:cs="Times New Roman"/>
          <w:sz w:val="24"/>
          <w:szCs w:val="24"/>
          <w:lang w:val="en-US" w:eastAsia="zh-CN"/>
        </w:rPr>
        <w:t>办法》（</w:t>
      </w:r>
      <w:r>
        <w:rPr>
          <w:rFonts w:hint="eastAsia" w:ascii="Times New Roman" w:hAnsi="Times New Roman" w:eastAsia="宋体" w:cs="Times New Roman"/>
          <w:sz w:val="24"/>
          <w:szCs w:val="24"/>
          <w:lang w:val="en-US" w:eastAsia="zh-CN"/>
        </w:rPr>
        <w:t>国环规环评[2017]4号，2017.11.20</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《饮用水水源保护区污染防治管理规定》（国家环保总局</w:t>
      </w:r>
      <w:r>
        <w:rPr>
          <w:rFonts w:hint="eastAsia" w:ascii="Times New Roman" w:hAnsi="Times New Roman" w:eastAsia="宋体" w:cs="Times New Roman"/>
          <w:sz w:val="24"/>
          <w:szCs w:val="24"/>
          <w:lang w:val="en-US" w:eastAsia="zh-CN"/>
        </w:rPr>
        <w:t>2010.12.22</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《基本农田保护条例》（国务院第257号令，1998.12.2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《土地复垦规定》（国务院，198</w:t>
      </w:r>
      <w:r>
        <w:rPr>
          <w:rFonts w:hint="eastAsia" w:ascii="Times New Roman" w:hAnsi="Times New Roman" w:eastAsia="宋体" w:cs="Times New Roman"/>
          <w:sz w:val="24"/>
          <w:szCs w:val="24"/>
          <w:lang w:val="en-US" w:eastAsia="zh-CN"/>
        </w:rPr>
        <w:t>9.1.1</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《关于环境保护若干问题的决定》（国发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1996</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31号）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《关于建设项目环境保护设施竣工验收监测管理有关问题的通知》（环发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2000</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38号）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《国务院进一步推行全国绿色通道建设的通知》（国发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2000</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31号）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《国务院关于坚决制止占用基本农田进行植树等行为的紧急通知》（国发明电</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2004</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《国家环境保护总局、国家发展和改革委员会、交通部关于加强公路规划和建设环境影响评价工作的通知》（环发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2007</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184号）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《关于建设项目竣工环境保护验收实行公示的通知》（国家环保总局26号文，2003）</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《建设项目竣工环境保护验收技术规范生态影响类》（HJ/T394/2007，国家环境保护总局，2008.2.1）</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《环境保护部建设项目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三同时</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监督检查和竣工环保验收管理规程（试行）》（环发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2009</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150号，环境保护部）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《建设项目竣工环境保护验收技术规范 公路》（HJ552-2010）</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《公路建设项目环境影响评价规范》（JT05-20</w:t>
      </w:r>
      <w:r>
        <w:rPr>
          <w:rFonts w:hint="eastAsia"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lang w:val="en-US" w:eastAsia="zh-CN"/>
        </w:rPr>
        <w:t>6，交通部）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《贵州省环境保护条例》（2009.6）。</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imes New Roman"/>
          <w:sz w:val="24"/>
          <w:szCs w:val="24"/>
          <w:lang w:val="en-US" w:eastAsia="zh-CN"/>
        </w:rPr>
      </w:pPr>
      <w:bookmarkStart w:id="4" w:name="_Toc22621"/>
      <w:r>
        <w:rPr>
          <w:rFonts w:hint="eastAsia" w:ascii="Times New Roman" w:hAnsi="Times New Roman" w:eastAsia="宋体" w:cs="Times New Roman"/>
          <w:sz w:val="24"/>
          <w:szCs w:val="24"/>
          <w:lang w:val="en-US" w:eastAsia="zh-CN"/>
        </w:rPr>
        <w:t>1.1.2工程技术资料</w:t>
      </w:r>
      <w:bookmarkEnd w:id="4"/>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《关于“白金大道提升改造二期工程（近期）建设工程”项目项目建议书的批复》（高新产项[2016]102号），</w:t>
      </w:r>
      <w:r>
        <w:rPr>
          <w:rFonts w:hint="eastAsia" w:ascii="Times New Roman" w:hAnsi="Times New Roman" w:eastAsia="宋体" w:cs="Times New Roman"/>
          <w:sz w:val="24"/>
          <w:szCs w:val="24"/>
          <w:lang w:eastAsia="zh-CN"/>
        </w:rPr>
        <w:t>贵阳国家高新技术产业开发区产业发展局</w:t>
      </w:r>
      <w:r>
        <w:rPr>
          <w:rFonts w:hint="eastAsia" w:ascii="Times New Roman" w:hAnsi="Times New Roman" w:eastAsia="宋体" w:cs="Times New Roman"/>
          <w:sz w:val="24"/>
          <w:szCs w:val="24"/>
          <w:lang w:val="en-US" w:eastAsia="zh-CN"/>
        </w:rPr>
        <w:t>，2016.02.03；</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《白金大道提升改造二期工程（近期）建设工程项目环境影响评价报告书》，中冶节能环保有限责任公司，2016.10；</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《关于白金大道提升改造二期工程（近期）建设工程项目环境影响评价报告书的批复》（筑环审[2016]47号），贵阳市环境保护局，2016.11.25。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5" w:name="_Toc2296"/>
      <w:r>
        <w:rPr>
          <w:rFonts w:hint="eastAsia" w:ascii="Times New Roman" w:hAnsi="Times New Roman" w:eastAsia="宋体" w:cs="Times New Roman"/>
          <w:sz w:val="24"/>
          <w:szCs w:val="24"/>
          <w:lang w:val="en-US" w:eastAsia="zh-CN"/>
        </w:rPr>
        <w:t>1.2调查目的</w:t>
      </w:r>
      <w:bookmarkEnd w:id="5"/>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调查工程在设计、施工、运行和管理等方面落实环境影响报告书提出的环保措施情况，以及对各级行政主管部门批复要求的落实情况；</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调查本工程已采取的生态保护、水土保持及污染控制措施，并通过对项目所在区域环境现状监测和调查结果，分析各项措施实施的有效性，针对已产生的环境问题及可能存在的潜在环境影响，提出切实可行的补救措施，对已实施的尚不完善的措施提出改进意见；</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根据工程环境影响情况的调查，客观、公正地从技术上论证该公路是否符合竣工环境保护验收条件。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6" w:name="_Toc28180"/>
      <w:r>
        <w:rPr>
          <w:rFonts w:hint="eastAsia" w:ascii="Times New Roman" w:hAnsi="Times New Roman" w:eastAsia="宋体" w:cs="Times New Roman"/>
          <w:sz w:val="24"/>
          <w:szCs w:val="24"/>
          <w:lang w:val="en-US" w:eastAsia="zh-CN"/>
        </w:rPr>
        <w:t>1.3调查方法</w:t>
      </w:r>
      <w:bookmarkEnd w:id="6"/>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原则上采用《建设项目竣工环境保护验收技术规范</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生态影响类》和《建设项目竣工环境保护验收技术规范 公路》要求执行，并参照《公路建设项目环境影响评价规范》规定的方法；</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环境影响分析采用资料调研、现场调查和现状监测相结合的方法；</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线路调查采用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逐点逐段、点段结合、突出重点</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的方法；</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环境保护措施有效性分析采用改进已有措施与提出补救措施相结合的方法。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5271135" cy="6235065"/>
            <wp:effectExtent l="0" t="0" r="5715"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271135" cy="62350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lang w:eastAsia="zh-CN"/>
        </w:rPr>
      </w:pPr>
      <w:r>
        <w:rPr>
          <w:rFonts w:hint="eastAsia"/>
          <w:lang w:eastAsia="zh-CN"/>
        </w:rPr>
        <w:t>验收调查工作流程图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default" w:ascii="Times New Roman" w:hAnsi="Times New Roman" w:cs="Times New Roman"/>
          <w:lang w:val="en-US" w:eastAsia="zh-CN"/>
        </w:rPr>
      </w:pPr>
      <w:bookmarkStart w:id="7" w:name="_Toc17317"/>
      <w:r>
        <w:rPr>
          <w:rFonts w:hint="default" w:ascii="Times New Roman" w:hAnsi="Times New Roman" w:cs="Times New Roman"/>
          <w:lang w:val="en-US" w:eastAsia="zh-CN"/>
        </w:rPr>
        <w:t>1.4调查范围及因子</w:t>
      </w:r>
      <w:bookmarkEnd w:id="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cs="Times New Roman"/>
          <w:lang w:val="en-US" w:eastAsia="zh-CN"/>
        </w:rPr>
      </w:pPr>
      <w:bookmarkStart w:id="8" w:name="_Toc14133"/>
      <w:r>
        <w:rPr>
          <w:rFonts w:hint="default" w:ascii="Times New Roman" w:hAnsi="Times New Roman" w:cs="Times New Roman"/>
          <w:lang w:val="en-US" w:eastAsia="zh-CN"/>
        </w:rPr>
        <w:t>1.4.1</w:t>
      </w:r>
      <w:r>
        <w:rPr>
          <w:rFonts w:hint="eastAsia" w:ascii="Times New Roman" w:hAnsi="Times New Roman" w:cs="Times New Roman"/>
          <w:lang w:val="en-US" w:eastAsia="zh-CN"/>
        </w:rPr>
        <w:t>调查范围</w:t>
      </w:r>
      <w:bookmarkEnd w:id="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本次竣工环境保护验收调查的范围为白金大道提升改造二期工程（近期）建设工程项目沿线设施、敏感点等。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白金大道提升改造二期工程起于同心路往南约300m处（K2+460），经同心路，止于云环路往北约400米处（K4+960），分近期、远期两部分施工。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近期建设规模为：保留地面层现状40m宽，利用现状3.6m中分带设置高架桥，道路全长2.48km，主线高架桥长1.97km，宽17.5m，双向四车道；云环路北侧设置宽9.5m高架上下匝道1条；远期建设规模为：待周边旧城拆迁改造后，保持高架桥双向四车道不变，地面道路拓宽为60m双向8车道，道路两侧各设置10m宽绿化带，总宽80m，实施余下4条上下匝道、同心路及云环路下拉槽、人行过街地道等工程；建设内容包括路基路面修复工程，道路（匝道）工程、桥梁工程、人行过街地道工程、管网工程、景观绿化工程、电力照明工程、道路沿线管线迁改工程、交通工程及附属工程。项目总投资238496.57万元（其中近期41224.02万元、远期197272.55万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远期建设规模为：周边旧城区改造，拆迁完成后，保持高架双向四车道不变，地面道路拓宽为双向8车道（内侧两车道为预留BRT专用车道），红线按规划拓宽为60m，道路两侧各设置10m宽绿化带，总宽80m。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本次验收仅针对项目近期建设进行评价。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szCs w:val="24"/>
          <w:lang w:val="en-US" w:eastAsia="zh-CN"/>
        </w:rPr>
        <w:t>本工程主要控制点主要控制点：起点高科·花样生活小区（距同心路300m）、向北与同心路形成立交、以高架桥形式经过贵铝社区、贵耐医院、金东社区、龚北社区、塔山公园、白云医院、白沙关社区、白云一中（白云区实验中学）、刘庄村、贵铝职业学院、白云六小、白云欣歆幼儿园、上跨云环路、终点位于云环路往北约400米处，沿线居民点、学校、医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依据环境影响报告书，结合工程的具体情况，此次验收调查范围如下：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（1）生态调查范围：公路中心线两侧各300m以内区域，弃渣场、料场等。经过景区范围内时调查范围扩大到2~8km或整个敏感区内。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（2）声环境调查范围：道路中心线两侧200m范围内的居民住宅、学校等声环境敏感点，重点调查100m范围内受影响的敏感点。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（3）地表水环境（含运输事故风险）调查范围：公路中心线两侧各200m以内的水库、河流、湖泊区域。跨河路段，范围延至桥位上游100m，下游1000m区域。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（4）环境空气调查范围：路中心线两侧各200m范围内。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（5）社会环境调查范围：公路中心线两侧各200m以内的敏感点（如居民点、学校等）</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9" w:name="_Toc14057"/>
      <w:r>
        <w:rPr>
          <w:rFonts w:hint="eastAsia" w:ascii="Times New Roman" w:hAnsi="Times New Roman" w:eastAsia="宋体" w:cs="Times New Roman"/>
          <w:sz w:val="24"/>
          <w:szCs w:val="24"/>
          <w:lang w:val="en-US" w:eastAsia="zh-CN"/>
        </w:rPr>
        <w:t>1.4.2调查因子</w:t>
      </w:r>
      <w:bookmarkEnd w:id="9"/>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生态环境：野生动植物、工程占地类型、取弃土（渣）场的生态恢复状况及已采取的措施、护坡工程及其效果、土地整治工程及其效果、绿化工程及其效果、路基及边坡排水工程的实施效果的调查等；</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声环境：等效声级L</w:t>
      </w:r>
      <w:r>
        <w:rPr>
          <w:rFonts w:hint="default" w:ascii="Times New Roman" w:hAnsi="Times New Roman" w:eastAsia="宋体" w:cs="Times New Roman"/>
          <w:sz w:val="24"/>
          <w:szCs w:val="24"/>
          <w:vertAlign w:val="subscript"/>
          <w:lang w:val="en-US" w:eastAsia="zh-CN"/>
        </w:rPr>
        <w:t>Aeq</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水污染源：</w:t>
      </w:r>
      <w:r>
        <w:rPr>
          <w:rFonts w:hint="eastAsia" w:ascii="Times New Roman" w:hAnsi="Times New Roman" w:eastAsia="宋体" w:cs="Times New Roman"/>
          <w:sz w:val="24"/>
          <w:szCs w:val="24"/>
          <w:lang w:val="en-US" w:eastAsia="zh-CN"/>
        </w:rPr>
        <w:t>COD</w:t>
      </w:r>
      <w:r>
        <w:rPr>
          <w:rFonts w:hint="default" w:ascii="Times New Roman" w:hAnsi="Times New Roman" w:eastAsia="宋体" w:cs="Times New Roman"/>
          <w:sz w:val="24"/>
          <w:szCs w:val="24"/>
          <w:lang w:val="en-US" w:eastAsia="zh-CN"/>
        </w:rPr>
        <w:t>、SS、石油类、氨氮、</w:t>
      </w:r>
      <w:r>
        <w:rPr>
          <w:rFonts w:hint="eastAsia" w:ascii="Times New Roman" w:hAnsi="Times New Roman" w:eastAsia="宋体" w:cs="Times New Roman"/>
          <w:sz w:val="24"/>
          <w:szCs w:val="24"/>
          <w:lang w:val="en-US" w:eastAsia="zh-CN"/>
        </w:rPr>
        <w:t>p</w:t>
      </w:r>
      <w:r>
        <w:rPr>
          <w:rFonts w:hint="default" w:ascii="Times New Roman" w:hAnsi="Times New Roman" w:eastAsia="宋体" w:cs="Times New Roman"/>
          <w:sz w:val="24"/>
          <w:szCs w:val="24"/>
          <w:lang w:val="en-US" w:eastAsia="zh-CN"/>
        </w:rPr>
        <w:t>H，以及污（废）水排放量及排放去向；</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运输事故风险：排水设施、相关防范措施、应急预案及管理办法；</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大气污染源：NO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、TSP。</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10" w:name="_Toc17171"/>
      <w:r>
        <w:rPr>
          <w:rFonts w:hint="eastAsia" w:ascii="Times New Roman" w:hAnsi="Times New Roman" w:eastAsia="宋体" w:cs="Times New Roman"/>
          <w:sz w:val="24"/>
          <w:szCs w:val="24"/>
          <w:lang w:val="en-US" w:eastAsia="zh-CN"/>
        </w:rPr>
        <w:t>1.5验收标准</w:t>
      </w:r>
      <w:bookmarkEnd w:id="1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jc w:val="both"/>
        <w:textAlignment w:val="auto"/>
        <w:outlineLvl w:val="9"/>
        <w:rPr>
          <w:rFonts w:hint="eastAsia" w:ascii="宋体" w:hAnsi="宋体" w:eastAsia="宋体" w:cs="宋体"/>
          <w:sz w:val="24"/>
          <w:szCs w:val="24"/>
        </w:rPr>
      </w:pPr>
      <w:r>
        <w:rPr>
          <w:rFonts w:hint="eastAsia" w:ascii="宋体" w:hAnsi="宋体" w:eastAsia="宋体" w:cs="宋体"/>
          <w:spacing w:val="-5"/>
          <w:sz w:val="24"/>
          <w:szCs w:val="24"/>
        </w:rPr>
        <w:t>验收调查原则上采用环境影响报告书所采用的环境标准，对已修订重新颁布</w:t>
      </w:r>
      <w:r>
        <w:rPr>
          <w:rFonts w:hint="eastAsia" w:ascii="宋体" w:hAnsi="宋体" w:eastAsia="宋体" w:cs="宋体"/>
          <w:sz w:val="24"/>
          <w:szCs w:val="24"/>
        </w:rPr>
        <w:t>的标准则采用替代后的新标准进行校核。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cs="Times New Roman"/>
          <w:sz w:val="24"/>
          <w:szCs w:val="24"/>
          <w:lang w:val="en-US" w:eastAsia="zh-CN"/>
        </w:rPr>
      </w:pPr>
      <w:bookmarkStart w:id="11" w:name="_Toc28022"/>
      <w:r>
        <w:rPr>
          <w:rFonts w:hint="default" w:ascii="Times New Roman" w:hAnsi="Times New Roman" w:cs="Times New Roman"/>
          <w:sz w:val="24"/>
          <w:szCs w:val="24"/>
          <w:lang w:val="en-US" w:eastAsia="zh-CN"/>
        </w:rPr>
        <w:t>1.5.1</w:t>
      </w:r>
      <w:r>
        <w:rPr>
          <w:rFonts w:hint="eastAsia" w:ascii="Times New Roman" w:hAnsi="Times New Roman" w:cs="Times New Roman"/>
          <w:sz w:val="24"/>
          <w:szCs w:val="24"/>
          <w:lang w:val="en-US" w:eastAsia="zh-CN"/>
        </w:rPr>
        <w:t>环境质量标准</w:t>
      </w:r>
      <w:bookmarkEnd w:id="11"/>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声环境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环境噪声执行《声环境质量标准》（GB3096-2008）。公路两侧红线外35m以内的区域执行4a 标准（昼70dB夜55dB），35m以外200m以内的区域执行2类标准（昼60dB夜50dB）；调查范围内的学校、医院等特殊敏感区域一律执行2类标准（昼60dB夜 0dB）。具体标准值见表1.5</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表1.5.1-1 声环境质量标准（GB 3096-2008）</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1450"/>
        <w:gridCol w:w="1317"/>
        <w:gridCol w:w="4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hAnsi="Times New Roman" w:eastAsia="宋体" w:cs="Times New Roman"/>
                <w:b/>
                <w:kern w:val="2"/>
                <w:sz w:val="21"/>
                <w:szCs w:val="21"/>
                <w:lang w:val="en-US" w:eastAsia="zh-CN" w:bidi="zh-CN"/>
              </w:rPr>
            </w:pPr>
            <w:r>
              <w:rPr>
                <w:rFonts w:hint="eastAsia" w:ascii="宋体" w:eastAsia="宋体"/>
                <w:b/>
                <w:sz w:val="21"/>
                <w:szCs w:val="21"/>
              </w:rPr>
              <w:t>类别</w:t>
            </w:r>
          </w:p>
        </w:tc>
        <w:tc>
          <w:tcPr>
            <w:tcW w:w="1450"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hAnsi="Times New Roman" w:eastAsia="宋体" w:cs="Times New Roman"/>
                <w:b/>
                <w:kern w:val="2"/>
                <w:sz w:val="21"/>
                <w:szCs w:val="21"/>
                <w:lang w:val="en-US" w:eastAsia="zh-CN" w:bidi="zh-CN"/>
              </w:rPr>
            </w:pPr>
            <w:r>
              <w:rPr>
                <w:rFonts w:hint="eastAsia" w:ascii="宋体" w:eastAsia="宋体"/>
                <w:b/>
                <w:sz w:val="21"/>
                <w:szCs w:val="21"/>
              </w:rPr>
              <w:t>昼间</w:t>
            </w:r>
          </w:p>
        </w:tc>
        <w:tc>
          <w:tcPr>
            <w:tcW w:w="1317"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hAnsi="Times New Roman" w:eastAsia="宋体" w:cs="Times New Roman"/>
                <w:b/>
                <w:kern w:val="2"/>
                <w:sz w:val="21"/>
                <w:szCs w:val="21"/>
                <w:lang w:val="en-US" w:eastAsia="zh-CN" w:bidi="zh-CN"/>
              </w:rPr>
            </w:pPr>
            <w:r>
              <w:rPr>
                <w:rFonts w:hint="eastAsia" w:ascii="宋体" w:eastAsia="宋体"/>
                <w:b/>
                <w:sz w:val="21"/>
                <w:szCs w:val="21"/>
              </w:rPr>
              <w:t>夜间</w:t>
            </w:r>
          </w:p>
        </w:tc>
        <w:tc>
          <w:tcPr>
            <w:tcW w:w="4688"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eastAsia="宋体"/>
                <w:b/>
                <w:sz w:val="21"/>
                <w:szCs w:val="21"/>
                <w:lang w:val="en-US" w:eastAsia="zh-CN"/>
              </w:rPr>
            </w:pPr>
            <w:r>
              <w:rPr>
                <w:rFonts w:hint="eastAsia" w:ascii="宋体" w:eastAsia="宋体"/>
                <w:b/>
                <w:sz w:val="21"/>
                <w:szCs w:val="21"/>
              </w:rPr>
              <w:t>适用区域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2类</w:t>
            </w:r>
          </w:p>
        </w:tc>
        <w:tc>
          <w:tcPr>
            <w:tcW w:w="14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60dB</w:t>
            </w:r>
          </w:p>
        </w:tc>
        <w:tc>
          <w:tcPr>
            <w:tcW w:w="131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50dB</w:t>
            </w:r>
          </w:p>
        </w:tc>
        <w:tc>
          <w:tcPr>
            <w:tcW w:w="46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以商业金融、集市贸易为主要功能，或者居住、商业、工业混 杂，需要维护住宅安静的区域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4a类</w:t>
            </w:r>
          </w:p>
        </w:tc>
        <w:tc>
          <w:tcPr>
            <w:tcW w:w="14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70dB</w:t>
            </w:r>
          </w:p>
        </w:tc>
        <w:tc>
          <w:tcPr>
            <w:tcW w:w="131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55dB</w:t>
            </w:r>
          </w:p>
        </w:tc>
        <w:tc>
          <w:tcPr>
            <w:tcW w:w="46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高速公路、一级公路、二级公路、城市快速路、城市主干路 城市次干路、城市轨道交通（地面段）、内河航道两侧区域</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（2）环境空气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position w:val="2"/>
          <w:sz w:val="24"/>
          <w:szCs w:val="24"/>
        </w:rPr>
        <w:t>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pacing w:val="-17"/>
          <w:position w:val="2"/>
          <w:sz w:val="24"/>
          <w:szCs w:val="24"/>
        </w:rPr>
        <w:t>、</w:t>
      </w:r>
      <w:r>
        <w:rPr>
          <w:rFonts w:hint="default" w:ascii="Times New Roman" w:hAnsi="Times New Roman" w:eastAsia="宋体" w:cs="Times New Roman"/>
          <w:position w:val="2"/>
          <w:sz w:val="24"/>
          <w:szCs w:val="24"/>
        </w:rPr>
        <w:t>TSP</w:t>
      </w:r>
      <w:r>
        <w:rPr>
          <w:rFonts w:hint="default" w:ascii="Times New Roman" w:hAnsi="Times New Roman" w:eastAsia="宋体" w:cs="Times New Roman"/>
          <w:spacing w:val="-4"/>
          <w:position w:val="2"/>
          <w:sz w:val="24"/>
          <w:szCs w:val="24"/>
        </w:rPr>
        <w:t>均执行《环境空气质量标准</w:t>
      </w:r>
      <w:r>
        <w:rPr>
          <w:rFonts w:hint="default" w:ascii="Times New Roman" w:hAnsi="Times New Roman" w:eastAsia="宋体" w:cs="Times New Roman"/>
          <w:spacing w:val="-137"/>
          <w:position w:val="2"/>
          <w:sz w:val="24"/>
          <w:szCs w:val="24"/>
        </w:rPr>
        <w:t>》</w:t>
      </w:r>
      <w:r>
        <w:rPr>
          <w:rFonts w:hint="default" w:ascii="Times New Roman" w:hAnsi="Times New Roman" w:eastAsia="宋体" w:cs="Times New Roman"/>
          <w:position w:val="2"/>
          <w:sz w:val="24"/>
          <w:szCs w:val="24"/>
        </w:rPr>
        <w:t>（GB3095-1996）</w:t>
      </w:r>
      <w:r>
        <w:rPr>
          <w:rFonts w:hint="default" w:ascii="Times New Roman" w:hAnsi="Times New Roman" w:eastAsia="宋体" w:cs="Times New Roman"/>
          <w:spacing w:val="-4"/>
          <w:position w:val="2"/>
          <w:sz w:val="24"/>
          <w:szCs w:val="24"/>
        </w:rPr>
        <w:t>中的二级标准</w:t>
      </w:r>
      <w:r>
        <w:rPr>
          <w:rFonts w:hint="eastAsia" w:ascii="Times New Roman" w:hAnsi="Times New Roman" w:eastAsia="宋体" w:cs="Times New Roman"/>
          <w:spacing w:val="-4"/>
          <w:position w:val="2"/>
          <w:sz w:val="24"/>
          <w:szCs w:val="24"/>
          <w:lang w:eastAsia="zh-CN"/>
        </w:rPr>
        <w:t>。</w:t>
      </w:r>
      <w:r>
        <w:rPr>
          <w:rFonts w:hint="default" w:ascii="Times New Roman" w:hAnsi="Times New Roman" w:cs="Times New Roman"/>
          <w:sz w:val="24"/>
          <w:szCs w:val="24"/>
          <w:lang w:val="en-US" w:eastAsia="zh-CN"/>
        </w:rPr>
        <w:t>具体标准值见表1.5</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lang w:val="en-US" w:eastAsia="zh-CN"/>
        </w:rPr>
        <w:t>表1.5.1-2 环境空气质量标准</w:t>
      </w:r>
    </w:p>
    <w:tbl>
      <w:tblPr>
        <w:tblStyle w:val="11"/>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1093"/>
        <w:gridCol w:w="2330"/>
        <w:gridCol w:w="2284"/>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trPr>
        <w:tc>
          <w:tcPr>
            <w:tcW w:w="2155"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项目</w:t>
            </w:r>
          </w:p>
        </w:tc>
        <w:tc>
          <w:tcPr>
            <w:tcW w:w="23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评价等级</w:t>
            </w:r>
          </w:p>
        </w:tc>
        <w:tc>
          <w:tcPr>
            <w:tcW w:w="231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标准要求</w:t>
            </w:r>
          </w:p>
        </w:tc>
        <w:tc>
          <w:tcPr>
            <w:tcW w:w="170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53"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日均值（</w:t>
            </w:r>
            <w:r>
              <w:rPr>
                <w:rFonts w:hint="default" w:ascii="Times New Roman" w:hAnsi="Times New Roman" w:cs="Times New Roman"/>
                <w:sz w:val="21"/>
                <w:szCs w:val="21"/>
                <w:vertAlign w:val="baseline"/>
                <w:lang w:val="en-US" w:eastAsia="zh-CN"/>
              </w:rPr>
              <w:t>μ</w:t>
            </w:r>
            <w:r>
              <w:rPr>
                <w:rFonts w:hint="eastAsia" w:ascii="Times New Roman" w:hAnsi="Times New Roman" w:cs="Times New Roman"/>
                <w:sz w:val="21"/>
                <w:szCs w:val="21"/>
                <w:vertAlign w:val="baseline"/>
                <w:lang w:val="en-US" w:eastAsia="zh-CN"/>
              </w:rPr>
              <w:t>g/m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vertAlign w:val="baseline"/>
                <w:lang w:val="en-US" w:eastAsia="zh-CN"/>
              </w:rPr>
              <w:t>）</w:t>
            </w:r>
          </w:p>
        </w:tc>
        <w:tc>
          <w:tcPr>
            <w:tcW w:w="110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position w:val="2"/>
                <w:sz w:val="21"/>
                <w:szCs w:val="21"/>
              </w:rPr>
              <w:t>NO</w:t>
            </w:r>
            <w:r>
              <w:rPr>
                <w:rFonts w:hint="default" w:ascii="Times New Roman" w:hAnsi="Times New Roman" w:eastAsia="宋体" w:cs="Times New Roman"/>
                <w:sz w:val="21"/>
                <w:szCs w:val="21"/>
                <w:vertAlign w:val="subscript"/>
              </w:rPr>
              <w:t>2</w:t>
            </w:r>
          </w:p>
        </w:tc>
        <w:tc>
          <w:tcPr>
            <w:tcW w:w="23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二级标准</w:t>
            </w:r>
          </w:p>
        </w:tc>
        <w:tc>
          <w:tcPr>
            <w:tcW w:w="231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80</w:t>
            </w:r>
          </w:p>
        </w:tc>
        <w:tc>
          <w:tcPr>
            <w:tcW w:w="170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053"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p>
        </w:tc>
        <w:tc>
          <w:tcPr>
            <w:tcW w:w="110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position w:val="2"/>
                <w:sz w:val="21"/>
                <w:szCs w:val="21"/>
              </w:rPr>
              <w:t>TSP</w:t>
            </w:r>
          </w:p>
        </w:tc>
        <w:tc>
          <w:tcPr>
            <w:tcW w:w="23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二级标准</w:t>
            </w:r>
          </w:p>
        </w:tc>
        <w:tc>
          <w:tcPr>
            <w:tcW w:w="231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300</w:t>
            </w:r>
          </w:p>
        </w:tc>
        <w:tc>
          <w:tcPr>
            <w:tcW w:w="170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（3）地表水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调查范围内水体为高麦大沟，为当地泄洪及雨水引流渠道，最终汇入麦架河，在调查范围内的高麦大沟除雨季外，几乎处于干涸状态，而且已大部分加了水泥盖板，麦架河与本项目距离超出调查范围，因此本次调查不涉及地表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（4）地下水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本项目调查范围内未涉及相关地下水。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cs="Times New Roman"/>
          <w:sz w:val="24"/>
          <w:szCs w:val="24"/>
          <w:lang w:val="en-US" w:eastAsia="zh-CN"/>
        </w:rPr>
      </w:pPr>
      <w:bookmarkStart w:id="12" w:name="_Toc28565"/>
      <w:r>
        <w:rPr>
          <w:rFonts w:hint="eastAsia" w:ascii="Times New Roman" w:hAnsi="Times New Roman" w:cs="Times New Roman"/>
          <w:sz w:val="24"/>
          <w:szCs w:val="24"/>
          <w:lang w:val="en-US" w:eastAsia="zh-CN"/>
        </w:rPr>
        <w:t>1.5.2污染物排放标准</w:t>
      </w:r>
      <w:bookmarkEnd w:id="1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ascii="宋体" w:hAnsi="宋体" w:eastAsia="宋体" w:cs="宋体"/>
          <w:sz w:val="24"/>
          <w:szCs w:val="24"/>
        </w:rPr>
      </w:pPr>
      <w:r>
        <w:rPr>
          <w:rFonts w:ascii="宋体" w:hAnsi="宋体" w:eastAsia="宋体" w:cs="宋体"/>
          <w:sz w:val="24"/>
          <w:szCs w:val="24"/>
        </w:rPr>
        <w:t>本项目不设停车场和收费站，因此道路营运期间主要是路面径流雨水对沿线水体的影响。影响路面径流污染的因素众多，包括降雨时间、降雨量、车流量、大气污染程度、两场降雨之间的时间间隔、纳污路段长度等。各种因素随机性强、偶然性大。一般在公路建成初期和两场降雨间隔较长时，路面雨水径流对沿线水体有一定的影响。主要表现为路面径流携带悬浮颗粒物</w:t>
      </w:r>
      <w:r>
        <w:rPr>
          <w:rFonts w:hint="eastAsia" w:ascii="宋体" w:hAnsi="宋体" w:eastAsia="宋体" w:cs="宋体"/>
          <w:sz w:val="24"/>
          <w:szCs w:val="24"/>
          <w:lang w:val="en-US" w:eastAsia="zh-CN"/>
        </w:rPr>
        <w:t>及车辆行驶遗留污染物，</w:t>
      </w:r>
      <w:r>
        <w:rPr>
          <w:rFonts w:ascii="宋体" w:hAnsi="宋体" w:eastAsia="宋体" w:cs="宋体"/>
          <w:sz w:val="24"/>
          <w:szCs w:val="24"/>
        </w:rPr>
        <w:t>经道路两侧的</w:t>
      </w:r>
      <w:r>
        <w:rPr>
          <w:rFonts w:hint="eastAsia" w:ascii="宋体" w:hAnsi="宋体" w:eastAsia="宋体" w:cs="宋体"/>
          <w:sz w:val="24"/>
          <w:szCs w:val="24"/>
          <w:lang w:eastAsia="zh-CN"/>
        </w:rPr>
        <w:t>雨水引流管道</w:t>
      </w:r>
      <w:r>
        <w:rPr>
          <w:rFonts w:ascii="宋体" w:hAnsi="宋体" w:eastAsia="宋体" w:cs="宋体"/>
          <w:sz w:val="24"/>
          <w:szCs w:val="24"/>
        </w:rPr>
        <w:t>排入</w:t>
      </w:r>
      <w:r>
        <w:rPr>
          <w:rFonts w:hint="eastAsia" w:ascii="宋体" w:hAnsi="宋体" w:eastAsia="宋体" w:cs="宋体"/>
          <w:sz w:val="24"/>
          <w:szCs w:val="24"/>
          <w:lang w:eastAsia="zh-CN"/>
        </w:rPr>
        <w:t>市政雨水管道，进入高麦大沟，最终汇入麦架河</w:t>
      </w:r>
      <w:r>
        <w:rPr>
          <w:rFonts w:ascii="宋体" w:hAnsi="宋体" w:eastAsia="宋体" w:cs="宋体"/>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因此，本项目运营期产生的污水对环境影响很小。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（2）废</w:t>
      </w:r>
      <w:r>
        <w:rPr>
          <w:rFonts w:hint="eastAsia" w:ascii="Times New Roman" w:hAnsi="Times New Roman" w:eastAsia="宋体" w:cs="Times New Roman"/>
          <w:sz w:val="24"/>
          <w:szCs w:val="24"/>
          <w:lang w:val="en-US" w:eastAsia="zh-CN"/>
        </w:rPr>
        <w:t>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本项目运营期产生的废气主要为车辆行驶通过本项目路面所产生颗粒物及汽车尾气。道路沿线种植行道树、定期清扫路面，减少污染物的排放，经现场调查，其对环境空气影响很小。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（3）固废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本项目不设置服务区、收费站、养护工区等附属设施运营期，无固体废物产生，对环境影响很小。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13" w:name="_Toc23443"/>
      <w:r>
        <w:rPr>
          <w:rFonts w:hint="eastAsia" w:ascii="Times New Roman" w:hAnsi="Times New Roman" w:eastAsia="宋体" w:cs="Times New Roman"/>
          <w:sz w:val="24"/>
          <w:szCs w:val="24"/>
          <w:lang w:val="en-US" w:eastAsia="zh-CN"/>
        </w:rPr>
        <w:t>1.6保护目标及调查重点</w:t>
      </w:r>
      <w:bookmarkEnd w:id="1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调查的重点是公路建设及试运营期造成的生态环境影响、声环境影响和水环境影响（含运输风险事故防范），环境影响报告书及批复中提出的各项环境保护措施落实情况及其有效性，并根据调查结果提出环境保护补救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宋体" w:cs="Times New Roman"/>
          <w:sz w:val="24"/>
          <w:szCs w:val="24"/>
          <w:lang w:val="en-US" w:eastAsia="zh-CN"/>
        </w:rPr>
      </w:pPr>
      <w:bookmarkStart w:id="14" w:name="_Toc7678"/>
      <w:r>
        <w:rPr>
          <w:rFonts w:hint="eastAsia" w:ascii="Times New Roman" w:hAnsi="Times New Roman" w:eastAsia="宋体" w:cs="Times New Roman"/>
          <w:sz w:val="24"/>
          <w:szCs w:val="24"/>
          <w:lang w:val="en-US" w:eastAsia="zh-CN"/>
        </w:rPr>
        <w:t>1.6.1生态环境保护目标</w:t>
      </w:r>
      <w:bookmarkEnd w:id="1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sz w:val="24"/>
          <w:szCs w:val="24"/>
          <w:lang w:val="en-US" w:eastAsia="zh-CN"/>
        </w:rPr>
        <w:t>本项目是在</w:t>
      </w:r>
      <w:r>
        <w:rPr>
          <w:rFonts w:hint="eastAsia" w:ascii="Times New Roman" w:hAnsi="Times New Roman" w:eastAsia="宋体" w:cs="Times New Roman"/>
          <w:color w:val="auto"/>
          <w:sz w:val="24"/>
          <w:szCs w:val="24"/>
          <w:lang w:val="en-US" w:eastAsia="zh-CN"/>
        </w:rPr>
        <w:t>保留地面层现状40m宽，利用现状3.6m中分带设置高架桥，道路全长2.48km，主线高架桥长1.97km，宽17.5m，双向四车道；云环路北侧设置宽9.5m高架上下匝道1条，因此本项目不产生新的永久性占地，临时占地也是占用封闭一侧的原道路，未在道路红线外设置临时占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本项目主要生态影响为项目建成后对沿线居民人文景观和自然景观的视觉影响。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2"/>
        <w:rPr>
          <w:rFonts w:hint="eastAsia" w:ascii="Times New Roman" w:hAnsi="Times New Roman" w:eastAsia="宋体" w:cs="Times New Roman"/>
          <w:color w:val="FF0000"/>
          <w:sz w:val="24"/>
          <w:szCs w:val="24"/>
          <w:lang w:val="en-US" w:eastAsia="zh-CN"/>
        </w:rPr>
      </w:pPr>
      <w:bookmarkStart w:id="15" w:name="_Toc27449"/>
      <w:r>
        <w:rPr>
          <w:rFonts w:hint="eastAsia" w:ascii="Times New Roman" w:hAnsi="Times New Roman" w:eastAsia="宋体" w:cs="Times New Roman"/>
          <w:sz w:val="24"/>
          <w:szCs w:val="24"/>
          <w:lang w:val="en-US" w:eastAsia="zh-CN"/>
        </w:rPr>
        <w:t>1.6.2环境空气</w:t>
      </w:r>
      <w:r>
        <w:rPr>
          <w:rFonts w:hint="eastAsia" w:ascii="Times New Roman" w:hAnsi="Times New Roman" w:eastAsia="宋体" w:cs="Times New Roman"/>
          <w:color w:val="auto"/>
          <w:sz w:val="24"/>
          <w:szCs w:val="24"/>
          <w:lang w:val="en-US" w:eastAsia="zh-CN"/>
        </w:rPr>
        <w:t>及声环境保护目标</w:t>
      </w:r>
      <w:bookmarkEnd w:id="1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本项目涉及的环境空气及声环境保护目标主要为项目沿线的学校、居民区、医院等。现有保护目标详见表1.6.2-1。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表1.6.2-1环境空气及声环境保护目标</w:t>
      </w:r>
    </w:p>
    <w:tbl>
      <w:tblPr>
        <w:tblStyle w:val="11"/>
        <w:tblW w:w="9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065"/>
        <w:gridCol w:w="1830"/>
        <w:gridCol w:w="1170"/>
        <w:gridCol w:w="1200"/>
        <w:gridCol w:w="720"/>
        <w:gridCol w:w="720"/>
        <w:gridCol w:w="2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序号</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道路名称</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监测点位</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桩号</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距道路中心线距离（m）</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高差（m）</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备注</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白金大道</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高科·花漾生活</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K2+835</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右侧45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287780" cy="1311275"/>
                  <wp:effectExtent l="0" t="0" r="7620" b="3175"/>
                  <wp:docPr id="24" name="图片 24" descr="IMG_0991(20200518-20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0991(20200518-204643)"/>
                          <pic:cNvPicPr>
                            <a:picLocks noChangeAspect="1"/>
                          </pic:cNvPicPr>
                        </pic:nvPicPr>
                        <pic:blipFill>
                          <a:blip r:embed="rId15"/>
                          <a:stretch>
                            <a:fillRect/>
                          </a:stretch>
                        </pic:blipFill>
                        <pic:spPr>
                          <a:xfrm>
                            <a:off x="0" y="0"/>
                            <a:ext cx="1287780" cy="13112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贵耐医院</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K2+800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左侧80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drawing>
                <wp:inline distT="0" distB="0" distL="114300" distR="114300">
                  <wp:extent cx="1355090" cy="903605"/>
                  <wp:effectExtent l="0" t="0" r="16510" b="1079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8"/>
                          <a:stretch>
                            <a:fillRect/>
                          </a:stretch>
                        </pic:blipFill>
                        <pic:spPr>
                          <a:xfrm>
                            <a:off x="0" y="0"/>
                            <a:ext cx="1355090" cy="9036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铝兴社区3楼</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K2+700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右侧35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原有（原贵铝社区）</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44295" cy="1008380"/>
                  <wp:effectExtent l="0" t="0" r="8255" b="1270"/>
                  <wp:docPr id="26" name="图片 26" descr="IMG_0995(20200518-20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0995(20200518-204603)"/>
                          <pic:cNvPicPr>
                            <a:picLocks noChangeAspect="1"/>
                          </pic:cNvPicPr>
                        </pic:nvPicPr>
                        <pic:blipFill>
                          <a:blip r:embed="rId7"/>
                          <a:stretch>
                            <a:fillRect/>
                          </a:stretch>
                        </pic:blipFill>
                        <pic:spPr>
                          <a:xfrm>
                            <a:off x="0" y="0"/>
                            <a:ext cx="1344295" cy="1008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白金大道</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贵州铝厂生活区（龚北社区）（1楼、4楼）</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K3+130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左侧35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44295" cy="1008380"/>
                  <wp:effectExtent l="0" t="0" r="8255" b="1270"/>
                  <wp:docPr id="27" name="图片 27" descr="IMG_0993(20200518-20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0993(20200518-204630)"/>
                          <pic:cNvPicPr>
                            <a:picLocks noChangeAspect="1"/>
                          </pic:cNvPicPr>
                        </pic:nvPicPr>
                        <pic:blipFill>
                          <a:blip r:embed="rId10"/>
                          <a:stretch>
                            <a:fillRect/>
                          </a:stretch>
                        </pic:blipFill>
                        <pic:spPr>
                          <a:xfrm>
                            <a:off x="0" y="0"/>
                            <a:ext cx="1344295" cy="1008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白云六小、贵铝职校</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K3+300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左侧200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drawing>
                <wp:inline distT="0" distB="0" distL="114300" distR="114300">
                  <wp:extent cx="1354455" cy="988060"/>
                  <wp:effectExtent l="0" t="0" r="17145" b="254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6"/>
                          <a:stretch>
                            <a:fillRect/>
                          </a:stretch>
                        </pic:blipFill>
                        <pic:spPr>
                          <a:xfrm>
                            <a:off x="0" y="0"/>
                            <a:ext cx="1354455" cy="9880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白云欣歆幼儿园</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K3+400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左侧80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drawing>
                <wp:inline distT="0" distB="0" distL="114300" distR="114300">
                  <wp:extent cx="1357630" cy="953135"/>
                  <wp:effectExtent l="0" t="0" r="13970" b="1841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7"/>
                          <a:stretch>
                            <a:fillRect/>
                          </a:stretch>
                        </pic:blipFill>
                        <pic:spPr>
                          <a:xfrm>
                            <a:off x="0" y="0"/>
                            <a:ext cx="1357630" cy="9531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金东社区4楼</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K3+450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右侧35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pPr>
            <w:r>
              <w:drawing>
                <wp:inline distT="0" distB="0" distL="114300" distR="114300">
                  <wp:extent cx="1363345" cy="1075690"/>
                  <wp:effectExtent l="0" t="0" r="8255" b="1016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9"/>
                          <a:stretch>
                            <a:fillRect/>
                          </a:stretch>
                        </pic:blipFill>
                        <pic:spPr>
                          <a:xfrm>
                            <a:off x="0" y="0"/>
                            <a:ext cx="1363345" cy="10756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贵铝医院（贵州医科大学附属白云医院）</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K3+580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右侧40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44295" cy="1008380"/>
                  <wp:effectExtent l="0" t="0" r="8255" b="1270"/>
                  <wp:docPr id="45" name="图片 45" descr="IMG_0998(20200518-20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0998(20200518-204603)"/>
                          <pic:cNvPicPr>
                            <a:picLocks noChangeAspect="1"/>
                          </pic:cNvPicPr>
                        </pic:nvPicPr>
                        <pic:blipFill>
                          <a:blip r:embed="rId11"/>
                          <a:stretch>
                            <a:fillRect/>
                          </a:stretch>
                        </pic:blipFill>
                        <pic:spPr>
                          <a:xfrm>
                            <a:off x="0" y="0"/>
                            <a:ext cx="1344295" cy="1008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塔山公园</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K3+620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左侧30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44295" cy="1008380"/>
                  <wp:effectExtent l="0" t="0" r="8255" b="1270"/>
                  <wp:docPr id="46" name="图片 46" descr="IMG_1031(20200518-20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1031(20200518-201138)"/>
                          <pic:cNvPicPr>
                            <a:picLocks noChangeAspect="1"/>
                          </pic:cNvPicPr>
                        </pic:nvPicPr>
                        <pic:blipFill>
                          <a:blip r:embed="rId12"/>
                          <a:stretch>
                            <a:fillRect/>
                          </a:stretch>
                        </pic:blipFill>
                        <pic:spPr>
                          <a:xfrm>
                            <a:off x="0" y="0"/>
                            <a:ext cx="1344295" cy="1008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白云第一中学（白云区实验中学）</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K3+920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右侧35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44295" cy="1008380"/>
                  <wp:effectExtent l="0" t="0" r="8255" b="1270"/>
                  <wp:docPr id="47" name="图片 47" descr="IMG_0999(20200518-20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0999(20200518-204603)"/>
                          <pic:cNvPicPr>
                            <a:picLocks noChangeAspect="1"/>
                          </pic:cNvPicPr>
                        </pic:nvPicPr>
                        <pic:blipFill>
                          <a:blip r:embed="rId13"/>
                          <a:stretch>
                            <a:fillRect/>
                          </a:stretch>
                        </pic:blipFill>
                        <pic:spPr>
                          <a:xfrm>
                            <a:off x="0" y="0"/>
                            <a:ext cx="1344295" cy="1008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白金大道</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白沙关社区（贵铝智慧幸福苑）</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K3+981</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左侧45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44295" cy="1008380"/>
                  <wp:effectExtent l="0" t="0" r="8255" b="1270"/>
                  <wp:docPr id="48" name="图片 48" descr="IMG_1020(20200518-20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1020(20200518-204603)"/>
                          <pic:cNvPicPr>
                            <a:picLocks noChangeAspect="1"/>
                          </pic:cNvPicPr>
                        </pic:nvPicPr>
                        <pic:blipFill>
                          <a:blip r:embed="rId18"/>
                          <a:stretch>
                            <a:fillRect/>
                          </a:stretch>
                        </pic:blipFill>
                        <pic:spPr>
                          <a:xfrm>
                            <a:off x="0" y="0"/>
                            <a:ext cx="1344295" cy="1008380"/>
                          </a:xfrm>
                          <a:prstGeom prst="rect">
                            <a:avLst/>
                          </a:prstGeom>
                        </pic:spPr>
                      </pic:pic>
                    </a:graphicData>
                  </a:graphic>
                </wp:inline>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16" w:name="_Toc3841"/>
      <w:r>
        <w:rPr>
          <w:rFonts w:hint="eastAsia" w:ascii="Times New Roman" w:hAnsi="Times New Roman" w:eastAsia="宋体" w:cs="Times New Roman"/>
          <w:sz w:val="24"/>
          <w:szCs w:val="24"/>
          <w:lang w:val="en-US" w:eastAsia="zh-CN"/>
        </w:rPr>
        <w:t>1.6.3水环境保护目标</w:t>
      </w:r>
      <w:bookmarkEnd w:id="1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sz w:val="24"/>
          <w:szCs w:val="24"/>
          <w:lang w:val="en-US" w:eastAsia="zh-CN"/>
        </w:rPr>
        <w:t>本项目调查范围内无直接水环境受体，周边可能受影响是水体为麦架河，但麦架河与本项目的距离已超出调查范围。</w:t>
      </w:r>
      <w:r>
        <w:rPr>
          <w:rFonts w:hint="eastAsia" w:ascii="Times New Roman" w:hAnsi="Times New Roman" w:eastAsia="宋体" w:cs="Times New Roman"/>
          <w:b/>
          <w:bCs/>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17" w:name="_Toc26226"/>
      <w:r>
        <w:rPr>
          <w:rFonts w:hint="eastAsia" w:ascii="Times New Roman" w:hAnsi="Times New Roman" w:eastAsia="宋体" w:cs="Times New Roman"/>
          <w:b/>
          <w:bCs/>
          <w:sz w:val="24"/>
          <w:szCs w:val="24"/>
          <w:lang w:val="en-US" w:eastAsia="zh-CN"/>
        </w:rPr>
        <w:t>2 工程概况</w:t>
      </w:r>
      <w:bookmarkEnd w:id="1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18" w:name="_Toc10290"/>
      <w:r>
        <w:rPr>
          <w:rFonts w:hint="eastAsia" w:ascii="Times New Roman" w:hAnsi="Times New Roman" w:eastAsia="宋体" w:cs="Times New Roman"/>
          <w:sz w:val="24"/>
          <w:szCs w:val="24"/>
          <w:lang w:val="en-US" w:eastAsia="zh-CN"/>
        </w:rPr>
        <w:t>2.1地理位置及路线走向</w:t>
      </w:r>
      <w:bookmarkEnd w:id="1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白金大道项目位于贵阳市北面的白云区、高新区范围，为园区内部主骨架路网一纵一横”之纵向道路。南起观山湖区长岭北路与东林寺路交叉口，由南到北沿线与白云大道、北站路，莲北路，内环东路、内环北路、同一路、同心路、龚中路、龚北路、白云环路、高山路、苏庄路、麦苏路、经纬路、干田路、麦沙大道、麻堡路、沙农路、斑竹路、高沙路、金蒙路等道路相交,终点接沙文镇新寨处的青山路。路线全长</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eastAsia="zh-CN"/>
        </w:rPr>
        <w:t>1.58km.道路走向与贵遵高速路、G210大致平行。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现状道路全宽40~60米。全长</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eastAsia="zh-CN"/>
        </w:rPr>
        <w:t>1.58公里。设计车速60km/h。白金大道规划道路红线宽60m。同时，两侧各设10m宽绿化带。道路现状实施红线宽度为40m，周边建筑紧贴40m道路红线，未达规划60m红线。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保留地面层现状40m宽，利用现状3.6m中分带设置高架桥，道路全长2.48km，主线高架桥长1.97km，宽17.5m，双向四车道；云环路北侧设置宽9.5m高架上下匝道1条。项目起于同心路往南约300m处（K2+460），经同心路，止于云环路往北约400米处（K4+960）。项目地理位置图见图2.1-1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本项目总投资41224.02万元，于2016年6月24日开工建设，2018年12月8日完工并投入使用。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19" w:name="_Toc6502"/>
      <w:r>
        <w:rPr>
          <w:rFonts w:hint="eastAsia" w:ascii="Times New Roman" w:hAnsi="Times New Roman" w:eastAsia="宋体" w:cs="Times New Roman"/>
          <w:sz w:val="24"/>
          <w:szCs w:val="24"/>
          <w:lang w:val="en-US" w:eastAsia="zh-CN"/>
        </w:rPr>
        <w:t>2.2项目建设过程</w:t>
      </w:r>
      <w:bookmarkEnd w:id="19"/>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《关于“白金大道提升改造二期工程（近期）建设工程”项目建议书的批复》（高新产项[2016]102号），</w:t>
      </w:r>
      <w:r>
        <w:rPr>
          <w:rFonts w:hint="eastAsia" w:ascii="Times New Roman" w:hAnsi="Times New Roman" w:eastAsia="宋体" w:cs="Times New Roman"/>
          <w:sz w:val="24"/>
          <w:szCs w:val="24"/>
          <w:lang w:eastAsia="zh-CN"/>
        </w:rPr>
        <w:t>贵阳国家高新技术产业开发区产业发展局</w:t>
      </w:r>
      <w:r>
        <w:rPr>
          <w:rFonts w:hint="eastAsia" w:ascii="Times New Roman" w:hAnsi="Times New Roman" w:eastAsia="宋体" w:cs="Times New Roman"/>
          <w:sz w:val="24"/>
          <w:szCs w:val="24"/>
          <w:lang w:val="en-US" w:eastAsia="zh-CN"/>
        </w:rPr>
        <w:t>，2016.02.03；</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《白金大道提升改造二期工程（近期）建设工程项目环境影响评价报告书》，中冶节能环保有限责任公司，2016.10；</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《关于白金大道提升改造二期工程（近期）建设工程项目环境影响评价报告书的批复》（筑环审[2016]47号），贵阳市环境保护局，2016.11.25；</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本项目于</w:t>
      </w:r>
      <w:r>
        <w:rPr>
          <w:rFonts w:hint="eastAsia" w:ascii="Times New Roman" w:hAnsi="Times New Roman" w:eastAsia="宋体" w:cs="Times New Roman"/>
          <w:color w:val="auto"/>
          <w:sz w:val="24"/>
          <w:szCs w:val="24"/>
          <w:lang w:val="en-US" w:eastAsia="zh-CN"/>
        </w:rPr>
        <w:t>2016年6月24日开工建设，2018年12月8日完工并投入使用</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从以上建设过程分析，本项目建设过程中执行了建设项目环境保护管理程序和“三同时”管理制度。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5271770" cy="4700905"/>
            <wp:effectExtent l="0" t="0" r="5080" b="4445"/>
            <wp:docPr id="34" name="图片 34" descr="0CEO4P3`9]SZ${}Z(E[]S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CEO4P3`9]SZ${}Z(E[]S41"/>
                    <pic:cNvPicPr>
                      <a:picLocks noChangeAspect="1"/>
                    </pic:cNvPicPr>
                  </pic:nvPicPr>
                  <pic:blipFill>
                    <a:blip r:embed="rId19"/>
                    <a:stretch>
                      <a:fillRect/>
                    </a:stretch>
                  </pic:blipFill>
                  <pic:spPr>
                    <a:xfrm>
                      <a:off x="0" y="0"/>
                      <a:ext cx="5271770" cy="47009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图2.1-1 项目地理位置及走势图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20" w:name="_Toc13918"/>
      <w:r>
        <w:rPr>
          <w:rFonts w:hint="eastAsia" w:ascii="Times New Roman" w:hAnsi="Times New Roman" w:eastAsia="宋体" w:cs="Times New Roman"/>
          <w:sz w:val="24"/>
          <w:szCs w:val="24"/>
          <w:lang w:val="en-US" w:eastAsia="zh-CN"/>
        </w:rPr>
        <w:t>2.3</w:t>
      </w:r>
      <w:r>
        <w:rPr>
          <w:rFonts w:hint="eastAsia" w:ascii="Times New Roman" w:hAnsi="Times New Roman" w:eastAsia="宋体" w:cs="Times New Roman"/>
          <w:color w:val="auto"/>
          <w:sz w:val="24"/>
          <w:szCs w:val="24"/>
          <w:lang w:val="en-US" w:eastAsia="zh-CN"/>
        </w:rPr>
        <w:t>建设内容</w:t>
      </w:r>
      <w:bookmarkEnd w:id="2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sz w:val="24"/>
          <w:szCs w:val="24"/>
          <w:lang w:val="en-US" w:eastAsia="zh-CN"/>
        </w:rPr>
      </w:pPr>
      <w:bookmarkStart w:id="21" w:name="_Toc4587"/>
      <w:r>
        <w:rPr>
          <w:rFonts w:hint="eastAsia" w:ascii="Times New Roman" w:hAnsi="Times New Roman" w:eastAsia="宋体" w:cs="Times New Roman"/>
          <w:sz w:val="24"/>
          <w:szCs w:val="24"/>
          <w:lang w:val="en-US" w:eastAsia="zh-CN"/>
        </w:rPr>
        <w:t>2.3.1建设规模及主要技术指标</w:t>
      </w:r>
      <w:bookmarkEnd w:id="2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szCs w:val="24"/>
          <w:lang w:val="en-US" w:eastAsia="zh-CN"/>
        </w:rPr>
        <w:t>本项目保留地面层现状40m宽，利用现状3.6m中分带设置高架桥，道路全长2.48km，主线高架桥长1.97km，宽17.5m，双向四车道；云环路北侧设置宽9.5m高架上下匝道1条。项目起于同心路往南约300m处（K2+460），经同心路，止于云环路往北约400米处（K4+960），为改扩建项目</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本项目线性较好，高填深挖路段较少。项目主要技术指标见表2.3.1-1。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表2.3.1-1 项目主要技术指标</w:t>
      </w:r>
    </w:p>
    <w:tbl>
      <w:tblPr>
        <w:tblStyle w:val="10"/>
        <w:tblW w:w="9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239"/>
        <w:gridCol w:w="1685"/>
        <w:gridCol w:w="1538"/>
        <w:gridCol w:w="1330"/>
        <w:gridCol w:w="1857"/>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33" w:hRule="atLeast"/>
          <w:tblHeader/>
          <w:jc w:val="center"/>
        </w:trPr>
        <w:tc>
          <w:tcPr>
            <w:tcW w:w="4462" w:type="dxa"/>
            <w:gridSpan w:val="3"/>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2"/>
                <w:szCs w:val="22"/>
                <w:u w:val="none"/>
              </w:rPr>
            </w:pPr>
            <w:r>
              <w:rPr>
                <w:rStyle w:val="17"/>
                <w:rFonts w:hint="default" w:ascii="Times New Roman" w:hAnsi="Times New Roman" w:eastAsia="宋体" w:cs="Times New Roman"/>
                <w:b/>
                <w:bCs/>
                <w:lang w:val="en-US" w:eastAsia="zh-CN" w:bidi="ar"/>
              </w:rPr>
              <w:t>项目</w:t>
            </w:r>
          </w:p>
        </w:tc>
        <w:tc>
          <w:tcPr>
            <w:tcW w:w="133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2"/>
                <w:szCs w:val="22"/>
                <w:u w:val="none"/>
              </w:rPr>
            </w:pPr>
            <w:r>
              <w:rPr>
                <w:rStyle w:val="17"/>
                <w:rFonts w:hint="default" w:ascii="Times New Roman" w:hAnsi="Times New Roman" w:eastAsia="宋体" w:cs="Times New Roman"/>
                <w:b/>
                <w:bCs/>
                <w:lang w:val="en-US" w:eastAsia="zh-CN" w:bidi="ar"/>
              </w:rPr>
              <w:t>单位</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2"/>
                <w:szCs w:val="22"/>
                <w:u w:val="none"/>
              </w:rPr>
            </w:pPr>
            <w:r>
              <w:rPr>
                <w:rStyle w:val="17"/>
                <w:rFonts w:hint="default" w:ascii="Times New Roman" w:hAnsi="Times New Roman" w:eastAsia="宋体" w:cs="Times New Roman"/>
                <w:b/>
                <w:bCs/>
                <w:lang w:val="en-US" w:eastAsia="zh-CN" w:bidi="ar"/>
              </w:rPr>
              <w:t>规范要求值</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2"/>
                <w:szCs w:val="22"/>
                <w:u w:val="none"/>
              </w:rPr>
            </w:pPr>
            <w:r>
              <w:rPr>
                <w:rStyle w:val="17"/>
                <w:rFonts w:hint="eastAsia" w:ascii="Times New Roman" w:hAnsi="Times New Roman" w:eastAsia="宋体" w:cs="Times New Roman"/>
                <w:b/>
                <w:bCs/>
                <w:lang w:val="en-US" w:eastAsia="zh-CN" w:bidi="ar"/>
              </w:rPr>
              <w:t>白金大道</w:t>
            </w:r>
            <w:r>
              <w:rPr>
                <w:rStyle w:val="17"/>
                <w:rFonts w:hint="default" w:ascii="Times New Roman" w:hAnsi="Times New Roman" w:eastAsia="宋体" w:cs="Times New Roman"/>
                <w:b/>
                <w:bCs/>
                <w:lang w:val="en-US" w:eastAsia="zh-CN" w:bidi="ar"/>
              </w:rPr>
              <w:t>釆用值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3"/>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道路等级</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rPr>
            </w:pPr>
          </w:p>
        </w:tc>
        <w:tc>
          <w:tcPr>
            <w:tcW w:w="185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7"/>
                <w:rFonts w:hint="default" w:ascii="Times New Roman" w:hAnsi="Times New Roman" w:eastAsia="宋体" w:cs="Times New Roman"/>
                <w:b w:val="0"/>
                <w:bCs w:val="0"/>
                <w:lang w:val="en-US" w:eastAsia="zh-CN" w:bidi="ar"/>
              </w:rPr>
              <w:t>城市主干道</w:t>
            </w:r>
          </w:p>
        </w:tc>
        <w:tc>
          <w:tcPr>
            <w:tcW w:w="185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7"/>
                <w:rFonts w:hint="default" w:ascii="Times New Roman" w:hAnsi="Times New Roman" w:eastAsia="宋体" w:cs="Times New Roman"/>
                <w:b w:val="0"/>
                <w:bCs w:val="0"/>
                <w:lang w:val="en-US" w:eastAsia="zh-CN" w:bidi="ar"/>
              </w:rPr>
              <w:t>城市主干道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3"/>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计算行车速度</w:t>
            </w:r>
          </w:p>
        </w:tc>
        <w:tc>
          <w:tcPr>
            <w:tcW w:w="133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8"/>
                <w:rFonts w:hint="default" w:ascii="Times New Roman" w:hAnsi="Times New Roman" w:eastAsia="宋体" w:cs="Times New Roman"/>
                <w:b w:val="0"/>
                <w:bCs w:val="0"/>
                <w:lang w:val="en-US" w:eastAsia="zh-CN" w:bidi="ar"/>
              </w:rPr>
              <w:t>km/h</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Fonts w:hint="default" w:ascii="Times New Roman" w:hAnsi="Times New Roman" w:eastAsia="宋体" w:cs="Times New Roman"/>
                <w:b w:val="0"/>
                <w:bCs w:val="0"/>
                <w:i w:val="0"/>
                <w:color w:val="000000"/>
                <w:kern w:val="0"/>
                <w:sz w:val="22"/>
                <w:szCs w:val="22"/>
                <w:u w:val="none"/>
                <w:lang w:val="en-US" w:eastAsia="zh-CN" w:bidi="ar"/>
              </w:rPr>
              <w:t>60</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Fonts w:hint="default" w:ascii="Times New Roman" w:hAnsi="Times New Roman" w:eastAsia="宋体" w:cs="Times New Roman"/>
                <w:b w:val="0"/>
                <w:bCs w:val="0"/>
                <w:i w:val="0"/>
                <w:color w:val="000000"/>
                <w:kern w:val="0"/>
                <w:sz w:val="22"/>
                <w:szCs w:val="22"/>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3"/>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路面设计标准轴载</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KN</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8"/>
                <w:rFonts w:hint="default" w:ascii="Times New Roman" w:hAnsi="Times New Roman" w:eastAsia="宋体" w:cs="Times New Roman"/>
                <w:b w:val="0"/>
                <w:bCs w:val="0"/>
                <w:lang w:val="en-US" w:eastAsia="zh-CN" w:bidi="ar"/>
              </w:rPr>
              <w:t>BZZ-100</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8"/>
                <w:rFonts w:hint="default" w:ascii="Times New Roman" w:hAnsi="Times New Roman" w:eastAsia="宋体" w:cs="Times New Roman"/>
                <w:b w:val="0"/>
                <w:bCs w:val="0"/>
                <w:lang w:val="en-US" w:eastAsia="zh-CN" w:bidi="ar"/>
              </w:rPr>
              <w:t>BZZ-100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1239" w:type="dxa"/>
            <w:vMerge w:val="restart"/>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最</w:t>
            </w:r>
            <w:r>
              <w:rPr>
                <w:rFonts w:hint="eastAsia" w:ascii="Times New Roman" w:hAnsi="Times New Roman" w:eastAsia="宋体" w:cs="Times New Roman"/>
                <w:kern w:val="2"/>
                <w:sz w:val="24"/>
                <w:szCs w:val="24"/>
                <w:lang w:val="en-US" w:eastAsia="zh-CN" w:bidi="ar-SA"/>
              </w:rPr>
              <w:t>小净高</w:t>
            </w:r>
          </w:p>
        </w:tc>
        <w:tc>
          <w:tcPr>
            <w:tcW w:w="3223" w:type="dxa"/>
            <w:gridSpan w:val="2"/>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机动车道</w:t>
            </w:r>
          </w:p>
        </w:tc>
        <w:tc>
          <w:tcPr>
            <w:tcW w:w="133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8"/>
                <w:rFonts w:hint="default" w:ascii="Times New Roman" w:hAnsi="Times New Roman" w:eastAsia="宋体" w:cs="Times New Roman"/>
                <w:b w:val="0"/>
                <w:bCs w:val="0"/>
                <w:lang w:val="en-US" w:eastAsia="zh-CN" w:bidi="ar"/>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lang w:val="en-US"/>
              </w:rPr>
            </w:pPr>
            <w:r>
              <w:rPr>
                <w:rFonts w:hint="eastAsia" w:ascii="Times New Roman" w:hAnsi="Times New Roman" w:eastAsia="宋体" w:cs="Times New Roman"/>
                <w:b w:val="0"/>
                <w:bCs w:val="0"/>
                <w:i w:val="0"/>
                <w:color w:val="000000"/>
                <w:kern w:val="0"/>
                <w:sz w:val="22"/>
                <w:szCs w:val="22"/>
                <w:u w:val="none"/>
                <w:lang w:val="en-US" w:eastAsia="zh-CN" w:bidi="ar"/>
              </w:rPr>
              <w:t>4.5</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Fonts w:hint="default" w:ascii="Times New Roman" w:hAnsi="Times New Roman" w:eastAsia="宋体" w:cs="Times New Roman"/>
                <w:b w:val="0"/>
                <w:bCs w:val="0"/>
                <w:i w:val="0"/>
                <w:color w:val="000000"/>
                <w:kern w:val="0"/>
                <w:sz w:val="22"/>
                <w:szCs w:val="22"/>
                <w:u w:val="none"/>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1239" w:type="dxa"/>
            <w:vMerge w:val="continue"/>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p>
        </w:tc>
        <w:tc>
          <w:tcPr>
            <w:tcW w:w="3223" w:type="dxa"/>
            <w:gridSpan w:val="2"/>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人行道</w:t>
            </w:r>
          </w:p>
        </w:tc>
        <w:tc>
          <w:tcPr>
            <w:tcW w:w="133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8"/>
                <w:rFonts w:hint="default" w:ascii="Times New Roman" w:hAnsi="Times New Roman" w:eastAsia="宋体" w:cs="Times New Roman"/>
                <w:b w:val="0"/>
                <w:bCs w:val="0"/>
                <w:lang w:val="en-US" w:eastAsia="zh-CN" w:bidi="ar"/>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lang w:val="en-US"/>
              </w:rPr>
            </w:pPr>
            <w:r>
              <w:rPr>
                <w:rFonts w:hint="default" w:ascii="Times New Roman" w:hAnsi="Times New Roman" w:eastAsia="宋体" w:cs="Times New Roman"/>
                <w:b w:val="0"/>
                <w:bCs w:val="0"/>
                <w:i w:val="0"/>
                <w:color w:val="000000"/>
                <w:kern w:val="0"/>
                <w:sz w:val="22"/>
                <w:szCs w:val="22"/>
                <w:u w:val="none"/>
                <w:lang w:val="en-US" w:eastAsia="zh-CN" w:bidi="ar"/>
              </w:rPr>
              <w:t>2.5</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Fonts w:hint="default" w:ascii="Times New Roman" w:hAnsi="Times New Roman" w:eastAsia="宋体" w:cs="Times New Roman"/>
                <w:b w:val="0"/>
                <w:bCs w:val="0"/>
                <w:i w:val="0"/>
                <w:color w:val="000000"/>
                <w:kern w:val="0"/>
                <w:sz w:val="22"/>
                <w:szCs w:val="22"/>
                <w:u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1239" w:type="dxa"/>
            <w:vMerge w:val="restart"/>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平曲线</w:t>
            </w:r>
          </w:p>
        </w:tc>
        <w:tc>
          <w:tcPr>
            <w:tcW w:w="3223"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不设超高最小圆曲线半径</w:t>
            </w:r>
          </w:p>
        </w:tc>
        <w:tc>
          <w:tcPr>
            <w:tcW w:w="133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8"/>
                <w:rFonts w:hint="default" w:ascii="Times New Roman" w:hAnsi="Times New Roman" w:eastAsia="宋体" w:cs="Times New Roman"/>
                <w:b w:val="0"/>
                <w:bCs w:val="0"/>
                <w:lang w:val="en-US" w:eastAsia="zh-CN" w:bidi="ar"/>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Fonts w:hint="default" w:ascii="Times New Roman" w:hAnsi="Times New Roman" w:eastAsia="宋体" w:cs="Times New Roman"/>
                <w:b w:val="0"/>
                <w:bCs w:val="0"/>
                <w:i w:val="0"/>
                <w:color w:val="000000"/>
                <w:kern w:val="0"/>
                <w:sz w:val="22"/>
                <w:szCs w:val="22"/>
                <w:u w:val="none"/>
                <w:lang w:val="en-US" w:eastAsia="zh-CN" w:bidi="ar"/>
              </w:rPr>
              <w:t>600</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2"/>
                <w:sz w:val="22"/>
                <w:szCs w:val="22"/>
                <w:u w:val="none"/>
                <w:lang w:val="en-US" w:eastAsia="zh-CN" w:bidi="ar-SA"/>
              </w:rPr>
            </w:pPr>
            <w:r>
              <w:rPr>
                <w:rFonts w:hint="default" w:ascii="Times New Roman" w:hAnsi="Times New Roman" w:eastAsia="宋体" w:cs="Times New Roman"/>
                <w:b w:val="0"/>
                <w:bCs w:val="0"/>
                <w:i w:val="0"/>
                <w:color w:val="000000"/>
                <w:kern w:val="0"/>
                <w:sz w:val="22"/>
                <w:szCs w:val="22"/>
                <w:u w:val="none"/>
                <w:lang w:val="en-US" w:eastAsia="zh-CN" w:bidi="ar"/>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1239" w:type="dxa"/>
            <w:vMerge w:val="continue"/>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p>
        </w:tc>
        <w:tc>
          <w:tcPr>
            <w:tcW w:w="3223" w:type="dxa"/>
            <w:gridSpan w:val="2"/>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设超高最小圆曲线半径</w:t>
            </w:r>
          </w:p>
        </w:tc>
        <w:tc>
          <w:tcPr>
            <w:tcW w:w="133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8"/>
                <w:rFonts w:hint="default" w:ascii="Times New Roman" w:hAnsi="Times New Roman" w:eastAsia="宋体" w:cs="Times New Roman"/>
                <w:b w:val="0"/>
                <w:bCs w:val="0"/>
                <w:lang w:val="en-US" w:eastAsia="zh-CN" w:bidi="ar"/>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Fonts w:hint="default" w:ascii="Times New Roman" w:hAnsi="Times New Roman" w:eastAsia="宋体" w:cs="Times New Roman"/>
                <w:b w:val="0"/>
                <w:bCs w:val="0"/>
                <w:i w:val="0"/>
                <w:color w:val="000000"/>
                <w:kern w:val="0"/>
                <w:sz w:val="22"/>
                <w:szCs w:val="22"/>
                <w:u w:val="none"/>
                <w:lang w:val="en-US" w:eastAsia="zh-CN" w:bidi="ar"/>
              </w:rPr>
              <w:t>150</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2"/>
                <w:sz w:val="22"/>
                <w:szCs w:val="22"/>
                <w:u w:val="none"/>
                <w:lang w:val="en-US" w:eastAsia="zh-CN" w:bidi="ar-SA"/>
              </w:rPr>
            </w:pPr>
            <w:r>
              <w:rPr>
                <w:rFonts w:hint="eastAsia" w:ascii="Times New Roman" w:hAnsi="Times New Roman" w:eastAsia="宋体" w:cs="Times New Roman"/>
                <w:b w:val="0"/>
                <w:bCs w:val="0"/>
                <w:i w:val="0"/>
                <w:color w:val="000000"/>
                <w:kern w:val="0"/>
                <w:sz w:val="22"/>
                <w:szCs w:val="22"/>
                <w:u w:val="none"/>
                <w:lang w:val="en-US" w:eastAsia="zh-CN" w:bidi="ar"/>
              </w:rPr>
              <w:t>276.29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1239" w:type="dxa"/>
            <w:vMerge w:val="continue"/>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kern w:val="2"/>
                <w:sz w:val="24"/>
                <w:szCs w:val="24"/>
                <w:lang w:val="en-US" w:eastAsia="zh-CN" w:bidi="ar-SA"/>
              </w:rPr>
            </w:pPr>
          </w:p>
        </w:tc>
        <w:tc>
          <w:tcPr>
            <w:tcW w:w="3223"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不设缓和曲线</w:t>
            </w:r>
            <w:r>
              <w:rPr>
                <w:rFonts w:hint="eastAsia" w:ascii="Times New Roman" w:hAnsi="Times New Roman" w:eastAsia="宋体" w:cs="Times New Roman"/>
                <w:kern w:val="2"/>
                <w:sz w:val="24"/>
                <w:szCs w:val="24"/>
                <w:lang w:val="en-US" w:eastAsia="zh-CN" w:bidi="ar-SA"/>
              </w:rPr>
              <w:t>最</w:t>
            </w:r>
            <w:r>
              <w:rPr>
                <w:rFonts w:hint="default" w:ascii="Times New Roman" w:hAnsi="Times New Roman" w:eastAsia="宋体" w:cs="Times New Roman"/>
                <w:kern w:val="2"/>
                <w:sz w:val="24"/>
                <w:szCs w:val="24"/>
                <w:lang w:val="en-US" w:eastAsia="zh-CN" w:bidi="ar-SA"/>
              </w:rPr>
              <w:t>小圆曲线半径</w:t>
            </w:r>
          </w:p>
        </w:tc>
        <w:tc>
          <w:tcPr>
            <w:tcW w:w="133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8"/>
                <w:rFonts w:hint="default" w:ascii="Times New Roman" w:hAnsi="Times New Roman" w:eastAsia="宋体" w:cs="Times New Roman"/>
                <w:b w:val="0"/>
                <w:bCs w:val="0"/>
                <w:lang w:val="en-US" w:eastAsia="zh-CN" w:bidi="ar"/>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Fonts w:hint="default" w:ascii="Times New Roman" w:hAnsi="Times New Roman" w:eastAsia="宋体" w:cs="Times New Roman"/>
                <w:b w:val="0"/>
                <w:bCs w:val="0"/>
                <w:i w:val="0"/>
                <w:color w:val="000000"/>
                <w:kern w:val="0"/>
                <w:sz w:val="22"/>
                <w:szCs w:val="22"/>
                <w:u w:val="none"/>
                <w:lang w:val="en-US" w:eastAsia="zh-CN" w:bidi="ar"/>
              </w:rPr>
              <w:t>1000</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2"/>
                <w:sz w:val="22"/>
                <w:szCs w:val="22"/>
                <w:u w:val="none"/>
                <w:lang w:val="en-US" w:eastAsia="zh-CN" w:bidi="ar-SA"/>
              </w:rPr>
            </w:pPr>
            <w:r>
              <w:rPr>
                <w:rFonts w:hint="default" w:ascii="Times New Roman" w:hAnsi="Times New Roman" w:eastAsia="宋体" w:cs="Times New Roman"/>
                <w:b w:val="0"/>
                <w:bCs w:val="0"/>
                <w:i w:val="0"/>
                <w:color w:val="000000"/>
                <w:kern w:val="0"/>
                <w:sz w:val="22"/>
                <w:szCs w:val="22"/>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1239" w:type="dxa"/>
            <w:vMerge w:val="continue"/>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p>
        </w:tc>
        <w:tc>
          <w:tcPr>
            <w:tcW w:w="3223" w:type="dxa"/>
            <w:gridSpan w:val="2"/>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平曲线最小长度</w:t>
            </w:r>
          </w:p>
        </w:tc>
        <w:tc>
          <w:tcPr>
            <w:tcW w:w="133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8"/>
                <w:rFonts w:hint="default" w:ascii="Times New Roman" w:hAnsi="Times New Roman" w:eastAsia="宋体" w:cs="Times New Roman"/>
                <w:b w:val="0"/>
                <w:bCs w:val="0"/>
                <w:lang w:val="en-US" w:eastAsia="zh-CN" w:bidi="ar"/>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Fonts w:hint="default" w:ascii="Times New Roman" w:hAnsi="Times New Roman" w:eastAsia="宋体" w:cs="Times New Roman"/>
                <w:b w:val="0"/>
                <w:bCs w:val="0"/>
                <w:i w:val="0"/>
                <w:color w:val="000000"/>
                <w:kern w:val="0"/>
                <w:sz w:val="22"/>
                <w:szCs w:val="22"/>
                <w:u w:val="none"/>
                <w:lang w:val="en-US" w:eastAsia="zh-CN" w:bidi="ar"/>
              </w:rPr>
              <w:t>100</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Fonts w:hint="default" w:ascii="Times New Roman" w:hAnsi="Times New Roman" w:eastAsia="宋体" w:cs="Times New Roman"/>
                <w:b w:val="0"/>
                <w:bCs w:val="0"/>
                <w:i w:val="0"/>
                <w:color w:val="000000"/>
                <w:kern w:val="0"/>
                <w:sz w:val="22"/>
                <w:szCs w:val="22"/>
                <w:u w:val="none"/>
                <w:lang w:val="en-US" w:eastAsia="zh-CN" w:bidi="ar"/>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1239" w:type="dxa"/>
            <w:vMerge w:val="continue"/>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p>
        </w:tc>
        <w:tc>
          <w:tcPr>
            <w:tcW w:w="3223" w:type="dxa"/>
            <w:gridSpan w:val="2"/>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缓和曲线是小长度</w:t>
            </w:r>
          </w:p>
        </w:tc>
        <w:tc>
          <w:tcPr>
            <w:tcW w:w="133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8"/>
                <w:rFonts w:hint="default" w:ascii="Times New Roman" w:hAnsi="Times New Roman" w:eastAsia="宋体" w:cs="Times New Roman"/>
                <w:b w:val="0"/>
                <w:bCs w:val="0"/>
                <w:lang w:val="en-US" w:eastAsia="zh-CN" w:bidi="ar"/>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Fonts w:hint="default" w:ascii="Times New Roman" w:hAnsi="Times New Roman" w:eastAsia="宋体" w:cs="Times New Roman"/>
                <w:b w:val="0"/>
                <w:bCs w:val="0"/>
                <w:i w:val="0"/>
                <w:color w:val="000000"/>
                <w:kern w:val="0"/>
                <w:sz w:val="22"/>
                <w:szCs w:val="22"/>
                <w:u w:val="none"/>
                <w:lang w:val="en-US" w:eastAsia="zh-CN" w:bidi="ar"/>
              </w:rPr>
              <w:t>50</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Fonts w:hint="default" w:ascii="Times New Roman" w:hAnsi="Times New Roman" w:eastAsia="宋体" w:cs="Times New Roman"/>
                <w:b w:val="0"/>
                <w:bCs w:val="0"/>
                <w:i w:val="0"/>
                <w:color w:val="000000"/>
                <w:kern w:val="0"/>
                <w:sz w:val="22"/>
                <w:szCs w:val="22"/>
                <w:u w:val="none"/>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1239" w:type="dxa"/>
            <w:vMerge w:val="restart"/>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竖曲线</w:t>
            </w:r>
          </w:p>
        </w:tc>
        <w:tc>
          <w:tcPr>
            <w:tcW w:w="1685" w:type="dxa"/>
            <w:vMerge w:val="restart"/>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一般最</w:t>
            </w:r>
            <w:r>
              <w:rPr>
                <w:rFonts w:hint="eastAsia" w:ascii="Times New Roman" w:hAnsi="Times New Roman" w:eastAsia="宋体" w:cs="Times New Roman"/>
                <w:kern w:val="2"/>
                <w:sz w:val="24"/>
                <w:szCs w:val="24"/>
                <w:lang w:val="en-US" w:eastAsia="zh-CN" w:bidi="ar-SA"/>
              </w:rPr>
              <w:t>小</w:t>
            </w:r>
            <w:r>
              <w:rPr>
                <w:rFonts w:hint="default" w:ascii="Times New Roman" w:hAnsi="Times New Roman" w:eastAsia="宋体" w:cs="Times New Roman"/>
                <w:kern w:val="2"/>
                <w:sz w:val="24"/>
                <w:szCs w:val="24"/>
                <w:lang w:val="en-US" w:eastAsia="zh-CN" w:bidi="ar-SA"/>
              </w:rPr>
              <w:t>半径</w:t>
            </w:r>
          </w:p>
        </w:tc>
        <w:tc>
          <w:tcPr>
            <w:tcW w:w="1538" w:type="dxa"/>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凸型竖曲线</w:t>
            </w:r>
          </w:p>
        </w:tc>
        <w:tc>
          <w:tcPr>
            <w:tcW w:w="133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8"/>
                <w:rFonts w:hint="default" w:ascii="Times New Roman" w:hAnsi="Times New Roman" w:eastAsia="宋体" w:cs="Times New Roman"/>
                <w:b w:val="0"/>
                <w:bCs w:val="0"/>
                <w:lang w:val="en-US" w:eastAsia="zh-CN" w:bidi="ar"/>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lang w:val="en-US"/>
              </w:rPr>
            </w:pPr>
            <w:r>
              <w:rPr>
                <w:rFonts w:hint="default" w:ascii="Times New Roman" w:hAnsi="Times New Roman" w:eastAsia="宋体" w:cs="Times New Roman"/>
                <w:b w:val="0"/>
                <w:bCs w:val="0"/>
                <w:i w:val="0"/>
                <w:color w:val="000000"/>
                <w:kern w:val="0"/>
                <w:sz w:val="22"/>
                <w:szCs w:val="22"/>
                <w:u w:val="none"/>
                <w:lang w:val="en-US" w:eastAsia="zh-CN" w:bidi="ar"/>
              </w:rPr>
              <w:t>1800</w:t>
            </w:r>
            <w:r>
              <w:rPr>
                <w:rFonts w:hint="eastAsia" w:ascii="Times New Roman" w:hAnsi="Times New Roman" w:eastAsia="宋体" w:cs="Times New Roman"/>
                <w:b w:val="0"/>
                <w:bCs w:val="0"/>
                <w:i w:val="0"/>
                <w:color w:val="000000"/>
                <w:kern w:val="0"/>
                <w:sz w:val="22"/>
                <w:szCs w:val="22"/>
                <w:u w:val="none"/>
                <w:lang w:val="en-US" w:eastAsia="zh-CN" w:bidi="ar"/>
              </w:rPr>
              <w:t>/1200</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lang w:val="en-US"/>
              </w:rPr>
            </w:pPr>
            <w:r>
              <w:rPr>
                <w:rFonts w:hint="eastAsia" w:ascii="Times New Roman" w:hAnsi="Times New Roman" w:eastAsia="宋体" w:cs="Times New Roman"/>
                <w:b w:val="0"/>
                <w:bCs w:val="0"/>
                <w:i w:val="0"/>
                <w:color w:val="000000"/>
                <w:kern w:val="0"/>
                <w:sz w:val="22"/>
                <w:szCs w:val="22"/>
                <w:u w:val="none"/>
                <w:lang w:val="en-US" w:eastAsia="zh-CN" w:bidi="ar"/>
              </w:rPr>
              <w:t>1792.885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1239" w:type="dxa"/>
            <w:vMerge w:val="continue"/>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p>
        </w:tc>
        <w:tc>
          <w:tcPr>
            <w:tcW w:w="1685" w:type="dxa"/>
            <w:vMerge w:val="continue"/>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p>
        </w:tc>
        <w:tc>
          <w:tcPr>
            <w:tcW w:w="1538" w:type="dxa"/>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凹型竖曲线</w:t>
            </w:r>
          </w:p>
        </w:tc>
        <w:tc>
          <w:tcPr>
            <w:tcW w:w="133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8"/>
                <w:rFonts w:hint="default" w:ascii="Times New Roman" w:hAnsi="Times New Roman" w:eastAsia="宋体" w:cs="Times New Roman"/>
                <w:b w:val="0"/>
                <w:bCs w:val="0"/>
                <w:lang w:val="en-US" w:eastAsia="zh-CN" w:bidi="ar"/>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lang w:val="en-US"/>
              </w:rPr>
            </w:pPr>
            <w:r>
              <w:rPr>
                <w:rFonts w:hint="default" w:ascii="Times New Roman" w:hAnsi="Times New Roman" w:eastAsia="宋体" w:cs="Times New Roman"/>
                <w:b w:val="0"/>
                <w:bCs w:val="0"/>
                <w:i w:val="0"/>
                <w:color w:val="000000"/>
                <w:kern w:val="0"/>
                <w:sz w:val="22"/>
                <w:szCs w:val="22"/>
                <w:u w:val="none"/>
                <w:lang w:val="en-US" w:eastAsia="zh-CN" w:bidi="ar"/>
              </w:rPr>
              <w:t>1500</w:t>
            </w:r>
            <w:r>
              <w:rPr>
                <w:rFonts w:hint="eastAsia" w:ascii="Times New Roman" w:hAnsi="Times New Roman" w:eastAsia="宋体" w:cs="Times New Roman"/>
                <w:b w:val="0"/>
                <w:bCs w:val="0"/>
                <w:i w:val="0"/>
                <w:color w:val="000000"/>
                <w:kern w:val="0"/>
                <w:sz w:val="22"/>
                <w:szCs w:val="22"/>
                <w:u w:val="none"/>
                <w:lang w:val="en-US" w:eastAsia="zh-CN" w:bidi="ar"/>
              </w:rPr>
              <w:t>/100</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lang w:val="en-US"/>
              </w:rPr>
            </w:pPr>
            <w:r>
              <w:rPr>
                <w:rFonts w:hint="eastAsia" w:ascii="Times New Roman" w:hAnsi="Times New Roman" w:eastAsia="宋体" w:cs="Times New Roman"/>
                <w:b w:val="0"/>
                <w:bCs w:val="0"/>
                <w:i w:val="0"/>
                <w:color w:val="000000"/>
                <w:kern w:val="0"/>
                <w:sz w:val="22"/>
                <w:szCs w:val="22"/>
                <w:u w:val="none"/>
                <w:lang w:val="en-US" w:eastAsia="zh-CN" w:bidi="ar"/>
              </w:rPr>
              <w:t>1001.971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1239" w:type="dxa"/>
            <w:vMerge w:val="continue"/>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kern w:val="2"/>
                <w:sz w:val="24"/>
                <w:szCs w:val="24"/>
                <w:lang w:val="en-US" w:eastAsia="zh-CN" w:bidi="ar-SA"/>
              </w:rPr>
            </w:pPr>
          </w:p>
        </w:tc>
        <w:tc>
          <w:tcPr>
            <w:tcW w:w="3223"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最大纵坡推荐值</w:t>
            </w:r>
          </w:p>
        </w:tc>
        <w:tc>
          <w:tcPr>
            <w:tcW w:w="133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color w:val="000000"/>
                <w:sz w:val="20"/>
                <w:szCs w:val="20"/>
                <w:u w:val="none"/>
              </w:rPr>
            </w:pPr>
            <w:r>
              <w:rPr>
                <w:rStyle w:val="20"/>
                <w:rFonts w:hint="default" w:ascii="Times New Roman" w:hAnsi="Times New Roman" w:eastAsia="宋体" w:cs="Times New Roman"/>
                <w:b w:val="0"/>
                <w:bCs w:val="0"/>
                <w:lang w:val="en-US" w:eastAsia="zh-CN" w:bidi="ar"/>
              </w:rPr>
              <w:t>%</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Fonts w:hint="default" w:ascii="Times New Roman" w:hAnsi="Times New Roman" w:eastAsia="宋体" w:cs="Times New Roman"/>
                <w:b w:val="0"/>
                <w:bCs w:val="0"/>
                <w:i w:val="0"/>
                <w:color w:val="000000"/>
                <w:kern w:val="0"/>
                <w:sz w:val="22"/>
                <w:szCs w:val="22"/>
                <w:u w:val="none"/>
                <w:lang w:val="en-US" w:eastAsia="zh-CN" w:bidi="ar"/>
              </w:rPr>
              <w:t>5</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lang w:val="en-US"/>
              </w:rPr>
            </w:pPr>
            <w:r>
              <w:rPr>
                <w:rFonts w:hint="eastAsia" w:ascii="Times New Roman" w:hAnsi="Times New Roman" w:eastAsia="宋体" w:cs="Times New Roman"/>
                <w:b w:val="0"/>
                <w:bCs w:val="0"/>
                <w:i w:val="0"/>
                <w:color w:val="000000"/>
                <w:kern w:val="0"/>
                <w:sz w:val="22"/>
                <w:szCs w:val="22"/>
                <w:u w:val="none"/>
                <w:lang w:val="en-US" w:eastAsia="zh-CN" w:bidi="ar"/>
              </w:rPr>
              <w:t>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1239" w:type="dxa"/>
            <w:vMerge w:val="continue"/>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p>
        </w:tc>
        <w:tc>
          <w:tcPr>
            <w:tcW w:w="3223" w:type="dxa"/>
            <w:gridSpan w:val="2"/>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最小城长</w:t>
            </w:r>
          </w:p>
        </w:tc>
        <w:tc>
          <w:tcPr>
            <w:tcW w:w="133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8"/>
                <w:rFonts w:hint="default" w:ascii="Times New Roman" w:hAnsi="Times New Roman" w:eastAsia="宋体" w:cs="Times New Roman"/>
                <w:b w:val="0"/>
                <w:bCs w:val="0"/>
                <w:lang w:val="en-US" w:eastAsia="zh-CN" w:bidi="ar"/>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lang w:val="en-US"/>
              </w:rPr>
            </w:pPr>
            <w:r>
              <w:rPr>
                <w:rFonts w:hint="eastAsia" w:ascii="Times New Roman" w:hAnsi="Times New Roman" w:eastAsia="宋体" w:cs="Times New Roman"/>
                <w:b w:val="0"/>
                <w:bCs w:val="0"/>
                <w:i w:val="0"/>
                <w:color w:val="000000"/>
                <w:kern w:val="0"/>
                <w:sz w:val="22"/>
                <w:szCs w:val="22"/>
                <w:u w:val="none"/>
                <w:lang w:val="en-US" w:eastAsia="zh-CN" w:bidi="ar"/>
              </w:rPr>
              <w:t>150</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lang w:val="en-US"/>
              </w:rPr>
            </w:pPr>
            <w:r>
              <w:rPr>
                <w:rFonts w:hint="eastAsia" w:ascii="Times New Roman" w:hAnsi="Times New Roman" w:eastAsia="宋体" w:cs="Times New Roman"/>
                <w:b w:val="0"/>
                <w:bCs w:val="0"/>
                <w:i w:val="0"/>
                <w:color w:val="000000"/>
                <w:kern w:val="0"/>
                <w:sz w:val="22"/>
                <w:szCs w:val="22"/>
                <w:u w:val="none"/>
                <w:lang w:val="en-US" w:eastAsia="zh-CN" w:bidi="ar"/>
              </w:rPr>
              <w:t>150.268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1239" w:type="dxa"/>
            <w:vMerge w:val="continue"/>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p>
        </w:tc>
        <w:tc>
          <w:tcPr>
            <w:tcW w:w="3223" w:type="dxa"/>
            <w:gridSpan w:val="2"/>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停车视距</w:t>
            </w:r>
          </w:p>
        </w:tc>
        <w:tc>
          <w:tcPr>
            <w:tcW w:w="133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8"/>
                <w:rFonts w:hint="default" w:ascii="Times New Roman" w:hAnsi="Times New Roman" w:eastAsia="宋体" w:cs="Times New Roman"/>
                <w:b w:val="0"/>
                <w:bCs w:val="0"/>
                <w:lang w:val="en-US" w:eastAsia="zh-CN" w:bidi="ar"/>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Fonts w:hint="default" w:ascii="Times New Roman" w:hAnsi="Times New Roman" w:eastAsia="宋体" w:cs="Times New Roman"/>
                <w:b w:val="0"/>
                <w:bCs w:val="0"/>
                <w:i w:val="0"/>
                <w:color w:val="000000"/>
                <w:kern w:val="0"/>
                <w:sz w:val="22"/>
                <w:szCs w:val="22"/>
                <w:u w:val="none"/>
                <w:lang w:val="en-US" w:eastAsia="zh-CN" w:bidi="ar"/>
              </w:rPr>
              <w:t>70</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Fonts w:hint="default" w:ascii="Times New Roman" w:hAnsi="Times New Roman" w:eastAsia="宋体" w:cs="Times New Roman"/>
                <w:b w:val="0"/>
                <w:bCs w:val="0"/>
                <w:i w:val="0"/>
                <w:color w:val="000000"/>
                <w:kern w:val="0"/>
                <w:sz w:val="22"/>
                <w:szCs w:val="22"/>
                <w:u w:val="none"/>
                <w:lang w:val="en-US" w:eastAsia="zh-CN" w:bidi="ar"/>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3"/>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抗震设防</w:t>
            </w:r>
          </w:p>
        </w:tc>
        <w:tc>
          <w:tcPr>
            <w:tcW w:w="133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7"/>
                <w:rFonts w:hint="default" w:ascii="Times New Roman" w:hAnsi="Times New Roman" w:eastAsia="宋体" w:cs="Times New Roman"/>
                <w:b w:val="0"/>
                <w:bCs w:val="0"/>
                <w:lang w:val="en-US" w:eastAsia="zh-CN" w:bidi="ar"/>
              </w:rPr>
              <w:t>度</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Fonts w:hint="default" w:ascii="Times New Roman" w:hAnsi="Times New Roman" w:eastAsia="宋体" w:cs="Times New Roman"/>
                <w:b w:val="0"/>
                <w:bCs w:val="0"/>
                <w:i w:val="0"/>
                <w:color w:val="000000"/>
                <w:kern w:val="0"/>
                <w:sz w:val="22"/>
                <w:szCs w:val="22"/>
                <w:u w:val="none"/>
                <w:lang w:val="en-US" w:eastAsia="zh-CN" w:bidi="ar"/>
              </w:rPr>
              <w:t>6</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Fonts w:hint="default" w:ascii="Times New Roman" w:hAnsi="Times New Roman" w:eastAsia="宋体" w:cs="Times New Roman"/>
                <w:b w:val="0"/>
                <w:bCs w:val="0"/>
                <w:i w:val="0"/>
                <w:color w:val="000000"/>
                <w:kern w:val="0"/>
                <w:sz w:val="22"/>
                <w:szCs w:val="22"/>
                <w:u w:val="none"/>
                <w:lang w:val="en-US" w:eastAsia="zh-CN" w:bidi="ar"/>
              </w:rPr>
              <w:t>6</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2"/>
        <w:rPr>
          <w:rFonts w:hint="eastAsia" w:ascii="Times New Roman" w:hAnsi="Times New Roman" w:eastAsia="宋体" w:cs="Times New Roman"/>
          <w:sz w:val="24"/>
          <w:szCs w:val="24"/>
          <w:lang w:val="en-US" w:eastAsia="zh-CN"/>
        </w:rPr>
      </w:pPr>
      <w:bookmarkStart w:id="22" w:name="_Toc6995"/>
      <w:r>
        <w:rPr>
          <w:rFonts w:hint="eastAsia" w:ascii="Times New Roman" w:hAnsi="Times New Roman" w:eastAsia="宋体" w:cs="Times New Roman"/>
          <w:sz w:val="24"/>
          <w:szCs w:val="24"/>
          <w:lang w:val="en-US" w:eastAsia="zh-CN"/>
        </w:rPr>
        <w:t>2.3.2主要工程内容</w:t>
      </w:r>
      <w:bookmarkEnd w:id="2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本项目工程内容包括高架桥、砸道工程及其附属工程（市政配套设施、照明工程、绿化工程）。主要工程内容见表2.3.2-1。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表2.3.2-1 项目主要工程内容</w:t>
      </w:r>
    </w:p>
    <w:tbl>
      <w:tblPr>
        <w:tblStyle w:val="10"/>
        <w:tblW w:w="9618" w:type="dxa"/>
        <w:jc w:val="center"/>
        <w:shd w:val="clear" w:color="auto" w:fill="auto"/>
        <w:tblLayout w:type="autofit"/>
        <w:tblCellMar>
          <w:top w:w="0" w:type="dxa"/>
          <w:left w:w="0" w:type="dxa"/>
          <w:bottom w:w="0" w:type="dxa"/>
          <w:right w:w="0" w:type="dxa"/>
        </w:tblCellMar>
      </w:tblPr>
      <w:tblGrid>
        <w:gridCol w:w="1135"/>
        <w:gridCol w:w="2781"/>
        <w:gridCol w:w="1159"/>
        <w:gridCol w:w="1836"/>
        <w:gridCol w:w="2707"/>
      </w:tblGrid>
      <w:tr>
        <w:tblPrEx>
          <w:shd w:val="clear" w:color="auto" w:fill="auto"/>
          <w:tblCellMar>
            <w:top w:w="0" w:type="dxa"/>
            <w:left w:w="0" w:type="dxa"/>
            <w:bottom w:w="0" w:type="dxa"/>
            <w:right w:w="0" w:type="dxa"/>
          </w:tblCellMar>
        </w:tblPrEx>
        <w:trPr>
          <w:trHeight w:val="521" w:hRule="atLeast"/>
          <w:jc w:val="center"/>
        </w:trPr>
        <w:tc>
          <w:tcPr>
            <w:tcW w:w="11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序号</w:t>
            </w:r>
          </w:p>
        </w:tc>
        <w:tc>
          <w:tcPr>
            <w:tcW w:w="394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项目</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单位</w:t>
            </w:r>
          </w:p>
        </w:tc>
        <w:tc>
          <w:tcPr>
            <w:tcW w:w="27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工程量</w:t>
            </w:r>
          </w:p>
        </w:tc>
      </w:tr>
      <w:tr>
        <w:tblPrEx>
          <w:tblCellMar>
            <w:top w:w="0" w:type="dxa"/>
            <w:left w:w="0" w:type="dxa"/>
            <w:bottom w:w="0" w:type="dxa"/>
            <w:right w:w="0" w:type="dxa"/>
          </w:tblCellMar>
        </w:tblPrEx>
        <w:trPr>
          <w:trHeight w:val="337"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b w:val="0"/>
                <w:bCs w:val="0"/>
                <w:i w:val="0"/>
                <w:color w:val="000000"/>
                <w:kern w:val="0"/>
                <w:sz w:val="21"/>
                <w:szCs w:val="21"/>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b w:val="0"/>
                <w:bCs w:val="0"/>
                <w:i w:val="0"/>
                <w:color w:val="000000"/>
                <w:kern w:val="0"/>
                <w:sz w:val="21"/>
                <w:szCs w:val="21"/>
                <w:u w:val="none"/>
                <w:lang w:val="en-US" w:eastAsia="zh-CN" w:bidi="ar"/>
              </w:rPr>
              <w:t>土石方工程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b w:val="0"/>
                <w:bCs w:val="0"/>
                <w:i w:val="0"/>
                <w:color w:val="000000"/>
                <w:kern w:val="0"/>
                <w:sz w:val="21"/>
                <w:szCs w:val="21"/>
                <w:u w:val="none"/>
                <w:lang w:val="en-US" w:eastAsia="zh-CN" w:bidi="ar"/>
              </w:rPr>
              <w:t>挖方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1"/>
                <w:szCs w:val="21"/>
                <w:u w:val="none"/>
                <w:lang w:val="en-US"/>
              </w:rPr>
            </w:pPr>
            <w:r>
              <w:rPr>
                <w:rFonts w:hint="default" w:ascii="Times New Roman" w:hAnsi="Times New Roman" w:eastAsia="宋体" w:cs="Times New Roman"/>
                <w:b w:val="0"/>
                <w:bCs w:val="0"/>
                <w:i w:val="0"/>
                <w:color w:val="000000"/>
                <w:kern w:val="0"/>
                <w:sz w:val="21"/>
                <w:szCs w:val="21"/>
                <w:u w:val="none"/>
                <w:lang w:val="en-US" w:eastAsia="zh-CN" w:bidi="ar"/>
              </w:rPr>
              <w:t>万</w:t>
            </w:r>
            <w:r>
              <w:rPr>
                <w:rStyle w:val="21"/>
                <w:rFonts w:hint="eastAsia" w:ascii="Times New Roman" w:hAnsi="Times New Roman" w:eastAsia="宋体" w:cs="Times New Roman"/>
                <w:b w:val="0"/>
                <w:bCs w:val="0"/>
                <w:sz w:val="21"/>
                <w:szCs w:val="21"/>
                <w:lang w:val="en-US" w:eastAsia="zh-CN" w:bidi="ar"/>
              </w:rPr>
              <w:t>m</w:t>
            </w:r>
            <w:r>
              <w:rPr>
                <w:rStyle w:val="21"/>
                <w:rFonts w:hint="eastAsia" w:ascii="Times New Roman" w:hAnsi="Times New Roman" w:eastAsia="宋体" w:cs="Times New Roman"/>
                <w:b w:val="0"/>
                <w:bCs w:val="0"/>
                <w:sz w:val="21"/>
                <w:szCs w:val="21"/>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b w:val="0"/>
                <w:bCs w:val="0"/>
                <w:i w:val="0"/>
                <w:color w:val="000000"/>
                <w:sz w:val="21"/>
                <w:szCs w:val="21"/>
                <w:u w:val="none"/>
                <w:lang w:val="en-US" w:eastAsia="zh-CN"/>
              </w:rPr>
            </w:pPr>
            <w:r>
              <w:rPr>
                <w:rFonts w:hint="eastAsia" w:ascii="Times New Roman" w:hAnsi="Times New Roman" w:eastAsia="宋体" w:cs="Times New Roman"/>
                <w:b w:val="0"/>
                <w:bCs w:val="0"/>
                <w:i w:val="0"/>
                <w:color w:val="000000"/>
                <w:sz w:val="21"/>
                <w:szCs w:val="21"/>
                <w:u w:val="none"/>
                <w:lang w:val="en-US" w:eastAsia="zh-CN"/>
              </w:rPr>
              <w:t>1.0</w:t>
            </w:r>
          </w:p>
        </w:tc>
      </w:tr>
      <w:tr>
        <w:tblPrEx>
          <w:tblCellMar>
            <w:top w:w="0" w:type="dxa"/>
            <w:left w:w="0" w:type="dxa"/>
            <w:bottom w:w="0" w:type="dxa"/>
            <w:right w:w="0" w:type="dxa"/>
          </w:tblCellMar>
        </w:tblPrEx>
        <w:trPr>
          <w:trHeight w:val="33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b w:val="0"/>
                <w:bCs w:val="0"/>
                <w:i w:val="0"/>
                <w:color w:val="000000"/>
                <w:kern w:val="0"/>
                <w:sz w:val="21"/>
                <w:szCs w:val="21"/>
                <w:u w:val="none"/>
                <w:lang w:val="en-US" w:eastAsia="zh-CN" w:bidi="ar"/>
              </w:rPr>
              <w:t>填方</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color w:val="000000"/>
                <w:sz w:val="21"/>
                <w:szCs w:val="21"/>
                <w:u w:val="none"/>
                <w:lang w:val="en-US" w:eastAsia="zh-CN"/>
              </w:rPr>
            </w:pPr>
            <w:r>
              <w:rPr>
                <w:rFonts w:hint="eastAsia" w:ascii="Times New Roman" w:hAnsi="Times New Roman" w:eastAsia="宋体" w:cs="Times New Roman"/>
                <w:b w:val="0"/>
                <w:bCs w:val="0"/>
                <w:i w:val="0"/>
                <w:color w:val="000000"/>
                <w:sz w:val="21"/>
                <w:szCs w:val="21"/>
                <w:u w:val="none"/>
                <w:lang w:val="en-US" w:eastAsia="zh-CN"/>
              </w:rPr>
              <w:t>0.82</w:t>
            </w:r>
          </w:p>
        </w:tc>
      </w:tr>
      <w:tr>
        <w:tblPrEx>
          <w:tblCellMar>
            <w:top w:w="0" w:type="dxa"/>
            <w:left w:w="0" w:type="dxa"/>
            <w:bottom w:w="0" w:type="dxa"/>
            <w:right w:w="0" w:type="dxa"/>
          </w:tblCellMar>
        </w:tblPrEx>
        <w:trPr>
          <w:trHeight w:val="33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b w:val="0"/>
                <w:bCs w:val="0"/>
                <w:i w:val="0"/>
                <w:color w:val="000000"/>
                <w:kern w:val="0"/>
                <w:sz w:val="21"/>
                <w:szCs w:val="21"/>
                <w:u w:val="none"/>
                <w:lang w:val="en-US" w:eastAsia="zh-CN" w:bidi="ar"/>
              </w:rPr>
              <w:t>弃方</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b w:val="0"/>
                <w:bCs w:val="0"/>
                <w:i w:val="0"/>
                <w:color w:val="000000"/>
                <w:sz w:val="21"/>
                <w:szCs w:val="21"/>
                <w:u w:val="none"/>
                <w:lang w:val="en-US" w:eastAsia="zh-CN"/>
              </w:rPr>
            </w:pPr>
            <w:r>
              <w:rPr>
                <w:rFonts w:hint="eastAsia" w:ascii="Times New Roman" w:hAnsi="Times New Roman" w:eastAsia="宋体" w:cs="Times New Roman"/>
                <w:b w:val="0"/>
                <w:bCs w:val="0"/>
                <w:i w:val="0"/>
                <w:color w:val="000000"/>
                <w:sz w:val="21"/>
                <w:szCs w:val="21"/>
                <w:u w:val="none"/>
                <w:lang w:val="en-US" w:eastAsia="zh-CN"/>
              </w:rPr>
              <w:t>0.18</w:t>
            </w:r>
          </w:p>
        </w:tc>
      </w:tr>
      <w:tr>
        <w:tblPrEx>
          <w:tblCellMar>
            <w:top w:w="0" w:type="dxa"/>
            <w:left w:w="0" w:type="dxa"/>
            <w:bottom w:w="0" w:type="dxa"/>
            <w:right w:w="0" w:type="dxa"/>
          </w:tblCellMar>
        </w:tblPrEx>
        <w:trPr>
          <w:trHeight w:val="33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b w:val="0"/>
                <w:bCs w:val="0"/>
                <w:i w:val="0"/>
                <w:color w:val="000000"/>
                <w:kern w:val="0"/>
                <w:sz w:val="21"/>
                <w:szCs w:val="21"/>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color w:val="000000"/>
                <w:sz w:val="21"/>
                <w:szCs w:val="21"/>
                <w:u w:val="none"/>
              </w:rPr>
            </w:pPr>
            <w:r>
              <w:rPr>
                <w:rFonts w:hint="eastAsia" w:ascii="Times New Roman" w:hAnsi="Times New Roman" w:eastAsia="宋体" w:cs="Times New Roman"/>
                <w:b w:val="0"/>
                <w:bCs w:val="0"/>
                <w:i w:val="0"/>
                <w:color w:val="000000"/>
                <w:kern w:val="0"/>
                <w:sz w:val="21"/>
                <w:szCs w:val="21"/>
                <w:u w:val="none"/>
                <w:lang w:val="en-US" w:eastAsia="zh-CN" w:bidi="ar"/>
              </w:rPr>
              <w:t>路面</w:t>
            </w:r>
            <w:r>
              <w:rPr>
                <w:rFonts w:hint="default" w:ascii="Times New Roman" w:hAnsi="Times New Roman" w:eastAsia="宋体" w:cs="Times New Roman"/>
                <w:b w:val="0"/>
                <w:bCs w:val="0"/>
                <w:i w:val="0"/>
                <w:color w:val="000000"/>
                <w:kern w:val="0"/>
                <w:sz w:val="21"/>
                <w:szCs w:val="21"/>
                <w:u w:val="none"/>
                <w:lang w:val="en-US" w:eastAsia="zh-CN" w:bidi="ar"/>
              </w:rPr>
              <w:t>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color w:val="000000"/>
                <w:sz w:val="21"/>
                <w:szCs w:val="21"/>
                <w:u w:val="none"/>
              </w:rPr>
            </w:pPr>
            <w:r>
              <w:rPr>
                <w:rStyle w:val="21"/>
                <w:rFonts w:hint="default" w:ascii="Times New Roman" w:hAnsi="Times New Roman" w:eastAsia="宋体" w:cs="Times New Roman"/>
                <w:b w:val="0"/>
                <w:bCs w:val="0"/>
                <w:sz w:val="21"/>
                <w:szCs w:val="21"/>
                <w:lang w:val="en-US" w:eastAsia="zh-CN" w:bidi="ar"/>
              </w:rPr>
              <w:t>m</w:t>
            </w:r>
            <w:r>
              <w:rPr>
                <w:rFonts w:hint="default" w:ascii="Times New Roman" w:hAnsi="Times New Roman" w:eastAsia="宋体" w:cs="Times New Roman"/>
                <w:b w:val="0"/>
                <w:bCs w:val="0"/>
                <w:i w:val="0"/>
                <w:color w:val="000000"/>
                <w:kern w:val="0"/>
                <w:sz w:val="21"/>
                <w:szCs w:val="21"/>
                <w:u w:val="none"/>
                <w:vertAlign w:val="superscript"/>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color w:val="000000"/>
                <w:sz w:val="21"/>
                <w:szCs w:val="21"/>
                <w:u w:val="none"/>
                <w:lang w:val="en-US" w:eastAsia="zh-CN"/>
              </w:rPr>
            </w:pPr>
            <w:r>
              <w:rPr>
                <w:rFonts w:hint="eastAsia" w:ascii="Times New Roman" w:hAnsi="Times New Roman" w:eastAsia="宋体" w:cs="Times New Roman"/>
                <w:b w:val="0"/>
                <w:bCs w:val="0"/>
                <w:i w:val="0"/>
                <w:color w:val="000000"/>
                <w:sz w:val="21"/>
                <w:szCs w:val="21"/>
                <w:u w:val="none"/>
                <w:lang w:val="en-US" w:eastAsia="zh-CN"/>
              </w:rPr>
              <w:t>44165</w:t>
            </w:r>
          </w:p>
        </w:tc>
      </w:tr>
      <w:tr>
        <w:tblPrEx>
          <w:tblCellMar>
            <w:top w:w="0" w:type="dxa"/>
            <w:left w:w="0" w:type="dxa"/>
            <w:bottom w:w="0" w:type="dxa"/>
            <w:right w:w="0" w:type="dxa"/>
          </w:tblCellMar>
        </w:tblPrEx>
        <w:trPr>
          <w:trHeight w:val="33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b w:val="0"/>
                <w:bCs w:val="0"/>
                <w:i w:val="0"/>
                <w:color w:val="000000"/>
                <w:kern w:val="0"/>
                <w:sz w:val="21"/>
                <w:szCs w:val="21"/>
                <w:u w:val="none"/>
                <w:lang w:val="en-US" w:eastAsia="zh-CN" w:bidi="ar"/>
              </w:rPr>
              <w:t>3</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color w:val="000000"/>
                <w:sz w:val="21"/>
                <w:szCs w:val="21"/>
                <w:u w:val="none"/>
              </w:rPr>
            </w:pPr>
            <w:r>
              <w:rPr>
                <w:rFonts w:hint="eastAsia" w:ascii="Times New Roman" w:hAnsi="Times New Roman" w:eastAsia="宋体" w:cs="Times New Roman"/>
                <w:b w:val="0"/>
                <w:bCs w:val="0"/>
                <w:i w:val="0"/>
                <w:color w:val="000000"/>
                <w:kern w:val="0"/>
                <w:sz w:val="21"/>
                <w:szCs w:val="21"/>
                <w:u w:val="none"/>
                <w:lang w:val="en-US" w:eastAsia="zh-CN" w:bidi="ar"/>
              </w:rPr>
              <w:t>雨水</w:t>
            </w:r>
            <w:r>
              <w:rPr>
                <w:rFonts w:hint="default" w:ascii="Times New Roman" w:hAnsi="Times New Roman" w:eastAsia="宋体" w:cs="Times New Roman"/>
                <w:b w:val="0"/>
                <w:bCs w:val="0"/>
                <w:i w:val="0"/>
                <w:color w:val="000000"/>
                <w:kern w:val="0"/>
                <w:sz w:val="21"/>
                <w:szCs w:val="21"/>
                <w:u w:val="none"/>
                <w:lang w:val="en-US" w:eastAsia="zh-CN" w:bidi="ar"/>
              </w:rPr>
              <w:t>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color w:val="000000"/>
                <w:sz w:val="21"/>
                <w:szCs w:val="21"/>
                <w:u w:val="none"/>
              </w:rPr>
            </w:pPr>
            <w:r>
              <w:rPr>
                <w:rStyle w:val="21"/>
                <w:rFonts w:hint="default" w:ascii="Times New Roman" w:hAnsi="Times New Roman" w:eastAsia="宋体" w:cs="Times New Roman"/>
                <w:b w:val="0"/>
                <w:bCs w:val="0"/>
                <w:sz w:val="21"/>
                <w:szCs w:val="21"/>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color w:val="000000"/>
                <w:sz w:val="21"/>
                <w:szCs w:val="21"/>
                <w:u w:val="none"/>
                <w:lang w:val="en-US" w:eastAsia="zh-CN"/>
              </w:rPr>
            </w:pPr>
            <w:r>
              <w:rPr>
                <w:rFonts w:hint="eastAsia" w:ascii="Times New Roman" w:hAnsi="Times New Roman" w:eastAsia="宋体" w:cs="Times New Roman"/>
                <w:b w:val="0"/>
                <w:bCs w:val="0"/>
                <w:i w:val="0"/>
                <w:color w:val="000000"/>
                <w:sz w:val="21"/>
                <w:szCs w:val="21"/>
                <w:u w:val="none"/>
                <w:lang w:val="en-US" w:eastAsia="zh-CN"/>
              </w:rPr>
              <w:t>3940</w:t>
            </w:r>
          </w:p>
        </w:tc>
      </w:tr>
      <w:tr>
        <w:tblPrEx>
          <w:tblCellMar>
            <w:top w:w="0" w:type="dxa"/>
            <w:left w:w="0" w:type="dxa"/>
            <w:bottom w:w="0" w:type="dxa"/>
            <w:right w:w="0" w:type="dxa"/>
          </w:tblCellMar>
        </w:tblPrEx>
        <w:trPr>
          <w:trHeight w:val="33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b w:val="0"/>
                <w:bCs w:val="0"/>
                <w:i w:val="0"/>
                <w:color w:val="000000"/>
                <w:kern w:val="0"/>
                <w:sz w:val="21"/>
                <w:szCs w:val="21"/>
                <w:u w:val="none"/>
                <w:lang w:val="en-US" w:eastAsia="zh-CN" w:bidi="ar"/>
              </w:rPr>
              <w:t>4</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color w:val="000000"/>
                <w:kern w:val="2"/>
                <w:sz w:val="21"/>
                <w:szCs w:val="21"/>
                <w:u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路灯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color w:val="000000"/>
                <w:kern w:val="2"/>
                <w:sz w:val="21"/>
                <w:szCs w:val="21"/>
                <w:u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color w:val="000000"/>
                <w:kern w:val="2"/>
                <w:sz w:val="21"/>
                <w:szCs w:val="21"/>
                <w:u w:val="none"/>
                <w:lang w:val="en-US" w:eastAsia="zh-CN" w:bidi="ar-SA"/>
              </w:rPr>
            </w:pPr>
            <w:r>
              <w:rPr>
                <w:rFonts w:hint="eastAsia" w:ascii="Times New Roman" w:hAnsi="Times New Roman" w:eastAsia="宋体" w:cs="Times New Roman"/>
                <w:b w:val="0"/>
                <w:bCs w:val="0"/>
                <w:i w:val="0"/>
                <w:color w:val="000000"/>
                <w:sz w:val="21"/>
                <w:szCs w:val="21"/>
                <w:u w:val="none"/>
                <w:lang w:val="en-US" w:eastAsia="zh-CN"/>
              </w:rPr>
              <w:t>198</w:t>
            </w:r>
          </w:p>
        </w:tc>
      </w:tr>
      <w:tr>
        <w:tblPrEx>
          <w:tblCellMar>
            <w:top w:w="0" w:type="dxa"/>
            <w:left w:w="0" w:type="dxa"/>
            <w:bottom w:w="0" w:type="dxa"/>
            <w:right w:w="0" w:type="dxa"/>
          </w:tblCellMar>
        </w:tblPrEx>
        <w:trPr>
          <w:trHeight w:val="33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b w:val="0"/>
                <w:bCs w:val="0"/>
                <w:i w:val="0"/>
                <w:color w:val="000000"/>
                <w:kern w:val="0"/>
                <w:sz w:val="21"/>
                <w:szCs w:val="21"/>
                <w:u w:val="none"/>
                <w:lang w:val="en-US" w:eastAsia="zh-CN" w:bidi="ar"/>
              </w:rPr>
              <w:t>5</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color w:val="000000"/>
                <w:sz w:val="21"/>
                <w:szCs w:val="21"/>
                <w:u w:val="none"/>
              </w:rPr>
            </w:pPr>
            <w:r>
              <w:rPr>
                <w:rFonts w:hint="eastAsia" w:ascii="Times New Roman" w:hAnsi="Times New Roman" w:eastAsia="宋体" w:cs="Times New Roman"/>
                <w:b w:val="0"/>
                <w:bCs w:val="0"/>
                <w:i w:val="0"/>
                <w:color w:val="000000"/>
                <w:kern w:val="0"/>
                <w:sz w:val="21"/>
                <w:szCs w:val="21"/>
                <w:u w:val="none"/>
                <w:lang w:val="en-US" w:eastAsia="zh-CN" w:bidi="ar"/>
              </w:rPr>
              <w:t>交通标志线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1"/>
                <w:szCs w:val="21"/>
                <w:u w:val="none"/>
              </w:rPr>
            </w:pPr>
            <w:r>
              <w:rPr>
                <w:rStyle w:val="21"/>
                <w:rFonts w:hint="default" w:ascii="Times New Roman" w:hAnsi="Times New Roman" w:eastAsia="宋体" w:cs="Times New Roman"/>
                <w:b w:val="0"/>
                <w:bCs w:val="0"/>
                <w:sz w:val="21"/>
                <w:szCs w:val="21"/>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color w:val="000000"/>
                <w:sz w:val="21"/>
                <w:szCs w:val="21"/>
                <w:u w:val="none"/>
                <w:lang w:val="en-US" w:eastAsia="zh-CN"/>
              </w:rPr>
            </w:pPr>
            <w:r>
              <w:rPr>
                <w:rFonts w:hint="eastAsia" w:ascii="Times New Roman" w:hAnsi="Times New Roman" w:eastAsia="宋体" w:cs="Times New Roman"/>
                <w:b w:val="0"/>
                <w:bCs w:val="0"/>
                <w:i w:val="0"/>
                <w:color w:val="000000"/>
                <w:sz w:val="21"/>
                <w:szCs w:val="21"/>
                <w:u w:val="none"/>
                <w:lang w:val="en-US" w:eastAsia="zh-CN"/>
              </w:rPr>
              <w:t>380</w:t>
            </w:r>
          </w:p>
        </w:tc>
      </w:tr>
      <w:tr>
        <w:tblPrEx>
          <w:tblCellMar>
            <w:top w:w="0" w:type="dxa"/>
            <w:left w:w="0" w:type="dxa"/>
            <w:bottom w:w="0" w:type="dxa"/>
            <w:right w:w="0" w:type="dxa"/>
          </w:tblCellMar>
        </w:tblPrEx>
        <w:trPr>
          <w:trHeight w:val="33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b w:val="0"/>
                <w:bCs w:val="0"/>
                <w:i w:val="0"/>
                <w:color w:val="000000"/>
                <w:kern w:val="0"/>
                <w:sz w:val="21"/>
                <w:szCs w:val="21"/>
                <w:u w:val="none"/>
                <w:lang w:val="en-US" w:eastAsia="zh-CN" w:bidi="ar"/>
              </w:rPr>
              <w:t>6</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color w:val="000000"/>
                <w:kern w:val="2"/>
                <w:sz w:val="21"/>
                <w:szCs w:val="21"/>
                <w:u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
              </w:rPr>
              <w:t>绿化带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color w:val="000000"/>
                <w:kern w:val="2"/>
                <w:sz w:val="21"/>
                <w:szCs w:val="21"/>
                <w:u w:val="none"/>
                <w:lang w:val="en-US" w:eastAsia="zh-CN" w:bidi="ar-SA"/>
              </w:rPr>
            </w:pPr>
            <w:r>
              <w:rPr>
                <w:rStyle w:val="21"/>
                <w:rFonts w:hint="default" w:ascii="Times New Roman" w:hAnsi="Times New Roman" w:eastAsia="宋体" w:cs="Times New Roman"/>
                <w:b w:val="0"/>
                <w:bCs w:val="0"/>
                <w:sz w:val="21"/>
                <w:szCs w:val="21"/>
                <w:lang w:val="en-US" w:eastAsia="zh-CN" w:bidi="ar"/>
              </w:rPr>
              <w:t>m</w:t>
            </w:r>
            <w:r>
              <w:rPr>
                <w:rFonts w:hint="default" w:ascii="Times New Roman" w:hAnsi="Times New Roman" w:eastAsia="宋体" w:cs="Times New Roman"/>
                <w:b w:val="0"/>
                <w:bCs w:val="0"/>
                <w:i w:val="0"/>
                <w:color w:val="000000"/>
                <w:kern w:val="0"/>
                <w:sz w:val="21"/>
                <w:szCs w:val="21"/>
                <w:u w:val="none"/>
                <w:vertAlign w:val="superscript"/>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color w:val="000000"/>
                <w:sz w:val="21"/>
                <w:szCs w:val="21"/>
                <w:u w:val="none"/>
                <w:lang w:val="en-US" w:eastAsia="zh-CN"/>
              </w:rPr>
            </w:pPr>
            <w:r>
              <w:rPr>
                <w:rFonts w:hint="eastAsia" w:ascii="Times New Roman" w:hAnsi="Times New Roman" w:eastAsia="宋体" w:cs="Times New Roman"/>
                <w:b w:val="0"/>
                <w:bCs w:val="0"/>
                <w:i w:val="0"/>
                <w:color w:val="000000"/>
                <w:sz w:val="21"/>
                <w:szCs w:val="21"/>
                <w:u w:val="none"/>
                <w:lang w:val="en-US" w:eastAsia="zh-CN"/>
              </w:rPr>
              <w:t>7092</w:t>
            </w:r>
          </w:p>
        </w:tc>
      </w:tr>
      <w:tr>
        <w:tblPrEx>
          <w:tblCellMar>
            <w:top w:w="0" w:type="dxa"/>
            <w:left w:w="0" w:type="dxa"/>
            <w:bottom w:w="0" w:type="dxa"/>
            <w:right w:w="0" w:type="dxa"/>
          </w:tblCellMar>
        </w:tblPrEx>
        <w:trPr>
          <w:trHeight w:val="33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color w:val="000000"/>
                <w:sz w:val="21"/>
                <w:szCs w:val="21"/>
                <w:u w:val="none"/>
              </w:rPr>
            </w:pPr>
            <w:r>
              <w:rPr>
                <w:rFonts w:hint="default" w:ascii="Times New Roman" w:hAnsi="Times New Roman" w:eastAsia="宋体" w:cs="Times New Roman"/>
                <w:b w:val="0"/>
                <w:bCs w:val="0"/>
                <w:i w:val="0"/>
                <w:color w:val="000000"/>
                <w:kern w:val="0"/>
                <w:sz w:val="21"/>
                <w:szCs w:val="21"/>
                <w:u w:val="none"/>
                <w:lang w:val="en-US" w:eastAsia="zh-CN" w:bidi="ar"/>
              </w:rPr>
              <w:t>7</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color w:val="000000"/>
                <w:kern w:val="2"/>
                <w:sz w:val="21"/>
                <w:szCs w:val="21"/>
                <w:u w:val="none"/>
                <w:lang w:val="en-US" w:eastAsia="zh-CN" w:bidi="ar-SA"/>
              </w:rPr>
            </w:pPr>
            <w:r>
              <w:rPr>
                <w:rFonts w:hint="eastAsia" w:ascii="Times New Roman" w:hAnsi="Times New Roman" w:eastAsia="宋体" w:cs="Times New Roman"/>
                <w:b w:val="0"/>
                <w:bCs w:val="0"/>
                <w:i w:val="0"/>
                <w:color w:val="000000"/>
                <w:sz w:val="21"/>
                <w:szCs w:val="21"/>
                <w:u w:val="none"/>
                <w:lang w:eastAsia="zh-CN"/>
              </w:rPr>
              <w:t>燃气、电力、综合通讯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color w:val="000000"/>
                <w:kern w:val="2"/>
                <w:sz w:val="21"/>
                <w:szCs w:val="21"/>
                <w:u w:val="none"/>
                <w:lang w:val="en-US" w:eastAsia="zh-CN" w:bidi="ar-SA"/>
              </w:rPr>
            </w:pPr>
            <w:r>
              <w:rPr>
                <w:rFonts w:hint="eastAsia" w:ascii="Times New Roman" w:hAnsi="Times New Roman" w:eastAsia="宋体" w:cs="Times New Roman"/>
                <w:b w:val="0"/>
                <w:bCs w:val="0"/>
                <w:i w:val="0"/>
                <w:color w:val="000000"/>
                <w:kern w:val="2"/>
                <w:sz w:val="21"/>
                <w:szCs w:val="21"/>
                <w:u w:val="none"/>
                <w:lang w:val="en-US" w:eastAsia="zh-CN" w:bidi="ar-SA"/>
              </w:rPr>
              <w:t>km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color w:val="000000"/>
                <w:sz w:val="21"/>
                <w:szCs w:val="21"/>
                <w:u w:val="none"/>
                <w:lang w:val="en-US" w:eastAsia="zh-CN"/>
              </w:rPr>
            </w:pPr>
            <w:r>
              <w:rPr>
                <w:rFonts w:hint="eastAsia" w:ascii="Times New Roman" w:hAnsi="Times New Roman" w:eastAsia="宋体" w:cs="Times New Roman"/>
                <w:b w:val="0"/>
                <w:bCs w:val="0"/>
                <w:i w:val="0"/>
                <w:color w:val="000000"/>
                <w:sz w:val="21"/>
                <w:szCs w:val="21"/>
                <w:u w:val="none"/>
                <w:lang w:val="en-US" w:eastAsia="zh-CN"/>
              </w:rPr>
              <w:t>2.48</w:t>
            </w:r>
          </w:p>
        </w:tc>
      </w:tr>
    </w:tbl>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路面工程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桥面铺装采用10cmC40防水混凝土+柔性防水层+10cm沥青混凝土。混凝土层内设置CRB550及冷轧带肋钢筋网，间距10</w:t>
      </w:r>
      <w:r>
        <w:rPr>
          <w:rFonts w:hint="default" w:ascii="Arial" w:hAnsi="Arial" w:eastAsia="宋体" w:cs="Arial"/>
          <w:sz w:val="24"/>
          <w:szCs w:val="24"/>
          <w:lang w:val="en-US" w:eastAsia="zh-CN"/>
        </w:rPr>
        <w:t>×</w:t>
      </w:r>
      <w:r>
        <w:rPr>
          <w:rFonts w:hint="eastAsia" w:ascii="Times New Roman" w:hAnsi="Times New Roman" w:eastAsia="宋体" w:cs="Times New Roman"/>
          <w:sz w:val="24"/>
          <w:szCs w:val="24"/>
          <w:lang w:val="en-US" w:eastAsia="zh-CN"/>
        </w:rPr>
        <w:t>10cm</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上面层：5cm改性沥青玛蹄脂碎石混合料（SMA-13）</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下面层：5cm中粒式改性沥青混凝土（AC-20C）</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（2）路基工程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本项目主线为高架桥形式，桥梁结构形式为小箱梁桥拼装</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桥梁伸缩缝起点桩号为K2+670，终点桩号为K4+645，跨径布置为</w:t>
      </w:r>
      <w:r>
        <w:rPr>
          <w:rFonts w:hint="default" w:ascii="Times New Roman" w:hAnsi="Times New Roman" w:eastAsia="宋体" w:cs="Times New Roman"/>
          <w:sz w:val="24"/>
          <w:szCs w:val="24"/>
          <w:lang w:val="en-US" w:eastAsia="zh-CN"/>
        </w:rPr>
        <w:t>3×30+（30+50+35）+40×30+</w:t>
      </w:r>
      <w:r>
        <w:rPr>
          <w:rFonts w:hint="eastAsia" w:ascii="Times New Roman" w:hAnsi="Times New Roman" w:eastAsia="宋体" w:cs="Times New Roman"/>
          <w:sz w:val="24"/>
          <w:szCs w:val="24"/>
          <w:lang w:val="en-US" w:eastAsia="zh-CN"/>
        </w:rPr>
        <w:t>（35+50+35）+10</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30+（35+50+35）+1</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30米，其中（35+50+35）、（35+50+35）米采用现浇变截面连续箱梁桥，30米标准跨采用预制拼装小箱梁。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（3）交叉工程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本项目沿线交叉的各道路不设上下桥匝道，均为上方跨越式交叉，具体详见表2.3.2-2</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lang w:val="en-US" w:eastAsia="zh-CN"/>
        </w:rPr>
        <w:t>表2.3.2-2本项目与其他道路交叉情况一览表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2168"/>
        <w:gridCol w:w="3132"/>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09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序号</w:t>
            </w:r>
          </w:p>
        </w:tc>
        <w:tc>
          <w:tcPr>
            <w:tcW w:w="21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桩号</w:t>
            </w:r>
          </w:p>
        </w:tc>
        <w:tc>
          <w:tcPr>
            <w:tcW w:w="31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被交叉道路</w:t>
            </w:r>
          </w:p>
        </w:tc>
        <w:tc>
          <w:tcPr>
            <w:tcW w:w="213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交叉类型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21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K2+820</w:t>
            </w:r>
          </w:p>
        </w:tc>
        <w:tc>
          <w:tcPr>
            <w:tcW w:w="31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同心路</w:t>
            </w:r>
          </w:p>
        </w:tc>
        <w:tc>
          <w:tcPr>
            <w:tcW w:w="213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立面交叉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21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K3+220</w:t>
            </w:r>
          </w:p>
        </w:tc>
        <w:tc>
          <w:tcPr>
            <w:tcW w:w="31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龚中路</w:t>
            </w:r>
          </w:p>
        </w:tc>
        <w:tc>
          <w:tcPr>
            <w:tcW w:w="213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立面交叉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21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K3+460</w:t>
            </w:r>
          </w:p>
        </w:tc>
        <w:tc>
          <w:tcPr>
            <w:tcW w:w="31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龚北路</w:t>
            </w:r>
          </w:p>
        </w:tc>
        <w:tc>
          <w:tcPr>
            <w:tcW w:w="213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立面交叉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21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K4+120~K4+140</w:t>
            </w:r>
          </w:p>
        </w:tc>
        <w:tc>
          <w:tcPr>
            <w:tcW w:w="31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白云环路</w:t>
            </w:r>
          </w:p>
        </w:tc>
        <w:tc>
          <w:tcPr>
            <w:tcW w:w="213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立面交叉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21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K4+500</w:t>
            </w:r>
          </w:p>
        </w:tc>
        <w:tc>
          <w:tcPr>
            <w:tcW w:w="31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环城高速高新收费站出口</w:t>
            </w:r>
          </w:p>
        </w:tc>
        <w:tc>
          <w:tcPr>
            <w:tcW w:w="213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立面交叉</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（4）桥梁工程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本项目主线为高架桥梁工程，全线以桥梁为主。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（5）高填深挖路段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项目主要是利用现有白金大道中间绿化带进行高架桥建设。桥墩设立时挖深不大，并且桥墩基座建好后需重新覆土。项目不存在高填深挖问题。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（6）防护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高架桥两侧边缘设置防撞护栏。防撞护栏采用SS级钢筋碎防撞护栏，为防止混凝土产生收缩裂纹和适应变形需要，在伸缩缝处及图纸要求位置设置断缝。变形缝中填充硅胶，硅胶颜色与防撞墙围观颜色相同。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在防撞墙施工前应检查外侧边梁翼板是否与桥梁曲线吻合，如有误差防撞墙应调整至圆顺；防撞墙模板应按曲线线形加工，不能以折线替代曲线。防撞墙的线形务求圆顺、流畅、美观，外形尺寸准确无误。防撞墙顶面不平整度量测不大于3mm；平面位置偏差拉线检查不超过4mm；墙背竖直度用垂线检测不超过4mm；两接缝处两侧高差不大于1mm。相邻两段立模，应从先浇注段一端平顺引入水准面。防撞墙材料采用C30碎、HPB300钢筋及HRB400钢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（7）排水工程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所在的白金大道路段道路原建设地下管线较多，迁改难度较大，原则上尽量对已有管线采取保护措施，对于无法满足继续使用要求的，实施改建； 项目主要利用原白金大道中央绿化带进行桥墩建设。需对原道路中央绿化带下埋设的电力管（10g200+20110）、综通管（150110）、燃气管（DN400）实施迁改，由于铝厂管线较多，管线改建只能迁改于车行道下；考虑行车舒适性，改建至车行道下管线检查井均设置于行车轨迹线中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更换原有雨水检查井井盖及井座，对原有雨水检查井井周围保护加固，原有雨水口改造，清掏并更换雨水算子，接通于原有雨水井中。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原雨水管道能够满足近期雨水排放要求，且排出口接入规划道路雨水管道或排水箱涵（规划排水干线），排水均较顺畅，下雨天无明显积水点。本次评价主要是白金大道提升改造二期工程中近期改造的呐容，近期道路改造仍利用现有排水管道，对管道进行疏通，改造雨水口（主要是进行雨水口清污），在道路低洼处新增雨水口以利排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项目为高架桥，不设置污水管网，仅设置雨水管道，将桥面雨水导至桥下与现有市政雨水管网相连接。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（8）附属工程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道路沿线设置警告、标示、禁令等标志，路面漆划有关标线，设置护栏等相应的交通管理设施。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工程高架桥照明采用双侧对称布置，在桥梁护栏上布设单杆单挑路灯，行A效高度10米，挑臂长2m，仰角10度，路灯灯具功率为230W，光源为LED路灯布置间距25m。在转弯半径≤1000m的曲线路段，灯具沿曲线外侧布置并减小灯具间距。交会区路灯间距小于上述数值，为满足规范的照度要求，并适当增大灯具的功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防护设施包括车行护栏、护柱、人行护栏、分隔物、高缘石、防眩板、防撞护栏等。高架桥两侧均设置有防撞护栏，高架桥中央设置有中央隔离墩，同时，为减少高架桥区域对附近居民的影响，于高架桥两端设置声障墙，声障墙高2.5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利用原白金大道中央绿化带进行修建，修建时不可避免的要对部分绿化带进行拆除，桥墩施工结束后，对中央绿化带重新进行绿化种植恢复。道路绿化要重视遮荫效果，同时避免阻挡行车视线，创造优美的道路景观。根据当地生长环境，行道树树种主要有女贞或其它树种等</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sz w:val="24"/>
          <w:szCs w:val="24"/>
          <w:lang w:val="en-US" w:eastAsia="zh-CN"/>
        </w:rPr>
      </w:pPr>
      <w:bookmarkStart w:id="23" w:name="_Toc20641"/>
      <w:r>
        <w:rPr>
          <w:rFonts w:hint="eastAsia" w:ascii="Times New Roman" w:hAnsi="Times New Roman" w:eastAsia="宋体" w:cs="Times New Roman"/>
          <w:sz w:val="24"/>
          <w:szCs w:val="24"/>
          <w:lang w:val="en-US" w:eastAsia="zh-CN"/>
        </w:rPr>
        <w:t>2.3.3工程土石方量</w:t>
      </w:r>
      <w:bookmarkEnd w:id="2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本项目开挖土石方1万m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，回填土石方0.82万m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（其中绿化带表土量60m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），弃方0.18万m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，本项目弃方量较小，已运至指定堆场，未造成环境相关问题。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sz w:val="24"/>
          <w:szCs w:val="24"/>
          <w:lang w:val="en-US" w:eastAsia="zh-CN"/>
        </w:rPr>
      </w:pPr>
      <w:bookmarkStart w:id="24" w:name="_Toc2835"/>
      <w:r>
        <w:rPr>
          <w:rFonts w:hint="eastAsia" w:ascii="Times New Roman" w:hAnsi="Times New Roman" w:eastAsia="宋体" w:cs="Times New Roman"/>
          <w:sz w:val="24"/>
          <w:szCs w:val="24"/>
          <w:lang w:val="en-US" w:eastAsia="zh-CN"/>
        </w:rPr>
        <w:t>2.3.4项目变更情况</w:t>
      </w:r>
      <w:bookmarkEnd w:id="2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本项目基本按照环评报告书所列内容进行施工建设，变更处为环城高速高新收费站出口道路与本项目交叉由环评上的菱形立交改为本项目跨越式立面交叉。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sz w:val="24"/>
          <w:szCs w:val="24"/>
          <w:lang w:val="en-US" w:eastAsia="zh-CN"/>
        </w:rPr>
      </w:pPr>
      <w:bookmarkStart w:id="25" w:name="_Toc8157"/>
      <w:r>
        <w:rPr>
          <w:rFonts w:hint="eastAsia" w:ascii="Times New Roman" w:hAnsi="Times New Roman" w:eastAsia="宋体" w:cs="Times New Roman"/>
          <w:sz w:val="24"/>
          <w:szCs w:val="24"/>
          <w:lang w:val="en-US" w:eastAsia="zh-CN"/>
        </w:rPr>
        <w:t>2.4 环保投资</w:t>
      </w:r>
      <w:bookmarkEnd w:id="2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本项目环保投资明细详见表2.4-1。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表2.4-1环保投资一览表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0"/>
        <w:gridCol w:w="1416"/>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环保措施</w:t>
            </w:r>
          </w:p>
        </w:tc>
        <w:tc>
          <w:tcPr>
            <w:tcW w:w="14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环评预估投资（万元）</w:t>
            </w:r>
          </w:p>
        </w:tc>
        <w:tc>
          <w:tcPr>
            <w:tcW w:w="1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实际投资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kern w:val="2"/>
                <w:sz w:val="21"/>
                <w:szCs w:val="21"/>
                <w:vertAlign w:val="baseline"/>
                <w:lang w:val="en-US" w:eastAsia="zh-CN" w:bidi="ar-SA"/>
              </w:rPr>
            </w:pPr>
            <w:r>
              <w:rPr>
                <w:rFonts w:hint="eastAsia" w:ascii="Times New Roman" w:hAnsi="Times New Roman" w:eastAsia="宋体" w:cs="Times New Roman"/>
                <w:b/>
                <w:bCs/>
                <w:sz w:val="21"/>
                <w:szCs w:val="21"/>
                <w:vertAlign w:val="baseline"/>
                <w:lang w:val="en-US" w:eastAsia="zh-CN"/>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施工期 洒水车1台</w:t>
            </w:r>
          </w:p>
        </w:tc>
        <w:tc>
          <w:tcPr>
            <w:tcW w:w="14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5.0</w:t>
            </w:r>
          </w:p>
        </w:tc>
        <w:tc>
          <w:tcPr>
            <w:tcW w:w="1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桥下绿化修复</w:t>
            </w:r>
          </w:p>
        </w:tc>
        <w:tc>
          <w:tcPr>
            <w:tcW w:w="14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168.5</w:t>
            </w:r>
          </w:p>
        </w:tc>
        <w:tc>
          <w:tcPr>
            <w:tcW w:w="1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临时声屏障</w:t>
            </w:r>
          </w:p>
        </w:tc>
        <w:tc>
          <w:tcPr>
            <w:tcW w:w="14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10.0</w:t>
            </w:r>
          </w:p>
        </w:tc>
        <w:tc>
          <w:tcPr>
            <w:tcW w:w="1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设置限速标志</w:t>
            </w:r>
          </w:p>
        </w:tc>
        <w:tc>
          <w:tcPr>
            <w:tcW w:w="14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1.5</w:t>
            </w:r>
          </w:p>
        </w:tc>
        <w:tc>
          <w:tcPr>
            <w:tcW w:w="1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声屏障建设</w:t>
            </w:r>
          </w:p>
        </w:tc>
        <w:tc>
          <w:tcPr>
            <w:tcW w:w="14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78.0</w:t>
            </w:r>
          </w:p>
        </w:tc>
        <w:tc>
          <w:tcPr>
            <w:tcW w:w="1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施工期环保监测</w:t>
            </w:r>
          </w:p>
        </w:tc>
        <w:tc>
          <w:tcPr>
            <w:tcW w:w="14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8.0</w:t>
            </w:r>
          </w:p>
        </w:tc>
        <w:tc>
          <w:tcPr>
            <w:tcW w:w="1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施工期环境监理</w:t>
            </w:r>
          </w:p>
        </w:tc>
        <w:tc>
          <w:tcPr>
            <w:tcW w:w="14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23.0</w:t>
            </w:r>
          </w:p>
        </w:tc>
        <w:tc>
          <w:tcPr>
            <w:tcW w:w="1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环保工程设计</w:t>
            </w:r>
          </w:p>
        </w:tc>
        <w:tc>
          <w:tcPr>
            <w:tcW w:w="14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5.0</w:t>
            </w:r>
          </w:p>
        </w:tc>
        <w:tc>
          <w:tcPr>
            <w:tcW w:w="1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人员环保宣传、培训</w:t>
            </w:r>
          </w:p>
        </w:tc>
        <w:tc>
          <w:tcPr>
            <w:tcW w:w="14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1.5</w:t>
            </w:r>
          </w:p>
        </w:tc>
        <w:tc>
          <w:tcPr>
            <w:tcW w:w="1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运营期环境管理</w:t>
            </w:r>
          </w:p>
        </w:tc>
        <w:tc>
          <w:tcPr>
            <w:tcW w:w="14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150.0</w:t>
            </w:r>
          </w:p>
        </w:tc>
        <w:tc>
          <w:tcPr>
            <w:tcW w:w="1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环保竣工验收</w:t>
            </w:r>
          </w:p>
        </w:tc>
        <w:tc>
          <w:tcPr>
            <w:tcW w:w="14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10</w:t>
            </w:r>
          </w:p>
        </w:tc>
        <w:tc>
          <w:tcPr>
            <w:tcW w:w="1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6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合计</w:t>
            </w:r>
          </w:p>
        </w:tc>
        <w:tc>
          <w:tcPr>
            <w:tcW w:w="14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460.5</w:t>
            </w:r>
          </w:p>
        </w:tc>
        <w:tc>
          <w:tcPr>
            <w:tcW w:w="1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422.1</w:t>
            </w:r>
          </w:p>
        </w:tc>
      </w:tr>
    </w:tbl>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26" w:name="_Toc23441"/>
      <w:r>
        <w:rPr>
          <w:rFonts w:hint="eastAsia" w:ascii="Times New Roman" w:hAnsi="Times New Roman" w:eastAsia="宋体" w:cs="Times New Roman"/>
          <w:b/>
          <w:bCs/>
          <w:sz w:val="24"/>
          <w:szCs w:val="24"/>
          <w:lang w:val="en-US" w:eastAsia="zh-CN"/>
        </w:rPr>
        <w:t>3 环境影响评价报告回顾</w:t>
      </w:r>
      <w:bookmarkEnd w:id="2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环境影响调查的重要任务之一是查清工程在设计、施工过程中对环境影响</w:t>
      </w:r>
      <w:r>
        <w:rPr>
          <w:rFonts w:hint="eastAsia" w:ascii="Times New Roman" w:hAnsi="Times New Roman" w:eastAsia="宋体" w:cs="Times New Roman"/>
          <w:sz w:val="24"/>
          <w:szCs w:val="24"/>
          <w:lang w:val="en-US" w:eastAsia="zh-CN"/>
        </w:rPr>
        <w:t>评价</w:t>
      </w:r>
      <w:r>
        <w:rPr>
          <w:rFonts w:hint="default" w:ascii="Times New Roman" w:hAnsi="Times New Roman" w:eastAsia="宋体" w:cs="Times New Roman"/>
          <w:sz w:val="24"/>
          <w:szCs w:val="24"/>
          <w:lang w:val="en-US" w:eastAsia="zh-CN"/>
        </w:rPr>
        <w:t>报告书及其批复要求的环境保护措施和建议的执行落实情况，因此，回顾环境影</w:t>
      </w:r>
      <w:r>
        <w:rPr>
          <w:rFonts w:hint="eastAsia" w:ascii="Times New Roman" w:hAnsi="Times New Roman" w:eastAsia="宋体" w:cs="Times New Roman"/>
          <w:sz w:val="24"/>
          <w:szCs w:val="24"/>
          <w:lang w:val="en-US" w:eastAsia="zh-CN"/>
        </w:rPr>
        <w:t>评价</w:t>
      </w:r>
      <w:r>
        <w:rPr>
          <w:rFonts w:hint="default" w:ascii="Times New Roman" w:hAnsi="Times New Roman" w:eastAsia="宋体" w:cs="Times New Roman"/>
          <w:sz w:val="24"/>
          <w:szCs w:val="24"/>
          <w:lang w:val="en-US" w:eastAsia="zh-CN"/>
        </w:rPr>
        <w:t>响报告书的主要内容以及环保行政主管部门对报告书的批复意见非常重要。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白金大道提升改造二期工程（近期）建设工程项目环境影响评价报告书</w:t>
      </w:r>
      <w:r>
        <w:rPr>
          <w:rFonts w:hint="default" w:ascii="Times New Roman" w:hAnsi="Times New Roman" w:eastAsia="宋体" w:cs="Times New Roman"/>
          <w:sz w:val="24"/>
          <w:szCs w:val="24"/>
          <w:lang w:val="en-US" w:eastAsia="zh-CN"/>
        </w:rPr>
        <w:t>》由</w:t>
      </w:r>
      <w:r>
        <w:rPr>
          <w:rFonts w:hint="eastAsia" w:ascii="Times New Roman" w:hAnsi="Times New Roman" w:eastAsia="宋体" w:cs="Times New Roman"/>
          <w:sz w:val="24"/>
          <w:szCs w:val="24"/>
          <w:lang w:val="en-US" w:eastAsia="zh-CN"/>
        </w:rPr>
        <w:t>中冶节能环保有限责任公司</w:t>
      </w:r>
      <w:r>
        <w:rPr>
          <w:rFonts w:hint="default" w:ascii="Times New Roman" w:hAnsi="Times New Roman" w:eastAsia="宋体" w:cs="Times New Roman"/>
          <w:sz w:val="24"/>
          <w:szCs w:val="24"/>
          <w:lang w:val="en-US" w:eastAsia="zh-CN"/>
        </w:rPr>
        <w:t>于</w:t>
      </w:r>
      <w:r>
        <w:rPr>
          <w:rFonts w:hint="eastAsia" w:ascii="Times New Roman" w:hAnsi="Times New Roman" w:eastAsia="宋体" w:cs="Times New Roman"/>
          <w:sz w:val="24"/>
          <w:szCs w:val="24"/>
          <w:lang w:val="en-US" w:eastAsia="zh-CN"/>
        </w:rPr>
        <w:t>2016</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03</w:t>
      </w:r>
      <w:r>
        <w:rPr>
          <w:rFonts w:hint="default" w:ascii="Times New Roman" w:hAnsi="Times New Roman" w:eastAsia="宋体" w:cs="Times New Roman"/>
          <w:sz w:val="24"/>
          <w:szCs w:val="24"/>
          <w:lang w:val="en-US" w:eastAsia="zh-CN"/>
        </w:rPr>
        <w:t>月编制完成，并于</w:t>
      </w:r>
      <w:r>
        <w:rPr>
          <w:rFonts w:hint="eastAsia" w:ascii="Times New Roman" w:hAnsi="Times New Roman" w:eastAsia="宋体" w:cs="Times New Roman"/>
          <w:sz w:val="24"/>
          <w:szCs w:val="24"/>
          <w:lang w:val="en-US" w:eastAsia="zh-CN"/>
        </w:rPr>
        <w:t>2016</w:t>
      </w:r>
      <w:r>
        <w:rPr>
          <w:rFonts w:hint="default" w:ascii="Times New Roman" w:hAnsi="Times New Roman" w:eastAsia="宋体" w:cs="Times New Roman"/>
          <w:sz w:val="24"/>
          <w:szCs w:val="24"/>
          <w:lang w:val="en-US" w:eastAsia="zh-CN"/>
        </w:rPr>
        <w:t xml:space="preserve"> 年</w:t>
      </w:r>
      <w:r>
        <w:rPr>
          <w:rFonts w:hint="eastAsia" w:ascii="Times New Roman" w:hAnsi="Times New Roman" w:eastAsia="宋体" w:cs="Times New Roman"/>
          <w:sz w:val="24"/>
          <w:szCs w:val="24"/>
          <w:lang w:val="en-US" w:eastAsia="zh-CN"/>
        </w:rPr>
        <w:t>04</w:t>
      </w:r>
      <w:r>
        <w:rPr>
          <w:rFonts w:hint="default" w:ascii="Times New Roman" w:hAnsi="Times New Roman" w:eastAsia="宋体" w:cs="Times New Roman"/>
          <w:sz w:val="24"/>
          <w:szCs w:val="24"/>
          <w:lang w:val="en-US" w:eastAsia="zh-CN"/>
        </w:rPr>
        <w:t>月得到了贵州省环保厅的批复，本次调查中采用的某些结论及环境保护措施考察的依据即出自《</w:t>
      </w:r>
      <w:r>
        <w:rPr>
          <w:rFonts w:hint="eastAsia" w:ascii="Times New Roman" w:hAnsi="Times New Roman" w:eastAsia="宋体" w:cs="Times New Roman"/>
          <w:sz w:val="24"/>
          <w:szCs w:val="24"/>
          <w:lang w:val="en-US" w:eastAsia="zh-CN"/>
        </w:rPr>
        <w:t>白金大道提升改造二期工程（近期）建设工程项目环境影响评价报告书</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27" w:name="_Toc9964"/>
      <w:r>
        <w:rPr>
          <w:rFonts w:hint="eastAsia" w:ascii="Times New Roman" w:hAnsi="Times New Roman" w:eastAsia="宋体" w:cs="Times New Roman"/>
          <w:sz w:val="24"/>
          <w:szCs w:val="24"/>
          <w:lang w:val="en-US" w:eastAsia="zh-CN"/>
        </w:rPr>
        <w:t>3.1环境影响影响评价报告的主要结论</w:t>
      </w:r>
      <w:bookmarkEnd w:id="2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sz w:val="24"/>
          <w:szCs w:val="24"/>
          <w:lang w:val="en-US" w:eastAsia="zh-CN"/>
        </w:rPr>
      </w:pPr>
      <w:bookmarkStart w:id="28" w:name="_Toc17256"/>
      <w:r>
        <w:rPr>
          <w:rFonts w:hint="eastAsia" w:ascii="Times New Roman" w:hAnsi="Times New Roman" w:eastAsia="宋体" w:cs="Times New Roman"/>
          <w:sz w:val="24"/>
          <w:szCs w:val="24"/>
          <w:lang w:val="en-US" w:eastAsia="zh-CN"/>
        </w:rPr>
        <w:t>3.1.1工程概况</w:t>
      </w:r>
      <w:bookmarkEnd w:id="2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道路向南起点为白金大道同心路交叉口往南约300m，向北到白金大道与环城高速黎阳收费站交界北侧约400m。线路全长2.48km。拟建项目道路等级为城市主干路，设计速度为60km/h，高架桥宽度为17.5m，双向四车道，路面采用改性沥青混凝土，道路总长2.48km，其中主线高架桥长1.97km。项目投资：41224.02 万元，建设工期为15个月。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29" w:name="_Toc17530"/>
      <w:r>
        <w:rPr>
          <w:rFonts w:hint="eastAsia" w:ascii="Times New Roman" w:hAnsi="Times New Roman" w:eastAsia="宋体" w:cs="Times New Roman"/>
          <w:sz w:val="24"/>
          <w:szCs w:val="24"/>
          <w:lang w:val="en-US" w:eastAsia="zh-CN"/>
        </w:rPr>
        <w:t>3.1.2规划符合性</w:t>
      </w:r>
      <w:bookmarkEnd w:id="29"/>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与《贵州省环境保护规划》的符合性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本项目为贵阳市白云区的市政道路工程，属于生态影响项目，与环境规划的总体</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进一步控制污染物排放总量、推动循环经济发展，强化企业清洁生产、保护饮用水源，加强水污染综合整治，改善中心城市空气质量，加强固体废物污染防治，加大农村环境保护力度，加强环境管理能力建设等</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不相冲突。工程的建设能促进贵阳市白云区的发展。故本项目的建设能够满足贵州省环境保护的要求，与规划目标相符合。</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与《贵阳市城市总体规划》（</w:t>
      </w:r>
      <w:r>
        <w:rPr>
          <w:rFonts w:hint="eastAsia" w:ascii="Times New Roman" w:hAnsi="Times New Roman" w:eastAsia="宋体" w:cs="Times New Roman"/>
          <w:sz w:val="24"/>
          <w:szCs w:val="24"/>
          <w:lang w:val="en-US" w:eastAsia="zh-CN"/>
        </w:rPr>
        <w:t>2016</w:t>
      </w:r>
      <w:r>
        <w:rPr>
          <w:rFonts w:hint="default" w:ascii="Times New Roman" w:hAnsi="Times New Roman" w:eastAsia="宋体" w:cs="Times New Roman"/>
          <w:sz w:val="24"/>
          <w:szCs w:val="24"/>
          <w:lang w:val="en-US" w:eastAsia="zh-CN"/>
        </w:rPr>
        <w:t>-2020）的符合性分析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按照《贵阳市城市总体规划》确定的城市路网条件，沙文科技产业园区对外交通以高快速路为依托，内部路网以白金大道、麦沙大道</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一纵一横</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为骨架，通过立交枢纽节点将内部路网和外部道路高效连接。组成沙文生态科技产业园</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十联两节点</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的区域对外道路体系，融入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一纵一横一环</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和</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三环十六射线</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的城区道路主骨架体系中，构件四同步达到对外联系交通环境，为物流、人流的快速集散奠定基础，创造便捷畅达的对外交通联系条件，完善对外区域性道路交通网络体系。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规划中的</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两节点</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分别为白金大道与环城高速公路互通立交节点、麦沙大炒线与贵遵高等级公路互通立交节点。项目为白金大道提升改造项目，项目的建设主要是为了更好的连通各快速路和主干路，项目有完善路网，增加规划道路通车能力的作用。总体而言，项目的建设基本符合《贵阳市城市总体规划》 (</w:t>
      </w:r>
      <w:r>
        <w:rPr>
          <w:rFonts w:hint="eastAsia" w:ascii="Times New Roman" w:hAnsi="Times New Roman" w:eastAsia="宋体" w:cs="Times New Roman"/>
          <w:sz w:val="24"/>
          <w:szCs w:val="24"/>
          <w:lang w:val="en-US" w:eastAsia="zh-CN"/>
        </w:rPr>
        <w:t>2016</w:t>
      </w:r>
      <w:r>
        <w:rPr>
          <w:rFonts w:hint="default" w:ascii="Times New Roman" w:hAnsi="Times New Roman" w:eastAsia="宋体" w:cs="Times New Roman"/>
          <w:sz w:val="24"/>
          <w:szCs w:val="24"/>
          <w:lang w:val="en-US" w:eastAsia="zh-CN"/>
        </w:rPr>
        <w:t>-2020)。</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选址、选线合理性分析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利用白金大道中央绿化带进行桥墩建设，不新增永久占地和临时占地，不对周边居民点进行征地。项目的建设增加白金大道通车能力，为白金大道远期改造工程完善路网。项目选线较为合理。 项目沿线评价范围内未涉及自然保护区、风景名胜区、压覆矿产等。项目占地全部为贵阳市白云区规划中的城市交通用地，不涉及基本农田，对环境的影响在采取必要措施的前提下是较小的，因此项目的选址是合理的。</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与产业政策的符合性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本工程属于《产业结构调整指导目录（2011年本）》（国家发展和改革委员会 2011年第9号）（2013年修改）鼓励类中的第二十二类"城市基础设施"条目中的第4条</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城市道路及智能交通体系建设。因此，本工程的建设符合国家产业政策。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30" w:name="_Toc1833"/>
      <w:r>
        <w:rPr>
          <w:rFonts w:hint="eastAsia" w:ascii="Times New Roman" w:hAnsi="Times New Roman" w:eastAsia="宋体" w:cs="Times New Roman"/>
          <w:sz w:val="24"/>
          <w:szCs w:val="24"/>
          <w:lang w:val="en-US" w:eastAsia="zh-CN"/>
        </w:rPr>
        <w:t>3.1.3环评现状结论</w:t>
      </w:r>
      <w:bookmarkEnd w:id="30"/>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社会环境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白金大道提升改造二期工程（近期）工程位于贵阳市白云区，项目符合《贵阳市城市总体规划》（2016-2020）。项目所在地评价范围内不涉及风景名胜区及文物古迹点。</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地表水环境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本次评价设置3个监测断面，地表水现状监测数据引用《贵阳市白云区青龙大道南段A段道路工程环境影响报告书》中2014年10月29日~31日对高麦大沟及麦架河的3个监测断面。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高麦大沟W1、W2监测断面中大部分监测指标均超标，超标的原因主要是高麦大沟周边居民生活污水未经处理直接排入河流所致；麦架河W3监测断面所有监测因子均能满足《地表水环境质量标准》（GB3838-2002）Ⅲ类标准限值要求。</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环境空气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本次评价共设置2个环境空气质量现状监测点，引用贵州省分析测试研究院在《贵阳市白云区青龙大道南段A段道路工程环境影响报告书》中2014年10 月29日至2014年11月4日对七彩湖花园和高山村居民点处的监测。G1七彩湖花园监测点位于项目起点西南侧1.3km；G2高山村居民点监测点位于项目终点西北侧约1.4km。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由监测数据显示，评价区2个环境个空气监测点的NO2、SO2的小时平均和日平均，PM</w:t>
      </w:r>
      <w:r>
        <w:rPr>
          <w:rFonts w:hint="eastAsia" w:ascii="Times New Roman" w:hAnsi="Times New Roman" w:eastAsia="宋体" w:cs="Times New Roman"/>
          <w:sz w:val="24"/>
          <w:szCs w:val="24"/>
          <w:vertAlign w:val="subscript"/>
          <w:lang w:val="en-US" w:eastAsia="zh-CN"/>
        </w:rPr>
        <w:t>10</w:t>
      </w:r>
      <w:r>
        <w:rPr>
          <w:rFonts w:hint="eastAsia" w:ascii="Times New Roman" w:hAnsi="Times New Roman" w:eastAsia="宋体" w:cs="Times New Roman"/>
          <w:sz w:val="24"/>
          <w:szCs w:val="24"/>
          <w:lang w:val="en-US" w:eastAsia="zh-CN"/>
        </w:rPr>
        <w:t>、PM</w:t>
      </w:r>
      <w:r>
        <w:rPr>
          <w:rFonts w:hint="eastAsia" w:ascii="Times New Roman" w:hAnsi="Times New Roman" w:eastAsia="宋体" w:cs="Times New Roman"/>
          <w:sz w:val="24"/>
          <w:szCs w:val="24"/>
          <w:vertAlign w:val="subscript"/>
          <w:lang w:val="en-US" w:eastAsia="zh-CN"/>
        </w:rPr>
        <w:t>2.5</w:t>
      </w:r>
      <w:r>
        <w:rPr>
          <w:rFonts w:hint="eastAsia" w:ascii="Times New Roman" w:hAnsi="Times New Roman" w:eastAsia="宋体" w:cs="Times New Roman"/>
          <w:sz w:val="24"/>
          <w:szCs w:val="24"/>
          <w:lang w:val="en-US" w:eastAsia="zh-CN"/>
        </w:rPr>
        <w:t>的日平均浓度均低于《环境空气质量标准》（GB3095-2012）中的二级标准限值。评价区域空气质量较好，NO2、SO、PM</w:t>
      </w:r>
      <w:r>
        <w:rPr>
          <w:rFonts w:hint="eastAsia" w:ascii="Times New Roman" w:hAnsi="Times New Roman" w:eastAsia="宋体" w:cs="Times New Roman"/>
          <w:sz w:val="24"/>
          <w:szCs w:val="24"/>
          <w:vertAlign w:val="subscript"/>
          <w:lang w:val="en-US" w:eastAsia="zh-CN"/>
        </w:rPr>
        <w:t>10</w:t>
      </w:r>
      <w:r>
        <w:rPr>
          <w:rFonts w:hint="eastAsia" w:ascii="Times New Roman" w:hAnsi="Times New Roman" w:eastAsia="宋体" w:cs="Times New Roman"/>
          <w:sz w:val="24"/>
          <w:szCs w:val="24"/>
          <w:lang w:val="en-US" w:eastAsia="zh-CN"/>
        </w:rPr>
        <w:t>、PM</w:t>
      </w:r>
      <w:r>
        <w:rPr>
          <w:rFonts w:hint="eastAsia" w:ascii="Times New Roman" w:hAnsi="Times New Roman" w:eastAsia="宋体" w:cs="Times New Roman"/>
          <w:sz w:val="24"/>
          <w:szCs w:val="24"/>
          <w:vertAlign w:val="subscript"/>
          <w:lang w:val="en-US" w:eastAsia="zh-CN"/>
        </w:rPr>
        <w:t>2.5</w:t>
      </w:r>
      <w:r>
        <w:rPr>
          <w:rFonts w:hint="eastAsia" w:ascii="Times New Roman" w:hAnsi="Times New Roman" w:eastAsia="宋体" w:cs="Times New Roman"/>
          <w:sz w:val="24"/>
          <w:szCs w:val="24"/>
          <w:lang w:val="en-US" w:eastAsia="zh-CN"/>
        </w:rPr>
        <w:t>还有一定的容纳量。</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声环境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本项目噪声现状监测共设置8个点位，八个点位分别是项目区域内五处敏感点。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环境噪声监测结果表明，沿线各监测点均能分别达到《声环境质量标准》（GB 3096-2008）相应的4a类、2类标准的要求，但无法达到1类标准要求。</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生态环境 项目区内的植物物种主要为园林载重的市政道路及小区绿化植物，主要有红叶石楠、大叶黄杨、小叶黄杨、金叶女贞、红叶小壁、紫穗槐等灌木；垂槐（龙爪槐）、黄金槐、大叶女贞、红花紫薇、金银木、紫叶桃等乔木。</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区域内动物种类多为常见种类。野生动物已不多见，野生动物资源较少，主要动物有体型较小的鸟类，如斑鸠、山雀等，但每种鸟的种群数量不大。哺乳类有田鼠、屋顶鼠等；腹足类有蜗牛等；环节类有蚯蚓等；节肢类有蜈蚣、甲虫、蚂蚁等，以及其他昆虫类，如蝴蝶、蜻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根据现场调查，建设项目用地范围内除常见的鸟类、昆虫类外，未发现国家级和省级野生保护动物。用地范围内未发现分布有古树、大树、珍稀濒危树木和名木，未发现国家重点保护树种。</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景观环境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根据美国林务局的“风景资源管理系统”（VMS）对景观多样性分析，拟建道路景观多样性属C级，景观多样性较少，景观质量一般。</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31" w:name="_Toc20764"/>
      <w:r>
        <w:rPr>
          <w:rFonts w:hint="eastAsia" w:ascii="Times New Roman" w:hAnsi="Times New Roman" w:eastAsia="宋体" w:cs="Times New Roman"/>
          <w:sz w:val="24"/>
          <w:szCs w:val="24"/>
          <w:lang w:val="en-US" w:eastAsia="zh-CN"/>
        </w:rPr>
        <w:t>3.1.4环境影响评价</w:t>
      </w:r>
      <w:bookmarkEnd w:id="3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（1）社会环境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道路工程施工期对周围社会环境的影响主要体现在施工给沿线群众出行带来不便对群众生活水平的影响；施工车辆大都是载重汽车，可能会导致现有道路面、路基等造成破坏，也将降低对现有对道路通行能力等。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建成后，有利于改善沿线交通环境，同时，项目建成营运后会大大提升路两侧土地的利用价值等。建设带来的负面影响主要是施工和营运中对环境带来一定污染，但只要采取积极有效的措施是可以得到妥善解决的。项目所在地的社会环境、人文条件适应项目的建设与可持续发展，社会风险小。</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水环境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拟建项目施工的物料、油料的随意堆放可能给水体造成一定程度的污染；设备漏油、机械设备维修过程中的残油如果不在采取相应的措施，也会给水体造成污染。运营期本项目设置有完善污水排水系统，项目建成运营后对地表水的影响有限。</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大气环境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施工期对环境空气污染的主要污染源有汽车行驶扬尘、原材料堆场扬尘、沥青铺设过程中的沥青烟等。沥青铺浇路面时所排放的烟气其污染物影响距离一般在50m 之内，因此，当路段施工靠近50m范围内的敏感点时，沥青铺浇时应避免风向针对50m 以内的敏感点，以免对人群健康产生影响。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通过模式预测：拟建道路沿线NO</w:t>
      </w:r>
      <w:r>
        <w:rPr>
          <w:rFonts w:hint="eastAsia" w:ascii="Times New Roman" w:hAnsi="Times New Roman" w:eastAsia="宋体" w:cs="Times New Roman"/>
          <w:sz w:val="24"/>
          <w:szCs w:val="24"/>
          <w:vertAlign w:val="subscript"/>
          <w:lang w:val="en-US" w:eastAsia="zh-CN"/>
        </w:rPr>
        <w:t>2</w:t>
      </w:r>
      <w:r>
        <w:rPr>
          <w:rFonts w:hint="eastAsia" w:ascii="Times New Roman" w:hAnsi="Times New Roman" w:eastAsia="宋体" w:cs="Times New Roman"/>
          <w:sz w:val="24"/>
          <w:szCs w:val="24"/>
          <w:lang w:val="en-US" w:eastAsia="zh-CN"/>
        </w:rPr>
        <w:t>的预测值在营运各期均达到《环境空气质量标准》二级标准限值。预测表明：由于各敏感点均临近道路，两侧区域因此不可避免的受汽车尾气影响，本次评价的沿线点：运营近期在正常车流量（含高峰车流量）情况下，NO</w:t>
      </w:r>
      <w:r>
        <w:rPr>
          <w:rFonts w:hint="eastAsia" w:ascii="Times New Roman" w:hAnsi="Times New Roman" w:eastAsia="宋体" w:cs="Times New Roman"/>
          <w:sz w:val="24"/>
          <w:szCs w:val="24"/>
          <w:vertAlign w:val="subscript"/>
          <w:lang w:val="en-US" w:eastAsia="zh-CN"/>
        </w:rPr>
        <w:t>2</w:t>
      </w:r>
      <w:r>
        <w:rPr>
          <w:rFonts w:hint="eastAsia" w:ascii="Times New Roman" w:hAnsi="Times New Roman" w:eastAsia="宋体" w:cs="Times New Roman"/>
          <w:sz w:val="24"/>
          <w:szCs w:val="24"/>
          <w:lang w:val="en-US" w:eastAsia="zh-CN"/>
        </w:rPr>
        <w:t>一次浓度均满足《环境空气质量标准》（GB3095-2012）二级标准。</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声环境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根据拟建道路沿线敏感点与路线的相对位置关系，道路沿线路旁的敏感点都会受到影响，施工期时全线设置临时声屏障，施工噪声能达到《建筑施工场界环境噪声排放标准》（GB12523-2011）的要求。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预测结果表明：项目距离较近的居民点在近期、中期昼间和远期昼间可以达到相应的声环境功能区的标准要求，但是在中期和远期的夜间出现了超标现象。项目周边需要满足1类声功能区的敏感点在近期、中期和远期的昼间和夜间均出现超标现象。尤其夜间超标幅度更为显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考虑到项目建成后到白金大道提升改造二期工程（远期）施工还有时间距离，因此，本评价要求，项目全线需增加声屏障。结合项目声环境现状监测结果，由于贵阳一中和贵阳医院噪声现状已经出现超标现象，因此需要在此处增加通风隔声窗进行降噪处理。</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固体废弃物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施工结束后，施工场地应及时平整，清场要彻底，建筑垃圾用于场地回填；加强施工期现场管理，及时清理建筑废料，妥善处置。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道路建成营运后，安排专人负责对拟建道路进行清扫，清扫的垃圾清运至指定的生活垃圾填埋场处置，对项目沿线环境的影响甚微。</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生态影响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沥青和车辆漏油、车辆尾气的排放以及施工产生的粉尘会污染空气，从而间接影响路旁行道树的生长。随着施工的结束扬尘量大幅减小，情况有所好转。施工结束后中央绿化带将进行修复，补偿损失的生物量。虽然短期内绿化带生物量会产生一定程度的影响，但建设项目完成后进行的绿化带修复措施可以弥补施工造成的生物量损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施工期和营运期对动物种群造成的影响主要是产生的噪声以及震动。项目评价范围内现状由于城市内人类活动频繁地带，受人类活动的干扰，适宜野生动物栖息的环境有限，动物区系结构组成较简单，在此生态境域中，动物种类比较贫乏。随着拟建道路建成营运，对沿线动物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建成以后，对项目沿线的人文景观和自然景观从视觉将产生明显的影响。拟建道路建成后各路沿线所经地区为城市景观，道路建成后对项目所在地的人文景观和自然景观视觉将产生明显的影响。拟建项目评价范围内的敏感景观为：拟建项目道路K3+500~K3+740段处的塔山公园。塔山公园是原贵州铝厂兴建，为小型城市公园，主要为市民提供休闲、晨练场地。项目建成后，公园东侧原本宽阔的视野将会被高架桥阻断，对游客游览造成一定的中景影响。考虑到公园原本为城市公园，而所建造的高架桥取代原本中景的住宅楼，因此，项目建成后造成的景观方面的影响并未改变区域内城市景观属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32" w:name="_Toc21041"/>
      <w:r>
        <w:rPr>
          <w:rFonts w:hint="eastAsia" w:ascii="Times New Roman" w:hAnsi="Times New Roman" w:eastAsia="宋体" w:cs="Times New Roman"/>
          <w:sz w:val="24"/>
          <w:szCs w:val="24"/>
          <w:lang w:val="en-US" w:eastAsia="zh-CN"/>
        </w:rPr>
        <w:t>3.1.5主要环境保护措施</w:t>
      </w:r>
      <w:bookmarkEnd w:id="32"/>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社会环境保护措施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在道路施工路段出入口设置了交通标志、标牌，加强宣传与教育；本工程有大量土石方及原材料进行运输，施工单位应合理安排施工运输工作，并安排专人负责做好交通疏导，避免对乡道等造成交通阻塞；道路建设完工后，施工单位应对因本道路建设造成的周边设施损毁进行修善；施工现场悬挂施工标牌，标明工程名称、负责人、施工许可证和投诉电话等内容，接受社会各界和居民监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营运期拟建道路的管理机构应做好交通运输安全预防和宣传工作，确保道路畅通和人民生命财产安全；做好环境工程的建设和维护工作；加强主体工程的管理工作，确保通道工程畅通，以提供人民的出行方便、工作方便。</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水环境保护措施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①施工期地表水保护措施</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施工材料如油料、化学品等有害物质堆放场地应设围挡措施，并加蓬布覆盖以减少雨水冲刷造成污染。</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施工废水要求沉淀池收集，经酸碱中和沉淀、隔油除渣等简单处理后，主要污染物SS去除率控制到80%以上全部回用，不外排。</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尽量选用先进的设备、机械、以有效地减少跑、冒、滴、漏的数量及机械维修次数，从而减少含油污水的产生量。在不可避免的跑、冒、滴、漏过程中尽量采用固态吸油材料（如棉纱、木屑、吸油纸等），将废油收集转化到固态物质中，避免产生过多的含油污水，对渗漏到土壤的油污应及时利用刮削装置收集 封存，运至有资质的处理场集中处理。</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对收集的浸油废料采取打包密封后外运处置，外运地点选择附近具备这类废物处置资质的处置场。</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本项目只在半幅封闭路段设置施工生产营地，不单独设置施工生活营地，施工人员为进城务工人员，食宿自理。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③营运期地下水环境保护措施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拟建项目为城市道路，沿线布设有完整的给排水系统，包括给水管、雨水口、排水沟、雨水管等，并与周边道路的排水系统相连接。拟建项目不设置污水管线，桥面雨水经雨水收集管线收集，与桥下道路现有雨水管网相连接，雨水最终通过雨水管网进入附近水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④营运期地表水环境保护措施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在原白金大道中央绿化带进行桥墩建设，白金大道拟建项目为城市道路，沿线将布设完整的给排水系统，包括给水管、雨水口、排水沟、雨水管等，并与周边道路的排水系统相连接。拟建项目只设置雨水收集管，收集后的雨水引致桥下，与现有道路的雨水管网相连接，桥面收集雨水进入白金大道市政雨水管网，最终进入项目附近水体。</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大气环境保护措施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①施工期</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施工场区物料及渣土运输车辆应实行密闭运输，防止运输过程中撒落，降低粉尘和扬尘对沿线空气环境的影响。</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加强对产生的粉尘和扬尘的控制，附近有环境空气敏感点，晴天施工的时候，施工的路面应经常洒水，使路面保持湿润，减少扬尘；物料运输实行密闭运输，避免在运输过程中发生遗撒或泄漏等，以减少汽车经过和风吹引起的道路扬尘，尽量降低施工期粉尘和扬尘对空气环境和沿线住户的影响。</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施工过程中受环境空气污染的最为严重的是施工人员，施工单位应着重对施工人员采取防护和劳动保护措施，如缩短工作时间和发放防尘口罩等。</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施工单位必须选用符合国家卫生防护标准的施工机械设备和运输工具，确保其废气排放符合国家有关标准。</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建设项目有较多物料需要运输，运输物料的车辆采用篷布覆盖，车辆在出施工区域时要冲洗轮胎，防止因车辆轮胎附带的渣土造成扬尘。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②营运期</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设置专业清洁人员维护和保持路面清洁，降低路面尘土飞扬对空气环境的影响。</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载重货车实行密闭运输，降低在运输过程中的抛撒或泄漏等，减少拟建道路路面的垃圾和尘土。</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加强交通管理，限制汽车荷载和通行速度，降低汽车扬尘和尾气排放量；抽查汽车尾气，发放尾气排放合格证，禁止尾气超标车辆上路行驶。</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可结合当地生态建设等规划，道路建成后在道路两侧进行绿化及中央分隔带绿化。这样即可以净化吸收机动车尾气中的污染物、道路粉尘，又可以美化环境，改善路容。</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声环境保护措施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选用低噪声的施工机械和工艺；施工单位要合理安排工作人员轮流操作辐射高强噪声的施工机械；对项目全线设置临时移动声屏障；夜间（2：00～06：0）禁止施工，如因工艺需要须在夜间连续施工作业的，施工单位应提前十五天向当地环保部门申请，经审批同意后张贴公示周边居民，最大限度地争取民众支持；建设单位应责成施工单位在施工现场粘贴通告和投诉电话，建设单位在接到报案后应及时与当地环保部门取得联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加强交通管理，严格执行限速和禁止超载等交通规则，在通过人口密度较大路段，在附近设置禁鸣标志；经常养护路面；道路自身的绿化降噪；项目全线设 置隔音屏障。</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固体废物保护措施</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施工结束后，施工场地应及时平整，清场要彻底，建筑垃圾用于场地回填。</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加强施工期现场管理，及时清理建筑废料，妥善处置；</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营运期道路两侧工程本身设计有垃圾箱，安排专人负责对拟建道路进行清扫，清扫的垃圾清运至指定的生活垃圾填埋场处置，对项目沿线环境的影响甚微。</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生态影响保护措施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①拟建项目施工期生态影响保护措施</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开工前对施工临时设施的规划要进行严格的审查。</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严格按照设计文件确定征占土地范围，对征占的土地应按相关手续办理征地手续并获得相应批复文件后开展地表植被的清理工作。</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严格控制路基开挖施工作业面，避免超挖破坏周围植被。</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施工期临时设施用地尽量选择在征地范围内，因道路施工破坏植被而裸露的土地（包括路界内外）均应采取临时防护措施，因周边均规划为建设用地，在施工结束后应立即对占用的临时用地进行整治利用。</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尽可能保护表层有肥力的土壤，集中堆放并采取临时防护措施，以便于后期绿化利用或复垦。</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本项目施工区处于农村地区，但是由于受人类活动影响较大，项目区除鸟类、蛇类和鼠类等野生动物外，基本无它野生动物出没，应提高施工人员的保护意识，严禁捕猎野生动物。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②拟建项目营运期生态影响保护措施</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及时实施道路设计的绿化工程，并加强对绿化植物的管理与养护，保证成活。</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强化道路沿线固体废弃物污染治理监督工作。</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施工期扰动破坏的耕地及绿地在道路修建完成后应及时进行复垦及补种。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3" w:name="_Toc13141"/>
      <w:r>
        <w:rPr>
          <w:rFonts w:hint="eastAsia" w:ascii="Times New Roman" w:hAnsi="Times New Roman" w:eastAsia="宋体" w:cs="Times New Roman"/>
          <w:sz w:val="24"/>
          <w:szCs w:val="24"/>
          <w:lang w:val="en-US" w:eastAsia="zh-CN"/>
        </w:rPr>
        <w:t>3.1.6公众参与</w:t>
      </w:r>
      <w:bookmarkEnd w:id="3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评价单位通过采取填写公众参与调查表和现场公示等形式，对道路线受影响的群众进行了调查，了解项目沿线公众对道路建设的看法和意见要求。建设项目得到了当地绝大多数群众和全部的社会团体支持；但仍有少部分群众的提出反对意见，其原因为：无法判定本项目施工期时限，对建设单位的控制施工噪音的措施实施效果持怀疑态度，认为项目对环境和当地居民的生活会产生较强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评价单位与建设单位进行沟通后，建设方迅速作出了反馈，表示：将加强宣传力度，加强和受影响居民沟通，按照相关环保措施，保障受影响村民的生活质量不会降低；将加强施工期管理，督促施工单位文明施工，减轻施工对周边环境影响，避免夜间进行高噪声设备作业。针对群众因担心及反对情绪，建设单位应向周边群众对项目的具体实施进度以及采取的相应措施进行公告以及宣传，消除群众的疑虑，并根据群众的疑虑做好响应的工程措施，以实际行动来降低群众的反感情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4" w:name="_Toc7982"/>
      <w:r>
        <w:rPr>
          <w:rFonts w:hint="eastAsia" w:ascii="Times New Roman" w:hAnsi="Times New Roman" w:eastAsia="宋体" w:cs="Times New Roman"/>
          <w:sz w:val="24"/>
          <w:szCs w:val="24"/>
          <w:lang w:val="en-US" w:eastAsia="zh-CN"/>
        </w:rPr>
        <w:t>3.1.7环保投资及环境经济损益分析</w:t>
      </w:r>
      <w:bookmarkEnd w:id="3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本工程项目路线方案总投资估算约41224.02万元，环保投资483.52万元，环保投资占总投资的1.17%。在项目实施过程中必须保证环保资金的投入，使项目建设带来的相关环境问题得以减缓。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环境损益分析结果表明，拟建道路环境正效益约为负效益的22倍，说明拟建道路所产生的环境经济的正效益占主导地位。从环保角度来看，该项目的建设是可行的。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5" w:name="_Toc14473"/>
      <w:r>
        <w:rPr>
          <w:rFonts w:hint="eastAsia" w:ascii="Times New Roman" w:hAnsi="Times New Roman" w:eastAsia="宋体" w:cs="Times New Roman"/>
          <w:sz w:val="24"/>
          <w:szCs w:val="24"/>
          <w:lang w:val="en-US" w:eastAsia="zh-CN"/>
        </w:rPr>
        <w:t>3.1.8环评总结论</w:t>
      </w:r>
      <w:bookmarkEnd w:id="3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白金大道提升改造二期工程符合国家产业政策，符合《贵阳市城市总体规划》（</w:t>
      </w:r>
      <w:r>
        <w:rPr>
          <w:rFonts w:hint="eastAsia" w:ascii="Times New Roman" w:hAnsi="Times New Roman" w:eastAsia="宋体" w:cs="Times New Roman"/>
          <w:sz w:val="24"/>
          <w:szCs w:val="24"/>
          <w:lang w:val="en-US" w:eastAsia="zh-CN"/>
        </w:rPr>
        <w:t>2016</w:t>
      </w:r>
      <w:r>
        <w:rPr>
          <w:rFonts w:hint="default" w:ascii="Times New Roman" w:hAnsi="Times New Roman" w:eastAsia="宋体" w:cs="Times New Roman"/>
          <w:sz w:val="24"/>
          <w:szCs w:val="24"/>
          <w:lang w:val="en-US" w:eastAsia="zh-CN"/>
        </w:rPr>
        <w:t>～2020年），评价范围内无风景名胜和人文景观，选线合理可行。工程在建设和营运期间虽会对周围环境带来少许影响，但只要在建设和营运中严格执行国家各项环保法规和标准，重视环境管理，认真执行"三同时"制度，并落实工程拟采用及本报告提出的环境影响减缓措施及建议，该项目的环境影响将得到有效控制。因此，从环保角度分析，白金大道二期改造工程（近期）的开展是可行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36" w:name="_Toc30129"/>
      <w:r>
        <w:rPr>
          <w:rFonts w:hint="eastAsia" w:ascii="Times New Roman" w:hAnsi="Times New Roman" w:eastAsia="宋体" w:cs="Times New Roman"/>
          <w:sz w:val="24"/>
          <w:szCs w:val="24"/>
          <w:lang w:val="en-US" w:eastAsia="zh-CN"/>
        </w:rPr>
        <w:t>3.2环境影响评价报告建议</w:t>
      </w:r>
      <w:bookmarkEnd w:id="3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本评价是以可研报告为依据，随着设计的不断深入和优化，工可阶段的环境敏感点与拟建工程的相对位置可能发生变化，因此，在工程施工及将来的验收中， 应结合实际予以考虑。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项目两侧敏感点较多，并且包括医院和学校等重要敏感点，本评价建议，施工单位与交通部门制定妥善的道路施工段封闭计划，保障学校及医院路段的交通通畅</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37" w:name="_Toc699"/>
      <w:r>
        <w:rPr>
          <w:rFonts w:hint="eastAsia" w:ascii="Times New Roman" w:hAnsi="Times New Roman" w:eastAsia="宋体" w:cs="Times New Roman"/>
          <w:sz w:val="24"/>
          <w:szCs w:val="24"/>
          <w:lang w:val="en-US" w:eastAsia="zh-CN"/>
        </w:rPr>
        <w:t>3.3环境影响评价报告批复</w:t>
      </w:r>
      <w:bookmarkEnd w:id="3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2016年11月25日，贵阳市环境保护局对本工程环评报告作出批复，其批复文件为《关于白金大道提升改造二期工程（近期）建设工程项目环境影响评价报告书的批复》（筑环审[2016]47号）文件。现将批复文件主要内容摘录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一、白金大道提升改造二期工程（近期），起于白金大道同心路交叉口南约300米处，终于白金大道与环城高速黎阳收费站北侧约400米，总投资41224.02万元，其中环保投资 483.52万元，为城市主干道。建设内容及规模：全长2.48公里，包含1.97公里的长、17.5米宽的主线高架桥一座，云环路北侧设置宽9.5米高架上下匝道1条，以及市政配套设施、照明工程、绿化工程等其他附属工程。工程设置施工生产营地1处，不设施工生活营地、料场、弃渣场、沥青拌合站和混凝土搅拌站。在全面落实环境影响报告书提出的各项生态保护和污染防治措施的前提下，工程建设对环境的不利影响可得到一定缓解和控制。原则同意环境影响报告书中所列的规模，拟采取的环境保护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二、工程建设和运行管理中应重点做好的工作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一）切实做好水环境保护工作。施工期施工废水经沉淀处理后回用，禁止外排；基坑地下涌水及雨水经处理后达到《污水综合排放标准》（GB8978-1996）一级标准后外排。桥面层同步建设完善雨水收集系统，并与桥下雨水管网衔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二）做好大气污染防治。施工期漆料、油料、砂石等施工材料堆放场地应设围挡措施，并加蓬布覆盖；采取定时洒水、清洗运输工具、密闭运输等有效措施防止扬尘，确保达到《大气污染物综合排放标准》（GB16297-1996）无组织排放监控浓度限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三）落实隔声降噪措施。施工期采用低噪声设备，主要噪声源应远离声环境敏感目标，合理安排施工时间，采取有效的隔声、降噪、减振措施，减少对周围环境的影响，确保施工期噪声达到《建筑施工场界环境噪声排放标准》（GB12523-2011）。噪声敏感保护目标附近路段应设置移动声屏障，夜间禁止机械施工。确需夜间施工的，应按照《贵州省环境保护条例》相关规定办理登记确认，并公告附近居民。营运期采取设置低噪声路面、限速禁鸣、隔声窗、声屏障等有效噪声防治措施，确保敏感目标达到《声环境质量标准》（GB3096-2008）相应标准。营运期加强噪声敏感目标的跟踪监测，根据监测结果及时增补、完善环保措施，避免噪声污染扰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四）落实固体废物及危险废物处理处置措施。施工期维修产生的废矿物油与含矿物油废物、废乳化液等危险废物，严格按照《危险废物贮存污染控制标准》（GB18597-2001）规定，收集、贮存、运输并交由具有危险废物经营许可证的单位进行处置。施工期建筑垃圾和废弃土石方分别收集并及时送往合法建筑垃圾场、合法弃土场处置；生活垃圾统一收集及时送往合法生活垃圾填埋场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（五）落实生态保护措施。施工期采取有效措施防止因水土流失造成环境污染，工程建成后及时采取土地复垦、植被恢复等生态治理措施，保护自然植被和生态环境。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（六）编制施工期及营运期环境污染事故应急预案，落实环境风险防范措施，防止施工期漆料、油料等发生泄漏、燃烧、爆炸等事故及营运期运输车辆发生交通事故而引发环境污染事故。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（七）施工期和营运期，加强宣传与沟通工作，向沿线公众做好关于工程建设对环境影响的解释工作，及时解决公众提出的合理环境诉求。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三、在初步设计阶段进一步论证生态恢复措施，在环保篇章中落实防止生态破坏和环境污染的各项措施及投资。开展工程环境监理，在施工招标文件、施工合同和工程监理招标文件中明确环保条款和责任，定期向贵阳市环境监察支队和白云区环保局提交施工期环境监理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四、项目开工后及时向贵阳市环境监察支队和白云区环保局报告。项目建设必须严格执行配套建设的生态保护、污染防治、风险防范措施与主体工程同时设计、同时施工、同时投产使用的环境保护"三同时"制度。项目建成后，按规定程序办理竣工环保验收后方可投入正式运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五、《报告书》批准后，建设项目的性质、规模、地点或采用的污染防治措施发生重大变化，建设单位应重新报批《报告书》；《报告书》自批准之日起满5年，建设项目方开工建设，《报告书》应重新审核。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六、该项目日常环境监督管理由白云区环保局负责。</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38" w:name="_Toc11657"/>
      <w:r>
        <w:rPr>
          <w:rFonts w:hint="eastAsia" w:ascii="Times New Roman" w:hAnsi="Times New Roman" w:eastAsia="宋体" w:cs="Times New Roman"/>
          <w:b/>
          <w:bCs/>
          <w:sz w:val="24"/>
          <w:szCs w:val="24"/>
          <w:lang w:val="en-US" w:eastAsia="zh-CN"/>
        </w:rPr>
        <w:t>4 环保措施落实情况</w:t>
      </w:r>
      <w:bookmarkEnd w:id="3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中冶节能环保有限责任公司于2016年10月完成《白金大道提升改造二期工程（近期）建设工程项目环境影响评价报告书》的编制，并于2016年11月25日取得贵阳市环境保护局《关于白金大道提升改造二期工程（近期）建设工程项目环境影响评价报告书的批复》（黔环函[2016]47号）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sz w:val="24"/>
          <w:szCs w:val="24"/>
          <w:lang w:val="en-US" w:eastAsia="zh-CN"/>
        </w:rPr>
        <w:t>贵州明德工程咨询有限公司于</w:t>
      </w:r>
      <w:r>
        <w:rPr>
          <w:rFonts w:hint="eastAsia" w:ascii="Times New Roman" w:hAnsi="Times New Roman" w:eastAsia="宋体" w:cs="Times New Roman"/>
          <w:color w:val="auto"/>
          <w:sz w:val="24"/>
          <w:szCs w:val="24"/>
          <w:lang w:val="en-US" w:eastAsia="zh-CN"/>
        </w:rPr>
        <w:t>2020年04月22日对本工程项目进行现场调查及踏勘。根据现场调查走访，本工程在施工和运营阶段的环保措施落实情况见表4-1。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color w:val="auto"/>
          <w:sz w:val="24"/>
          <w:szCs w:val="24"/>
          <w:lang w:val="en-US" w:eastAsia="zh-CN"/>
        </w:rPr>
        <w:sectPr>
          <w:headerReference r:id="rId3" w:type="default"/>
          <w:footerReference r:id="rId4" w:type="default"/>
          <w:pgSz w:w="11906" w:h="16838"/>
          <w:pgMar w:top="1440" w:right="1800" w:bottom="1440" w:left="1800" w:header="850"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表4-1 环境保护措施落实情况一览表</w:t>
      </w:r>
    </w:p>
    <w:tbl>
      <w:tblPr>
        <w:tblStyle w:val="11"/>
        <w:tblW w:w="14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51"/>
        <w:gridCol w:w="6472"/>
        <w:gridCol w:w="4067"/>
        <w:gridCol w:w="1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序号</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专题</w:t>
            </w:r>
          </w:p>
        </w:tc>
        <w:tc>
          <w:tcPr>
            <w:tcW w:w="647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环评要求</w:t>
            </w:r>
          </w:p>
        </w:tc>
        <w:tc>
          <w:tcPr>
            <w:tcW w:w="40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批复要求</w:t>
            </w:r>
          </w:p>
        </w:tc>
        <w:tc>
          <w:tcPr>
            <w:tcW w:w="19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生态环境</w:t>
            </w:r>
          </w:p>
        </w:tc>
        <w:tc>
          <w:tcPr>
            <w:tcW w:w="647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①拟建项目施工期生态影响保护措施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a、开工前对施工临时设施的规划要进行严格的审查。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b、严格按照设计文件确定征占土地范围，对征占的土地应按相关手续办理征地手续并获得相应批复文件后开展地表植被的清理工作。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c、严格控制路基开挖施工作业面，避免超挖破坏周围植被。</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d、施工期临时设施用地尽量选择在征地范围内，因道路施工破坏植被而裸露的土地（包括路界内外）均应采取临时防护措施，因周边均规划为建设用地，在施工结束后应立即对占用的临时用地进行整治利用。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e、尽可能保护表层有肥力的土壤，集中堆放并采取临时防护措施，以便于后期绿化利用或复垦。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f、本项目施工区处于农村地区，但是由于受人类活动影响较大，项目区除鸟类、蛇类和鼠类等野生动物外，基本无它野生动物出没，应提高施工人员的保护意识，严禁捕猎野生动物。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②拟建项目营运期生态影响保护措施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a、及时实施道路设计的绿化工程，并加强对绿化植物的管理与养护，保证成活。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b、强化道路沿线固体废弃物污染治理监督工作。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施工期扰动破坏的耕地及绿地在道路修建完成后应及时进行复垦及补种。</w:t>
            </w:r>
          </w:p>
        </w:tc>
        <w:tc>
          <w:tcPr>
            <w:tcW w:w="40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施工期采取有效措施防止因水土流失造成环境污染，工程建成后及时采取土地复垦、植被恢复等生态治理措施，保护自然植被和生态环境。</w:t>
            </w:r>
          </w:p>
        </w:tc>
        <w:tc>
          <w:tcPr>
            <w:tcW w:w="19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已按要求实施，无环境问题遗留。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br w:type="page"/>
            </w:r>
            <w:r>
              <w:rPr>
                <w:rFonts w:hint="eastAsia" w:ascii="Times New Roman" w:hAnsi="Times New Roman" w:eastAsia="宋体" w:cs="Times New Roman"/>
                <w:color w:val="auto"/>
                <w:sz w:val="21"/>
                <w:szCs w:val="21"/>
                <w:vertAlign w:val="baseline"/>
                <w:lang w:val="en-US" w:eastAsia="zh-CN"/>
              </w:rPr>
              <w:t>2</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水环境</w:t>
            </w:r>
          </w:p>
        </w:tc>
        <w:tc>
          <w:tcPr>
            <w:tcW w:w="647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①施工期地表水保护措施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a、施工材料如油料、化学品等有害物质堆放场地应设围挡措施，并加蓬布覆盖以减少雨水冲刷造成污染。</w:t>
            </w:r>
          </w:p>
        </w:tc>
        <w:tc>
          <w:tcPr>
            <w:tcW w:w="40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施工期施工废水经沉淀处理后回用，禁止外排；基坑地下涌水及雨水经处理后达到《污水综合排放标准》（GB8978-1996）</w:t>
            </w:r>
          </w:p>
        </w:tc>
        <w:tc>
          <w:tcPr>
            <w:tcW w:w="19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施工期已按要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求建设相关设施，无环境问题遗留。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br w:type="page"/>
            </w:r>
            <w:r>
              <w:rPr>
                <w:rFonts w:hint="eastAsia" w:ascii="Times New Roman" w:hAnsi="Times New Roman" w:eastAsia="宋体" w:cs="Times New Roman"/>
                <w:color w:val="auto"/>
                <w:sz w:val="21"/>
                <w:szCs w:val="21"/>
                <w:vertAlign w:val="baseline"/>
                <w:lang w:val="en-US" w:eastAsia="zh-CN"/>
              </w:rPr>
              <w:t>2</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水环境</w:t>
            </w:r>
          </w:p>
        </w:tc>
        <w:tc>
          <w:tcPr>
            <w:tcW w:w="6472"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b、施工废水要求沉淀池收集，经酸碱中和沉淀、隔油除渣等简单处理后，主要污染物SS去除率控制到80%以上全部回用，不外排。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c、尽量选用先进的设备、机械、以有效地减少跑、冒、滴、漏的数量及机械维修次数，从而减少含油污水的产生量。在不可避免的跑、冒、滴、漏过程中尽量采用固态吸油材料（如棉纱、木屑、吸油纸等），将废油收集转化到固态物质中，避免产生过多的含油污水，对渗漏到土壤的油污应及时利用刮削装置收集 封存，运至有资质的处理场集中处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d、对收集的浸油废料采取打包密封后外运处置，外运地点选择附近具备这类废物处置资质的处置场。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e、本项目只在半幅封闭路段设置施工生产营地，不单独设置施工生活营地，施工人员为进城务工人员，食宿自理。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③营运期地下水环境保护措施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拟建项目为城市道路，沿线布设有完整的给排水系统，包括给水管、雨水口、排水沟、雨水管等，并与周边道路的排水系统相连接。拟建项目不设置污水管线，桥面雨水经雨水收集管线收集，与桥下道路现有雨水管网相连接，雨水最终通过雨水管网进入附近水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④营运期地表水环境保护措施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在原白金大道中央绿化带进行桥墩建设，白金大道拟建项目为城市道路，沿线将布设完整的给排水系统，包括给水管、雨水口、排水沟、雨水管等，并与周边道路的排水系统相连接。拟建项目只设置雨水收集管，收集后的雨水引致桥下，与现有道路的雨水管网相连接，桥面收集雨水进入白金大道市政雨水管网，最终进入项目附近水体。</w:t>
            </w:r>
          </w:p>
        </w:tc>
        <w:tc>
          <w:tcPr>
            <w:tcW w:w="406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一级标准后外排。桥面层同步建设完善雨水收集系统，并与桥下雨水管网衔接。</w:t>
            </w:r>
          </w:p>
        </w:tc>
        <w:tc>
          <w:tcPr>
            <w:tcW w:w="1955"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运营期路面径流经雨水管道引流与桥下雨水管网有效衔接。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声环境</w:t>
            </w:r>
          </w:p>
        </w:tc>
        <w:tc>
          <w:tcPr>
            <w:tcW w:w="6472"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①施工期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选用低噪声的施工机械和工艺；施工单位要合理安排工作人员轮流操作辐射高强噪声的施工机械；对项目全线设置临时移动声屏障；夜间（2：00～06：00）禁止施工，如因工艺需要须在夜间连续施工作业的，施工单位应提前十五天向当地环保部门申请，经审批同意后张贴公示周边居民，最大限度地争取民众支持；建设单位应责成施工单位在施工现场粘贴通告和投诉电话，建设单位在接到报案后应及时与当地环保部门取得联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②营运期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加强交通管理，严格执行限速和禁止超载等交通规则，在通过人口密度较大路段，在附近设置禁鸣标志；经常养护路面；道路自身的绿化降噪；项目全线设 置隔音屏障。</w:t>
            </w:r>
          </w:p>
        </w:tc>
        <w:tc>
          <w:tcPr>
            <w:tcW w:w="406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采用低噪声设备，主要噪声源应远离声环境敏感目标，合理安排施工时间，采取有效的隔声、降噪、减振措施，减少对周围环境的影响，确保施工期噪声达到《建筑施工场界环境噪声排放标准》（GB12523-2011）。噪声敏感保护目标附近路段应设置移动声屏障，夜间禁止机械施工。确需夜间施工的，应按照《贵州省环境保护条例》相关规定办理登记确认，并公告附近居民。营运期采取设置低噪声路面、限速禁鸣、隔声窗、声屏障等有效噪声防治措施，确保敏感目标达到《声环境质量标准》（GB3096-2008）相应标准。营运期加强噪声敏感目标的跟踪监测，根据监测结果及时增补、完善环保措施，避免噪声污染扰民。</w:t>
            </w:r>
          </w:p>
        </w:tc>
        <w:tc>
          <w:tcPr>
            <w:tcW w:w="1955"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施工期无投诉等情况发生。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本项目高架桥沿线已建设声屏障，有效减低噪声污染，防止噪声扰民。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环境空气</w:t>
            </w:r>
          </w:p>
        </w:tc>
        <w:tc>
          <w:tcPr>
            <w:tcW w:w="6472"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①施工期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a、施工场区物料及渣土运输车辆应实行密闭运输，防止运输过程中撒落，降低粉尘和扬尘对沿线空气环境的影响。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b、加强对产生的粉尘和扬尘的控制，附近有环境空气敏感点，晴天施工的时候，施工的路面应经常洒水，使路面保持湿润，减少扬尘；物料运输实行密闭运输，避免在运输过程中发生遗撒或泄漏等，以减少汽车经过和风吹引起的道路扬尘，尽量降低施工期粉尘和扬尘对空气环境和沿线住户的影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c、施工过程中受环境空气污染的最为严重的是施工人员，施工单位应着重对施工人员采取防护和劳动保护措施，如缩短工作时间和发放防尘口罩等。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d、施工单位必须选用符合国家卫生防护标准的施工机械设备和运输工具，确保其废气排放符合国家有关标准。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e、建设项目有较多物料需要运输，运输物料的车辆采用篷布覆盖，车辆在出施工区域时要冲洗轮胎，防止因车辆轮胎附带的渣土造成扬尘。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②营运期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a、设置专业清洁人员维护和保持路面清洁，降低路面尘土飞扬对空气环境的影响。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b、载重货车实行密闭运输，降低在运输过程中的抛撒或泄漏等，减少拟建道路路面的垃圾和尘土。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c、加强交通管理，限制汽车荷载和通行速度，降低汽车扬尘和尾气排放量；抽查汽车尾气，发放尾气排放合格证，禁止尾气超标车辆上路行驶。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可结合当地生态建设等规划，道路建成后在道路两侧进行绿化及中央分隔带绿化。这样即可以净化吸收机动车尾气中的污染物、道路粉尘，又可以美化环境，改善路容。</w:t>
            </w:r>
          </w:p>
        </w:tc>
        <w:tc>
          <w:tcPr>
            <w:tcW w:w="406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漆料、油料、砂石等施工材料堆放场地应设围挡措施，并加蓬布覆盖；采取定时洒水、清洗运输工具、密闭运输等有效措施防止扬尘，确保达到《大气污染物综合排放标准》（GB16297-1996）无组织排放监控浓度限值。</w:t>
            </w:r>
          </w:p>
        </w:tc>
        <w:tc>
          <w:tcPr>
            <w:tcW w:w="1955"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施工期已按要求做好相关防护，无环境问题遗留。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运营期交由环卫部门进行洒水、清扫等。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固体废物</w:t>
            </w:r>
          </w:p>
        </w:tc>
        <w:tc>
          <w:tcPr>
            <w:tcW w:w="6472"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①施工期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a、施工场区物料及渣土运输车辆应实行密闭运输，防止运输过程中撒落，降低粉尘和扬尘对沿线空气环境的影响。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b、加强对产生的粉尘和扬尘的控制，附近有环境空气敏感点，晴天施工的时候，施工的路面应经常洒水，使路面保持湿润，减少扬尘；物料运输实行密闭运输，避免在运输过程中发生遗撒或泄漏等，以减少汽车经过和风吹引起的道路扬尘，尽量降低施工期粉尘和扬尘对空气环境和沿线住户的影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c、施工过程中受环境空气污染的最为严重的是施工人员，施工单位应着重对施工人员采取防护和劳动保护措施，如缩短工作时间和发放防尘口罩等。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d、施工单位必须选用符合国家卫生防护标准的施工机械设备和运输工具，确保其废气排放符合国家有关标准。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e、建设项目有较多物料需要运输，运输物料的车辆采用篷布覆盖，车辆在出施工区域时要冲洗轮胎，防止因车辆轮胎附带的渣土造成扬尘。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②营运期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a、设置专业清洁人员维护和保持路面清洁，降低路面尘土飞扬对空气环境的影响。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b、载重货车实行密闭运输，降低在运输过程中的抛撒或泄漏等，减少拟建道路路面的垃圾和尘土。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c、加强交通管理，限制汽车荷载和通行速度，降低汽车扬尘和尾气排放量；抽查汽车尾气，发放尾气排放合格证，禁止尾气超标车辆上路行驶。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可结合当地生态建设等规划，道路建成后在道路两侧进行绿化及中央分隔带绿化。这样即可以净化吸收机动车尾气中的污染物、道路粉尘，又可以美化环境，改善路容。</w:t>
            </w:r>
          </w:p>
        </w:tc>
        <w:tc>
          <w:tcPr>
            <w:tcW w:w="406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维修产生的废矿物油与含矿物油废物、废乳化液等危险废物，严格按照《危险废物贮存污染控制标准》（GB18597-2001）规定，收集、贮存、运输并交由具有危险废物经营许可证的单位进行处置。施工期建筑垃圾和废弃土石方分别收集并及时送往合法建筑垃圾场、合法弃土场处置；生活垃圾统一收集及时送往合法生活垃圾填埋场处置。</w:t>
            </w:r>
          </w:p>
        </w:tc>
        <w:tc>
          <w:tcPr>
            <w:tcW w:w="1955"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已按要求落实。</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color w:val="auto"/>
          <w:sz w:val="24"/>
          <w:szCs w:val="24"/>
          <w:lang w:val="en-US" w:eastAsia="zh-CN"/>
        </w:rPr>
        <w:sectPr>
          <w:pgSz w:w="16838" w:h="11906" w:orient="landscape"/>
          <w:pgMar w:top="1800" w:right="1440" w:bottom="1800" w:left="1440" w:header="850"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color w:val="auto"/>
          <w:sz w:val="24"/>
          <w:szCs w:val="24"/>
          <w:lang w:val="en-US" w:eastAsia="zh-CN"/>
        </w:rPr>
      </w:pPr>
      <w:bookmarkStart w:id="39" w:name="_Toc6410"/>
      <w:r>
        <w:rPr>
          <w:rFonts w:hint="eastAsia" w:ascii="Times New Roman" w:hAnsi="Times New Roman" w:eastAsia="宋体" w:cs="Times New Roman"/>
          <w:b/>
          <w:bCs/>
          <w:color w:val="auto"/>
          <w:sz w:val="24"/>
          <w:szCs w:val="24"/>
          <w:lang w:val="en-US" w:eastAsia="zh-CN"/>
        </w:rPr>
        <w:t>5 施工期环境影响调查</w:t>
      </w:r>
      <w:bookmarkEnd w:id="3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val="0"/>
          <w:bCs w:val="0"/>
          <w:sz w:val="24"/>
          <w:szCs w:val="24"/>
          <w:lang w:val="en-US" w:eastAsia="zh-CN"/>
        </w:rPr>
      </w:pPr>
      <w:bookmarkStart w:id="40" w:name="_Toc11705"/>
      <w:r>
        <w:rPr>
          <w:rFonts w:hint="eastAsia" w:ascii="Times New Roman" w:hAnsi="Times New Roman" w:eastAsia="宋体" w:cs="Times New Roman"/>
          <w:b w:val="0"/>
          <w:bCs w:val="0"/>
          <w:sz w:val="24"/>
          <w:szCs w:val="24"/>
          <w:lang w:val="en-US" w:eastAsia="zh-CN"/>
        </w:rPr>
        <w:t>5.1生态环境</w:t>
      </w:r>
      <w:bookmarkEnd w:id="4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本工程道路沿线无珍惜动植物、古树等，主要生态环境为道路沿线基本农田、林地、植被等。</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工程期间选择合理的施工便道线路，避免了破坏大量森林植被，减小了对周边植被的破坏。</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严格控制了路基开挖</w:t>
      </w:r>
      <w:r>
        <w:rPr>
          <w:rFonts w:hint="eastAsia" w:ascii="Times New Roman" w:hAnsi="Times New Roman" w:eastAsia="宋体" w:cs="Times New Roman"/>
          <w:sz w:val="24"/>
          <w:szCs w:val="24"/>
          <w:lang w:val="en-US" w:eastAsia="zh-CN"/>
        </w:rPr>
        <w:t>等</w:t>
      </w:r>
      <w:r>
        <w:rPr>
          <w:rFonts w:hint="default" w:ascii="Times New Roman" w:hAnsi="Times New Roman" w:eastAsia="宋体" w:cs="Times New Roman"/>
          <w:sz w:val="24"/>
          <w:szCs w:val="24"/>
          <w:lang w:val="en-US" w:eastAsia="zh-CN"/>
        </w:rPr>
        <w:t>施工作业面，避免了超挖破坏周围植被。</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工程施工过程中，工程废渣未随处乱排，未排入河中。</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施工工区等临时建筑尽可能采用了成品或简易拼装方式，减轻对土壤及植被的破坏。</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路基施工和弃土（渣）场施工前，将表土层剥离，并在适当位置进行集中堆放，并采取临时拦挡和覆盖措施，后期用于绿化。</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因公路施工破坏植被而裸露的土地在施工结束后已整治利用，恢复植被。</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施工场地未设在耕地（尤其是水田）集中区内，施工便道亦未设在耕地（尤其是水田）集中区，未在基本农田保护区范围内设置各类临时工程。</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桥梁构件预制场、灰土拌和场、沥青搅拌站和建材堆放场等临时用地基本布设在公路用地范围内。</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施工营地布设在</w:t>
      </w:r>
      <w:r>
        <w:rPr>
          <w:rFonts w:hint="eastAsia" w:ascii="Times New Roman" w:hAnsi="Times New Roman" w:eastAsia="宋体" w:cs="Times New Roman"/>
          <w:sz w:val="24"/>
          <w:szCs w:val="24"/>
          <w:lang w:val="en-US" w:eastAsia="zh-CN"/>
        </w:rPr>
        <w:t>原</w:t>
      </w:r>
      <w:r>
        <w:rPr>
          <w:rFonts w:hint="default" w:ascii="Times New Roman" w:hAnsi="Times New Roman" w:eastAsia="宋体" w:cs="Times New Roman"/>
          <w:sz w:val="24"/>
          <w:szCs w:val="24"/>
          <w:lang w:val="en-US" w:eastAsia="zh-CN"/>
        </w:rPr>
        <w:t>公路用地范围内。</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施工营地、料场、施工便道等临时工程用后已恢复。</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sz w:val="24"/>
          <w:szCs w:val="24"/>
        </w:rPr>
      </w:pPr>
      <w:r>
        <w:rPr>
          <w:rFonts w:hint="default" w:ascii="Times New Roman" w:hAnsi="Times New Roman" w:eastAsia="宋体" w:cs="Times New Roman"/>
          <w:sz w:val="24"/>
          <w:szCs w:val="24"/>
          <w:lang w:val="en-US" w:eastAsia="zh-CN"/>
        </w:rPr>
        <w:t>弃土（渣）场选择在洼地，并对弃土方进行压实，在其表面进</w:t>
      </w:r>
      <w:r>
        <w:rPr>
          <w:rFonts w:hint="default" w:ascii="Times New Roman" w:hAnsi="Times New Roman" w:cs="Times New Roman"/>
        </w:rPr>
        <w:t>行植被覆盖。</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施工期严格按照相关法规及施工设计文件施工，未随意扩大取、弃土（渣） 场占地面积，未将取、弃土（渣）场设在基本农田内。</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堆土场、施工场地等临时占地充分利用了互通立交的空地，缩减了部分临时占地面积。</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施工结束后根据不同的地区特点对临时占地采取了植被恢复措施。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val="0"/>
          <w:bCs w:val="0"/>
          <w:sz w:val="24"/>
          <w:szCs w:val="24"/>
          <w:lang w:val="en-US" w:eastAsia="zh-CN"/>
        </w:rPr>
      </w:pPr>
      <w:bookmarkStart w:id="41" w:name="_Toc22855"/>
      <w:r>
        <w:rPr>
          <w:rFonts w:hint="eastAsia" w:ascii="Times New Roman" w:hAnsi="Times New Roman" w:eastAsia="宋体" w:cs="Times New Roman"/>
          <w:b w:val="0"/>
          <w:bCs w:val="0"/>
          <w:sz w:val="24"/>
          <w:szCs w:val="24"/>
          <w:lang w:val="en-US" w:eastAsia="zh-CN"/>
        </w:rPr>
        <w:t>5.2水环境</w:t>
      </w:r>
      <w:bookmarkEnd w:id="41"/>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建筑材料的临时堆放加盖篷布及围挡，有效防止因雨水冲刷而造成水体污染；</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施工区域设置排污沟、截水沟、沉淀池等对施工废水进行处理并回收利用，无外排；</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桥梁施工区域完善环境保护设施，对施工废渣、岩浆、淤泥等就近运往弃土场，禁止排入河流；生产废水经沉淀处理回用，禁止排入河流；</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生活污水经处理后用于农灌，未直接排入水体。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2" w:name="_Toc3135"/>
      <w:r>
        <w:rPr>
          <w:rFonts w:hint="eastAsia" w:ascii="Times New Roman" w:hAnsi="Times New Roman" w:eastAsia="宋体" w:cs="Times New Roman"/>
          <w:sz w:val="24"/>
          <w:szCs w:val="24"/>
          <w:lang w:val="en-US" w:eastAsia="zh-CN"/>
        </w:rPr>
        <w:t>5.3环境空气</w:t>
      </w:r>
      <w:bookmarkEnd w:id="42"/>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本工程不设沥青拌合场等，所使用沥青、砂石、水泥等建筑材料均采取外购；</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砂石等临时堆放采用篷布遮盖，建材运输路线采取洒水措施，防止扬尘；</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采取湿式作业，降低了施工扬尘；</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施工营地炊事、取暖等使用液化气、电灯清洁能源，减少了废气污染。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3" w:name="_Toc15137"/>
      <w:r>
        <w:rPr>
          <w:rFonts w:hint="eastAsia" w:ascii="Times New Roman" w:hAnsi="Times New Roman" w:eastAsia="宋体" w:cs="Times New Roman"/>
          <w:sz w:val="24"/>
          <w:szCs w:val="24"/>
          <w:lang w:val="en-US" w:eastAsia="zh-CN"/>
        </w:rPr>
        <w:t>5.4声环境</w:t>
      </w:r>
      <w:bookmarkEnd w:id="43"/>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合理安排了作业时间以及选用低噪设备，降低了噪声对施工沿线居民、学校等的影响；</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加强了设备维护，保持低噪作业，运输车辆禁止鸣笛；</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为减少施工期间的材料运输、敲击、人的喊叫等施工活动声源，承包商通过文明施工、加强有效管理加以缓解。</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对距居民区 100m 以内的施工现场，噪声大的施工机具在夜间（22:00～06:00）停止施工。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4" w:name="_Toc23824"/>
      <w:r>
        <w:rPr>
          <w:rFonts w:hint="eastAsia" w:ascii="Times New Roman" w:hAnsi="Times New Roman" w:eastAsia="宋体" w:cs="Times New Roman"/>
          <w:sz w:val="24"/>
          <w:szCs w:val="24"/>
          <w:lang w:val="en-US" w:eastAsia="zh-CN"/>
        </w:rPr>
        <w:t>5.5固体废物</w:t>
      </w:r>
      <w:bookmarkEnd w:id="44"/>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施工人员居住场地附近设置临时垃圾集中堆放场地，定期清运至附近垃圾处理场处置。施工结束后，施工场地及时平整，建筑垃圾部分用于场地回填，不可利用部分与施工人员生活垃圾一起统一收集送附近垃圾处理场处置。</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加强了施工期现场管理，及时清理拆迁了建筑垃圾和建筑废料</w:t>
      </w:r>
      <w:r>
        <w:rPr>
          <w:rFonts w:hint="eastAsia" w:ascii="Times New Roman" w:hAnsi="Times New Roman" w:eastAsia="宋体" w:cs="Times New Roman"/>
          <w:sz w:val="24"/>
          <w:szCs w:val="24"/>
          <w:lang w:val="en-US" w:eastAsia="zh-CN"/>
        </w:rPr>
        <w:t>，妥善处理。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5" w:name="_Toc6577"/>
      <w:r>
        <w:rPr>
          <w:rFonts w:hint="eastAsia" w:ascii="Times New Roman" w:hAnsi="Times New Roman" w:eastAsia="宋体" w:cs="Times New Roman"/>
          <w:sz w:val="24"/>
          <w:szCs w:val="24"/>
          <w:lang w:val="en-US" w:eastAsia="zh-CN"/>
        </w:rPr>
        <w:t>5.6小结</w:t>
      </w:r>
      <w:bookmarkEnd w:id="4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建设单位和施工单位在施工期针对产生的水、气、声、生态等方面的影响采取了环保措施，有效降低了工程施工作业对沿线生态环境、地表水、环境空气和声环境的影响。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sz w:val="24"/>
          <w:szCs w:val="24"/>
          <w:lang w:val="en-US" w:eastAsia="zh-CN"/>
        </w:rPr>
      </w:pPr>
      <w:bookmarkStart w:id="46" w:name="_Toc12786"/>
      <w:r>
        <w:rPr>
          <w:rFonts w:hint="eastAsia" w:ascii="Times New Roman" w:hAnsi="Times New Roman" w:eastAsia="宋体" w:cs="Times New Roman"/>
          <w:b/>
          <w:bCs/>
          <w:sz w:val="24"/>
          <w:szCs w:val="24"/>
          <w:lang w:val="en-US" w:eastAsia="zh-CN"/>
        </w:rPr>
        <w:t>6 运营期环境影响调查</w:t>
      </w:r>
      <w:bookmarkEnd w:id="4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7" w:name="_Toc7794"/>
      <w:r>
        <w:rPr>
          <w:rFonts w:hint="eastAsia" w:ascii="Times New Roman" w:hAnsi="Times New Roman" w:eastAsia="宋体" w:cs="Times New Roman"/>
          <w:sz w:val="24"/>
          <w:szCs w:val="24"/>
          <w:lang w:val="en-US" w:eastAsia="zh-CN"/>
        </w:rPr>
        <w:t>6.1生态环境</w:t>
      </w:r>
      <w:bookmarkEnd w:id="4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48" w:name="_Toc6679"/>
      <w:r>
        <w:rPr>
          <w:rFonts w:hint="eastAsia" w:ascii="Times New Roman" w:hAnsi="Times New Roman" w:eastAsia="宋体" w:cs="Times New Roman"/>
          <w:sz w:val="24"/>
          <w:szCs w:val="24"/>
          <w:lang w:val="en-US" w:eastAsia="zh-CN"/>
        </w:rPr>
        <w:t>6.1.1工程占地</w:t>
      </w:r>
      <w:bookmarkEnd w:id="4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本项目主线为高架桥，桥墩设置于原道路中心位置，施工场地及营地设置于原道路封闭一侧，无新增占地产生</w:t>
      </w:r>
      <w:r>
        <w:rPr>
          <w:rFonts w:hint="eastAsia" w:ascii="Times New Roman" w:hAnsi="Times New Roman" w:eastAsia="宋体" w:cs="Times New Roman"/>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vertAlign w:val="baseline"/>
          <w:lang w:val="en-US" w:eastAsia="zh-CN"/>
        </w:rPr>
      </w:pPr>
      <w:bookmarkStart w:id="49" w:name="_Toc231"/>
      <w:r>
        <w:rPr>
          <w:rFonts w:hint="eastAsia" w:ascii="Times New Roman" w:hAnsi="Times New Roman" w:eastAsia="宋体" w:cs="Times New Roman"/>
          <w:sz w:val="24"/>
          <w:szCs w:val="24"/>
          <w:vertAlign w:val="baseline"/>
          <w:lang w:val="en-US" w:eastAsia="zh-CN"/>
        </w:rPr>
        <w:t>6.1.2土石方</w:t>
      </w:r>
      <w:bookmarkEnd w:id="4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本项目开挖土石方1万m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，回填土石方0.82万m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（其中绿化带表土量60m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），弃方0.18万m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，本项目弃方量较小，已运至指定堆场。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0" w:name="_Toc10155"/>
      <w:r>
        <w:rPr>
          <w:rFonts w:hint="eastAsia" w:ascii="Times New Roman" w:hAnsi="Times New Roman" w:eastAsia="宋体" w:cs="Times New Roman"/>
          <w:sz w:val="24"/>
          <w:szCs w:val="24"/>
          <w:lang w:val="en-US" w:eastAsia="zh-CN"/>
        </w:rPr>
        <w:t>6.1.3取、弃土场</w:t>
      </w:r>
      <w:bookmarkEnd w:id="5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本项目为高架桥建设项目，未设置专门的取土场，所需料石全部采用购买。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1" w:name="_Toc10362"/>
      <w:r>
        <w:rPr>
          <w:rFonts w:hint="eastAsia" w:ascii="Times New Roman" w:hAnsi="Times New Roman" w:eastAsia="宋体" w:cs="Times New Roman"/>
          <w:sz w:val="24"/>
          <w:szCs w:val="24"/>
          <w:lang w:val="en-US" w:eastAsia="zh-CN"/>
        </w:rPr>
        <w:t>6.1.4水土保持</w:t>
      </w:r>
      <w:bookmarkEnd w:id="5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经实地勘察，本项目严格执行水土保持方案的要求</w:t>
      </w:r>
      <w:r>
        <w:rPr>
          <w:rFonts w:hint="eastAsia" w:ascii="Times New Roman" w:hAnsi="Times New Roman" w:eastAsia="宋体" w:cs="Times New Roman"/>
          <w:sz w:val="24"/>
          <w:szCs w:val="24"/>
          <w:vertAlign w:val="baseline"/>
          <w:lang w:val="en-US" w:eastAsia="zh-CN"/>
        </w:rPr>
        <w:t>，边坡建设完善，临时堆场恢复，沿线施工扰动区已进行生态恢复，基本完成水土保持要求。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2" w:name="_Toc29357"/>
      <w:r>
        <w:rPr>
          <w:rFonts w:hint="eastAsia" w:ascii="Times New Roman" w:hAnsi="Times New Roman" w:eastAsia="宋体" w:cs="Times New Roman"/>
          <w:sz w:val="24"/>
          <w:szCs w:val="24"/>
          <w:lang w:val="en-US" w:eastAsia="zh-CN"/>
        </w:rPr>
        <w:t>6.1.5绿化与景观</w:t>
      </w:r>
      <w:bookmarkEnd w:id="5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原道路因本项目建设而受损的绿化设施已进行最大化修复。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53" w:name="_Toc27231"/>
      <w:r>
        <w:rPr>
          <w:rFonts w:hint="eastAsia" w:ascii="Times New Roman" w:hAnsi="Times New Roman" w:eastAsia="宋体" w:cs="Times New Roman"/>
          <w:sz w:val="24"/>
          <w:szCs w:val="24"/>
          <w:lang w:val="en-US" w:eastAsia="zh-CN"/>
        </w:rPr>
        <w:t>6.2环境空气及噪声环境</w:t>
      </w:r>
      <w:bookmarkEnd w:id="5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4" w:name="_Toc3030"/>
      <w:r>
        <w:rPr>
          <w:rFonts w:hint="eastAsia" w:ascii="Times New Roman" w:hAnsi="Times New Roman" w:eastAsia="宋体" w:cs="Times New Roman"/>
          <w:sz w:val="24"/>
          <w:szCs w:val="24"/>
          <w:lang w:val="en-US" w:eastAsia="zh-CN"/>
        </w:rPr>
        <w:t>6.2.1敏感点调查</w:t>
      </w:r>
      <w:bookmarkEnd w:id="5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经现场调查，本项目中心线200m范围内敏感点14处，其中学校7处（包括幼儿园），公园1处，医院2处，居民点4处。与原环评所列敏感点几乎一致，调查情况见表6.2.1-1。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表6.2.1-1敏感点变更一览表</w:t>
      </w:r>
    </w:p>
    <w:tbl>
      <w:tblPr>
        <w:tblStyle w:val="10"/>
        <w:tblW w:w="868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524"/>
        <w:gridCol w:w="1695"/>
        <w:gridCol w:w="960"/>
        <w:gridCol w:w="1250"/>
        <w:gridCol w:w="1360"/>
        <w:gridCol w:w="13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blHeader/>
          <w:jc w:val="center"/>
        </w:trPr>
        <w:tc>
          <w:tcPr>
            <w:tcW w:w="516" w:type="dxa"/>
            <w:tcBorders>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序号</w:t>
            </w:r>
          </w:p>
        </w:tc>
        <w:tc>
          <w:tcPr>
            <w:tcW w:w="1524" w:type="dxa"/>
            <w:tcBorders>
              <w:left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敏感点名称</w:t>
            </w:r>
          </w:p>
        </w:tc>
        <w:tc>
          <w:tcPr>
            <w:tcW w:w="1695" w:type="dxa"/>
            <w:tcBorders>
              <w:left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桩号</w:t>
            </w:r>
          </w:p>
        </w:tc>
        <w:tc>
          <w:tcPr>
            <w:tcW w:w="960" w:type="dxa"/>
            <w:tcBorders>
              <w:left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距主线</w:t>
            </w:r>
          </w:p>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方位</w:t>
            </w:r>
          </w:p>
        </w:tc>
        <w:tc>
          <w:tcPr>
            <w:tcW w:w="1250" w:type="dxa"/>
            <w:tcBorders>
              <w:left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color w:val="auto"/>
                <w:sz w:val="21"/>
              </w:rPr>
            </w:pPr>
            <w:r>
              <w:rPr>
                <w:rFonts w:hint="eastAsia" w:ascii="宋体" w:eastAsia="宋体"/>
                <w:b/>
                <w:color w:val="auto"/>
                <w:spacing w:val="-8"/>
                <w:sz w:val="21"/>
              </w:rPr>
              <w:t>距路中心</w:t>
            </w:r>
            <w:r>
              <w:rPr>
                <w:rFonts w:hint="eastAsia" w:ascii="宋体" w:eastAsia="宋体"/>
                <w:b/>
                <w:color w:val="auto"/>
                <w:spacing w:val="-8"/>
                <w:w w:val="95"/>
                <w:sz w:val="21"/>
              </w:rPr>
              <w:t>线</w:t>
            </w:r>
            <w:r>
              <w:rPr>
                <w:rFonts w:hint="eastAsia" w:ascii="宋体" w:eastAsia="宋体"/>
                <w:b/>
                <w:color w:val="auto"/>
                <w:spacing w:val="-8"/>
                <w:w w:val="95"/>
                <w:sz w:val="21"/>
                <w:lang w:eastAsia="zh-CN"/>
              </w:rPr>
              <w:t>最近</w:t>
            </w:r>
            <w:r>
              <w:rPr>
                <w:rFonts w:hint="eastAsia" w:ascii="宋体" w:eastAsia="宋体"/>
                <w:b/>
                <w:color w:val="auto"/>
                <w:spacing w:val="-8"/>
                <w:w w:val="95"/>
                <w:sz w:val="21"/>
              </w:rPr>
              <w:t>距</w:t>
            </w:r>
            <w:r>
              <w:rPr>
                <w:rFonts w:hint="eastAsia" w:ascii="宋体" w:eastAsia="宋体"/>
                <w:b/>
                <w:color w:val="auto"/>
                <w:w w:val="95"/>
                <w:sz w:val="21"/>
              </w:rPr>
              <w:t>离</w:t>
            </w:r>
            <w:r>
              <w:rPr>
                <w:b/>
                <w:color w:val="auto"/>
                <w:w w:val="95"/>
                <w:sz w:val="21"/>
              </w:rPr>
              <w:t>(m)</w:t>
            </w:r>
          </w:p>
        </w:tc>
        <w:tc>
          <w:tcPr>
            <w:tcW w:w="1360" w:type="dxa"/>
            <w:tcBorders>
              <w:left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color w:val="auto"/>
                <w:sz w:val="21"/>
              </w:rPr>
            </w:pPr>
            <w:r>
              <w:rPr>
                <w:rFonts w:hint="eastAsia" w:ascii="宋体" w:eastAsia="宋体"/>
                <w:b/>
                <w:color w:val="auto"/>
                <w:sz w:val="21"/>
              </w:rPr>
              <w:t>与路面相对高差</w:t>
            </w:r>
            <w:r>
              <w:rPr>
                <w:b/>
                <w:color w:val="auto"/>
                <w:sz w:val="21"/>
              </w:rPr>
              <w:t>(m)</w:t>
            </w:r>
          </w:p>
        </w:tc>
        <w:tc>
          <w:tcPr>
            <w:tcW w:w="1379" w:type="dxa"/>
            <w:tcBorders>
              <w:lef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lang w:eastAsia="zh-CN"/>
              </w:rPr>
            </w:pPr>
            <w:r>
              <w:rPr>
                <w:rFonts w:hint="eastAsia" w:ascii="宋体" w:eastAsia="宋体"/>
                <w:b/>
                <w:color w:val="auto"/>
                <w:sz w:val="21"/>
                <w:lang w:eastAsia="zh-CN"/>
              </w:rPr>
              <w:t>变更情况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516" w:type="dxa"/>
            <w:tcBorders>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color w:val="auto"/>
                <w:sz w:val="21"/>
                <w:lang w:val="en-US" w:eastAsia="zh-CN"/>
              </w:rPr>
            </w:pPr>
            <w:r>
              <w:rPr>
                <w:rFonts w:hint="default" w:ascii="Times New Roman" w:hAnsi="Times New Roman" w:eastAsia="宋体" w:cs="Times New Roman"/>
                <w:b w:val="0"/>
                <w:bCs/>
                <w:color w:val="auto"/>
                <w:sz w:val="21"/>
                <w:lang w:val="en-US" w:eastAsia="zh-CN"/>
              </w:rPr>
              <w:t>1</w:t>
            </w:r>
          </w:p>
        </w:tc>
        <w:tc>
          <w:tcPr>
            <w:tcW w:w="15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铝兴社区</w:t>
            </w:r>
          </w:p>
        </w:tc>
        <w:tc>
          <w:tcPr>
            <w:tcW w:w="169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K2+650~K2+800</w:t>
            </w:r>
          </w:p>
        </w:tc>
        <w:tc>
          <w:tcPr>
            <w:tcW w:w="960"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右侧</w:t>
            </w:r>
          </w:p>
        </w:tc>
        <w:tc>
          <w:tcPr>
            <w:tcW w:w="1250"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35</w:t>
            </w:r>
          </w:p>
        </w:tc>
        <w:tc>
          <w:tcPr>
            <w:tcW w:w="1360"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一层：-6.0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顶层：+9.0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桥面位于3层</w:t>
            </w:r>
          </w:p>
        </w:tc>
        <w:tc>
          <w:tcPr>
            <w:tcW w:w="1379" w:type="dxa"/>
            <w:tcBorders>
              <w:lef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516" w:type="dxa"/>
            <w:tcBorders>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color w:val="auto"/>
                <w:sz w:val="21"/>
                <w:lang w:val="en-US" w:eastAsia="zh-CN"/>
              </w:rPr>
            </w:pPr>
            <w:r>
              <w:rPr>
                <w:rFonts w:hint="eastAsia" w:eastAsia="宋体" w:cs="Times New Roman"/>
                <w:b w:val="0"/>
                <w:bCs/>
                <w:color w:val="auto"/>
                <w:sz w:val="21"/>
                <w:lang w:val="en-US" w:eastAsia="zh-CN"/>
              </w:rPr>
              <w:t>2</w:t>
            </w:r>
          </w:p>
        </w:tc>
        <w:tc>
          <w:tcPr>
            <w:tcW w:w="1524" w:type="dxa"/>
            <w:tcBorders>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贵耐医院</w:t>
            </w:r>
          </w:p>
        </w:tc>
        <w:tc>
          <w:tcPr>
            <w:tcW w:w="1695" w:type="dxa"/>
            <w:tcBorders>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K2+700</w:t>
            </w:r>
          </w:p>
        </w:tc>
        <w:tc>
          <w:tcPr>
            <w:tcW w:w="960" w:type="dxa"/>
            <w:tcBorders>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左侧</w:t>
            </w:r>
          </w:p>
        </w:tc>
        <w:tc>
          <w:tcPr>
            <w:tcW w:w="1250" w:type="dxa"/>
            <w:tcBorders>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80</w:t>
            </w:r>
          </w:p>
        </w:tc>
        <w:tc>
          <w:tcPr>
            <w:tcW w:w="1360" w:type="dxa"/>
            <w:tcBorders>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一层：-6.0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顶层：+9.0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桥面位于3层</w:t>
            </w:r>
          </w:p>
        </w:tc>
        <w:tc>
          <w:tcPr>
            <w:tcW w:w="1379" w:type="dxa"/>
            <w:tcBorders>
              <w:left w:val="single" w:color="000000" w:sz="6" w:space="0"/>
              <w:bottom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516" w:type="dxa"/>
            <w:tcBorders>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sz w:val="21"/>
                <w:lang w:val="en-US" w:eastAsia="zh-CN"/>
              </w:rPr>
              <w:t>3</w:t>
            </w:r>
          </w:p>
        </w:tc>
        <w:tc>
          <w:tcPr>
            <w:tcW w:w="1524" w:type="dxa"/>
            <w:tcBorders>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贵州铝厂生活区（金东社区）</w:t>
            </w:r>
          </w:p>
        </w:tc>
        <w:tc>
          <w:tcPr>
            <w:tcW w:w="1695" w:type="dxa"/>
            <w:tcBorders>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K2+860~K3+440、K3+600~K3+860</w:t>
            </w:r>
          </w:p>
        </w:tc>
        <w:tc>
          <w:tcPr>
            <w:tcW w:w="960" w:type="dxa"/>
            <w:tcBorders>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右侧</w:t>
            </w:r>
          </w:p>
        </w:tc>
        <w:tc>
          <w:tcPr>
            <w:tcW w:w="1250" w:type="dxa"/>
            <w:tcBorders>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23</w:t>
            </w:r>
          </w:p>
        </w:tc>
        <w:tc>
          <w:tcPr>
            <w:tcW w:w="1360" w:type="dxa"/>
            <w:tcBorders>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一层：-10.0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顶层：+11.0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桥面位于4层</w:t>
            </w:r>
          </w:p>
        </w:tc>
        <w:tc>
          <w:tcPr>
            <w:tcW w:w="1379" w:type="dxa"/>
            <w:tcBorders>
              <w:left w:val="single" w:color="000000" w:sz="6" w:space="0"/>
              <w:bottom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51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sz w:val="21"/>
                <w:lang w:val="en-US" w:eastAsia="zh-CN"/>
              </w:rPr>
              <w:t>4</w:t>
            </w:r>
          </w:p>
        </w:tc>
        <w:tc>
          <w:tcPr>
            <w:tcW w:w="15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龚北社区</w:t>
            </w:r>
          </w:p>
        </w:tc>
        <w:tc>
          <w:tcPr>
            <w:tcW w:w="16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K2+840~K3+500</w:t>
            </w:r>
          </w:p>
        </w:tc>
        <w:tc>
          <w:tcPr>
            <w:tcW w:w="9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左侧</w:t>
            </w:r>
          </w:p>
        </w:tc>
        <w:tc>
          <w:tcPr>
            <w:tcW w:w="12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23</w:t>
            </w:r>
          </w:p>
        </w:tc>
        <w:tc>
          <w:tcPr>
            <w:tcW w:w="13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一层：-10.0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顶层：+8.0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桥面位于4层</w:t>
            </w:r>
          </w:p>
        </w:tc>
        <w:tc>
          <w:tcPr>
            <w:tcW w:w="13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51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sz w:val="21"/>
                <w:lang w:val="en-US" w:eastAsia="zh-CN"/>
              </w:rPr>
              <w:t>5</w:t>
            </w:r>
          </w:p>
        </w:tc>
        <w:tc>
          <w:tcPr>
            <w:tcW w:w="15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塔山公园</w:t>
            </w:r>
          </w:p>
        </w:tc>
        <w:tc>
          <w:tcPr>
            <w:tcW w:w="16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K3+520~K3+660</w:t>
            </w:r>
          </w:p>
        </w:tc>
        <w:tc>
          <w:tcPr>
            <w:tcW w:w="9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左侧</w:t>
            </w:r>
          </w:p>
        </w:tc>
        <w:tc>
          <w:tcPr>
            <w:tcW w:w="12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25</w:t>
            </w:r>
          </w:p>
        </w:tc>
        <w:tc>
          <w:tcPr>
            <w:tcW w:w="13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w:t>
            </w:r>
          </w:p>
        </w:tc>
        <w:tc>
          <w:tcPr>
            <w:tcW w:w="13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51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sz w:val="21"/>
                <w:lang w:val="en-US" w:eastAsia="zh-CN"/>
              </w:rPr>
              <w:t>6</w:t>
            </w:r>
          </w:p>
        </w:tc>
        <w:tc>
          <w:tcPr>
            <w:tcW w:w="15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白云医院</w:t>
            </w:r>
          </w:p>
        </w:tc>
        <w:tc>
          <w:tcPr>
            <w:tcW w:w="16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K3+480~K3+600</w:t>
            </w:r>
          </w:p>
        </w:tc>
        <w:tc>
          <w:tcPr>
            <w:tcW w:w="9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右侧</w:t>
            </w:r>
          </w:p>
        </w:tc>
        <w:tc>
          <w:tcPr>
            <w:tcW w:w="12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40</w:t>
            </w:r>
          </w:p>
        </w:tc>
        <w:tc>
          <w:tcPr>
            <w:tcW w:w="13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一层：-10.0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顶层：+11.0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桥面位于4层</w:t>
            </w:r>
          </w:p>
        </w:tc>
        <w:tc>
          <w:tcPr>
            <w:tcW w:w="13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51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s="Times New Roman"/>
                <w:b w:val="0"/>
                <w:bCs/>
                <w:color w:val="auto"/>
                <w:sz w:val="21"/>
                <w:lang w:val="en-US" w:eastAsia="zh-CN"/>
              </w:rPr>
            </w:pPr>
            <w:r>
              <w:rPr>
                <w:rFonts w:hint="eastAsia" w:eastAsia="宋体" w:cs="Times New Roman"/>
                <w:b w:val="0"/>
                <w:bCs/>
                <w:color w:val="auto"/>
                <w:sz w:val="21"/>
                <w:lang w:val="en-US" w:eastAsia="zh-CN"/>
              </w:rPr>
              <w:t>7</w:t>
            </w:r>
          </w:p>
        </w:tc>
        <w:tc>
          <w:tcPr>
            <w:tcW w:w="15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白沙关社区</w:t>
            </w:r>
          </w:p>
        </w:tc>
        <w:tc>
          <w:tcPr>
            <w:tcW w:w="16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K3+760~K4+040</w:t>
            </w:r>
          </w:p>
        </w:tc>
        <w:tc>
          <w:tcPr>
            <w:tcW w:w="9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左侧</w:t>
            </w:r>
          </w:p>
        </w:tc>
        <w:tc>
          <w:tcPr>
            <w:tcW w:w="12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50</w:t>
            </w:r>
          </w:p>
        </w:tc>
        <w:tc>
          <w:tcPr>
            <w:tcW w:w="13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一层：-9.0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顶层：+9.0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桥面位于4层</w:t>
            </w:r>
          </w:p>
        </w:tc>
        <w:tc>
          <w:tcPr>
            <w:tcW w:w="13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51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kern w:val="2"/>
                <w:sz w:val="21"/>
                <w:szCs w:val="24"/>
                <w:lang w:val="en-US" w:eastAsia="zh-CN" w:bidi="zh-CN"/>
              </w:rPr>
              <w:t>8</w:t>
            </w:r>
          </w:p>
        </w:tc>
        <w:tc>
          <w:tcPr>
            <w:tcW w:w="15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白云第一中学</w:t>
            </w:r>
          </w:p>
        </w:tc>
        <w:tc>
          <w:tcPr>
            <w:tcW w:w="16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K3+860~K4+000</w:t>
            </w:r>
          </w:p>
        </w:tc>
        <w:tc>
          <w:tcPr>
            <w:tcW w:w="9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右侧</w:t>
            </w:r>
          </w:p>
        </w:tc>
        <w:tc>
          <w:tcPr>
            <w:tcW w:w="12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35</w:t>
            </w:r>
          </w:p>
        </w:tc>
        <w:tc>
          <w:tcPr>
            <w:tcW w:w="13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一层：-10.0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顶层：+6.0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桥面位于4层</w:t>
            </w:r>
          </w:p>
        </w:tc>
        <w:tc>
          <w:tcPr>
            <w:tcW w:w="13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51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color w:val="auto"/>
                <w:sz w:val="21"/>
                <w:lang w:val="en-US" w:eastAsia="zh-CN"/>
              </w:rPr>
            </w:pPr>
            <w:r>
              <w:rPr>
                <w:rFonts w:hint="eastAsia" w:eastAsia="宋体" w:cs="Times New Roman"/>
                <w:b w:val="0"/>
                <w:bCs/>
                <w:color w:val="auto"/>
                <w:sz w:val="21"/>
                <w:lang w:val="en-US" w:eastAsia="zh-CN"/>
              </w:rPr>
              <w:t>9</w:t>
            </w:r>
          </w:p>
        </w:tc>
        <w:tc>
          <w:tcPr>
            <w:tcW w:w="15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刘庄村社区居民点</w:t>
            </w:r>
          </w:p>
        </w:tc>
        <w:tc>
          <w:tcPr>
            <w:tcW w:w="16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K4+020~K4+120</w:t>
            </w:r>
          </w:p>
        </w:tc>
        <w:tc>
          <w:tcPr>
            <w:tcW w:w="9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右侧</w:t>
            </w:r>
          </w:p>
        </w:tc>
        <w:tc>
          <w:tcPr>
            <w:tcW w:w="12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25</w:t>
            </w:r>
          </w:p>
        </w:tc>
        <w:tc>
          <w:tcPr>
            <w:tcW w:w="13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一层：-10.0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顶层：+8.0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桥面位于4层</w:t>
            </w:r>
          </w:p>
        </w:tc>
        <w:tc>
          <w:tcPr>
            <w:tcW w:w="13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51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color w:val="auto"/>
                <w:sz w:val="21"/>
                <w:lang w:val="en-US" w:eastAsia="zh-CN"/>
              </w:rPr>
            </w:pPr>
            <w:r>
              <w:rPr>
                <w:rFonts w:hint="eastAsia" w:eastAsia="宋体" w:cs="Times New Roman"/>
                <w:b w:val="0"/>
                <w:bCs/>
                <w:color w:val="auto"/>
                <w:sz w:val="21"/>
                <w:lang w:val="en-US" w:eastAsia="zh-CN"/>
              </w:rPr>
              <w:t>10</w:t>
            </w:r>
          </w:p>
        </w:tc>
        <w:tc>
          <w:tcPr>
            <w:tcW w:w="15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刘庄村居民点</w:t>
            </w:r>
          </w:p>
        </w:tc>
        <w:tc>
          <w:tcPr>
            <w:tcW w:w="16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K4+220~K4+480</w:t>
            </w:r>
          </w:p>
        </w:tc>
        <w:tc>
          <w:tcPr>
            <w:tcW w:w="9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左侧</w:t>
            </w:r>
          </w:p>
        </w:tc>
        <w:tc>
          <w:tcPr>
            <w:tcW w:w="12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23</w:t>
            </w:r>
          </w:p>
        </w:tc>
        <w:tc>
          <w:tcPr>
            <w:tcW w:w="13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一层：-10.0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顶层：+8.0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桥面位于4层</w:t>
            </w:r>
          </w:p>
        </w:tc>
        <w:tc>
          <w:tcPr>
            <w:tcW w:w="13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51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color w:val="auto"/>
                <w:sz w:val="21"/>
                <w:lang w:val="en-US" w:eastAsia="zh-CN"/>
              </w:rPr>
            </w:pPr>
            <w:r>
              <w:rPr>
                <w:rFonts w:hint="eastAsia" w:eastAsia="宋体" w:cs="Times New Roman"/>
                <w:b w:val="0"/>
                <w:bCs/>
                <w:color w:val="auto"/>
                <w:sz w:val="21"/>
                <w:lang w:val="en-US" w:eastAsia="zh-CN"/>
              </w:rPr>
              <w:t>11</w:t>
            </w:r>
          </w:p>
        </w:tc>
        <w:tc>
          <w:tcPr>
            <w:tcW w:w="15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白云二中、贵铝职业学院</w:t>
            </w:r>
          </w:p>
        </w:tc>
        <w:tc>
          <w:tcPr>
            <w:tcW w:w="16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K3+220~K3+440</w:t>
            </w:r>
          </w:p>
        </w:tc>
        <w:tc>
          <w:tcPr>
            <w:tcW w:w="9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左侧</w:t>
            </w:r>
          </w:p>
        </w:tc>
        <w:tc>
          <w:tcPr>
            <w:tcW w:w="12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200</w:t>
            </w:r>
          </w:p>
        </w:tc>
        <w:tc>
          <w:tcPr>
            <w:tcW w:w="13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w:t>
            </w:r>
          </w:p>
        </w:tc>
        <w:tc>
          <w:tcPr>
            <w:tcW w:w="13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51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color w:val="auto"/>
                <w:sz w:val="21"/>
                <w:lang w:val="en-US" w:eastAsia="zh-CN"/>
              </w:rPr>
            </w:pPr>
            <w:r>
              <w:rPr>
                <w:rFonts w:hint="eastAsia" w:eastAsia="宋体" w:cs="Times New Roman"/>
                <w:b w:val="0"/>
                <w:bCs/>
                <w:color w:val="auto"/>
                <w:sz w:val="21"/>
                <w:lang w:val="en-US" w:eastAsia="zh-CN"/>
              </w:rPr>
              <w:t>12</w:t>
            </w:r>
          </w:p>
        </w:tc>
        <w:tc>
          <w:tcPr>
            <w:tcW w:w="15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白云六小、贵铝一幼</w:t>
            </w:r>
          </w:p>
        </w:tc>
        <w:tc>
          <w:tcPr>
            <w:tcW w:w="16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K3+220~K3+440</w:t>
            </w:r>
          </w:p>
        </w:tc>
        <w:tc>
          <w:tcPr>
            <w:tcW w:w="9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左侧</w:t>
            </w:r>
          </w:p>
        </w:tc>
        <w:tc>
          <w:tcPr>
            <w:tcW w:w="12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200</w:t>
            </w:r>
          </w:p>
        </w:tc>
        <w:tc>
          <w:tcPr>
            <w:tcW w:w="13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-10</w:t>
            </w:r>
          </w:p>
        </w:tc>
        <w:tc>
          <w:tcPr>
            <w:tcW w:w="13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51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color w:val="auto"/>
                <w:sz w:val="21"/>
                <w:lang w:val="en-US" w:eastAsia="zh-CN"/>
              </w:rPr>
            </w:pPr>
            <w:r>
              <w:rPr>
                <w:rFonts w:hint="eastAsia" w:eastAsia="宋体" w:cs="Times New Roman"/>
                <w:b w:val="0"/>
                <w:bCs/>
                <w:color w:val="auto"/>
                <w:sz w:val="21"/>
                <w:lang w:val="en-US" w:eastAsia="zh-CN"/>
              </w:rPr>
              <w:t>13</w:t>
            </w:r>
          </w:p>
        </w:tc>
        <w:tc>
          <w:tcPr>
            <w:tcW w:w="15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白云欣歆幼儿园</w:t>
            </w:r>
          </w:p>
        </w:tc>
        <w:tc>
          <w:tcPr>
            <w:tcW w:w="16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K3+380~K3+440</w:t>
            </w:r>
          </w:p>
        </w:tc>
        <w:tc>
          <w:tcPr>
            <w:tcW w:w="9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左侧</w:t>
            </w:r>
          </w:p>
        </w:tc>
        <w:tc>
          <w:tcPr>
            <w:tcW w:w="12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80</w:t>
            </w:r>
          </w:p>
        </w:tc>
        <w:tc>
          <w:tcPr>
            <w:tcW w:w="13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w:t>
            </w:r>
          </w:p>
        </w:tc>
        <w:tc>
          <w:tcPr>
            <w:tcW w:w="13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51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color w:val="auto"/>
                <w:sz w:val="21"/>
                <w:lang w:val="en-US" w:eastAsia="zh-CN"/>
              </w:rPr>
            </w:pPr>
            <w:r>
              <w:rPr>
                <w:rFonts w:hint="eastAsia" w:eastAsia="宋体" w:cs="Times New Roman"/>
                <w:b w:val="0"/>
                <w:bCs/>
                <w:color w:val="auto"/>
                <w:sz w:val="21"/>
                <w:lang w:val="en-US" w:eastAsia="zh-CN"/>
              </w:rPr>
              <w:t>14</w:t>
            </w:r>
          </w:p>
        </w:tc>
        <w:tc>
          <w:tcPr>
            <w:tcW w:w="15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艾贝尔中英文启蒙幼儿园</w:t>
            </w:r>
          </w:p>
        </w:tc>
        <w:tc>
          <w:tcPr>
            <w:tcW w:w="16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K4+020~K4+040</w:t>
            </w:r>
          </w:p>
        </w:tc>
        <w:tc>
          <w:tcPr>
            <w:tcW w:w="9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右侧</w:t>
            </w:r>
          </w:p>
        </w:tc>
        <w:tc>
          <w:tcPr>
            <w:tcW w:w="12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80</w:t>
            </w:r>
          </w:p>
        </w:tc>
        <w:tc>
          <w:tcPr>
            <w:tcW w:w="13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w:t>
            </w:r>
          </w:p>
        </w:tc>
        <w:tc>
          <w:tcPr>
            <w:tcW w:w="13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与环评一致</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55" w:name="_Toc11133"/>
      <w:r>
        <w:rPr>
          <w:rFonts w:hint="eastAsia" w:ascii="Times New Roman" w:hAnsi="Times New Roman" w:eastAsia="宋体" w:cs="Times New Roman"/>
          <w:sz w:val="24"/>
          <w:szCs w:val="24"/>
          <w:lang w:val="en-US" w:eastAsia="zh-CN"/>
        </w:rPr>
        <w:t>6.2.2现状监测内容</w:t>
      </w:r>
      <w:bookmarkEnd w:id="5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根据调查实际情况，结合环境影响评价报告要求，本项目共设置噪声监测敏感点10处，环境空气监测敏感点2处。具体详见表6.2.2-1、6.2.2-2.</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6.2.2-1噪声监测敏感点一览表</w:t>
      </w:r>
    </w:p>
    <w:tbl>
      <w:tblPr>
        <w:tblStyle w:val="11"/>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982"/>
        <w:gridCol w:w="1423"/>
        <w:gridCol w:w="1170"/>
        <w:gridCol w:w="1200"/>
        <w:gridCol w:w="720"/>
        <w:gridCol w:w="720"/>
        <w:gridCol w:w="2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序号</w:t>
            </w:r>
          </w:p>
        </w:tc>
        <w:tc>
          <w:tcPr>
            <w:tcW w:w="9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道路名称</w:t>
            </w:r>
          </w:p>
        </w:tc>
        <w:tc>
          <w:tcPr>
            <w:tcW w:w="14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监测点位</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桩号</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距道路中心线距离（m）</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高差（m）</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备注</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0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982"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白金大道</w:t>
            </w:r>
          </w:p>
        </w:tc>
        <w:tc>
          <w:tcPr>
            <w:tcW w:w="14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贵耐医院</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K2+800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左侧80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drawing>
                <wp:inline distT="0" distB="0" distL="114300" distR="114300">
                  <wp:extent cx="1355090" cy="903605"/>
                  <wp:effectExtent l="0" t="0" r="1651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1355090" cy="9036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2</w:t>
            </w:r>
          </w:p>
        </w:tc>
        <w:tc>
          <w:tcPr>
            <w:tcW w:w="9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4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铝兴社区3楼</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K2+700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右侧35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原有（原贵铝社区）</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44295" cy="1008380"/>
                  <wp:effectExtent l="0" t="0" r="8255" b="1270"/>
                  <wp:docPr id="4" name="图片 4" descr="IMG_0995(20200518-20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0995(20200518-204603)"/>
                          <pic:cNvPicPr>
                            <a:picLocks noChangeAspect="1"/>
                          </pic:cNvPicPr>
                        </pic:nvPicPr>
                        <pic:blipFill>
                          <a:blip r:embed="rId7"/>
                          <a:stretch>
                            <a:fillRect/>
                          </a:stretch>
                        </pic:blipFill>
                        <pic:spPr>
                          <a:xfrm>
                            <a:off x="0" y="0"/>
                            <a:ext cx="1344295" cy="1008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w:t>
            </w:r>
          </w:p>
        </w:tc>
        <w:tc>
          <w:tcPr>
            <w:tcW w:w="9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4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贵州铝厂生活区（龚北社区）4楼</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K3+130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左侧35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44295" cy="1008380"/>
                  <wp:effectExtent l="0" t="0" r="8255" b="1270"/>
                  <wp:docPr id="5" name="图片 5" descr="IMG_0993(20200518-20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0993(20200518-204630)"/>
                          <pic:cNvPicPr>
                            <a:picLocks noChangeAspect="1"/>
                          </pic:cNvPicPr>
                        </pic:nvPicPr>
                        <pic:blipFill>
                          <a:blip r:embed="rId10"/>
                          <a:stretch>
                            <a:fillRect/>
                          </a:stretch>
                        </pic:blipFill>
                        <pic:spPr>
                          <a:xfrm>
                            <a:off x="0" y="0"/>
                            <a:ext cx="1344295" cy="1008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w:t>
            </w:r>
          </w:p>
        </w:tc>
        <w:tc>
          <w:tcPr>
            <w:tcW w:w="9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4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白云六小、贵铝职校</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K3+300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左侧200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drawing>
                <wp:inline distT="0" distB="0" distL="114300" distR="114300">
                  <wp:extent cx="1354455" cy="988060"/>
                  <wp:effectExtent l="0" t="0" r="17145"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6"/>
                          <a:stretch>
                            <a:fillRect/>
                          </a:stretch>
                        </pic:blipFill>
                        <pic:spPr>
                          <a:xfrm>
                            <a:off x="0" y="0"/>
                            <a:ext cx="1354455" cy="9880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5</w:t>
            </w:r>
          </w:p>
        </w:tc>
        <w:tc>
          <w:tcPr>
            <w:tcW w:w="9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4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白云欣歆幼儿园</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K3+400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左侧80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drawing>
                <wp:inline distT="0" distB="0" distL="114300" distR="114300">
                  <wp:extent cx="1357630" cy="953135"/>
                  <wp:effectExtent l="0" t="0" r="13970" b="184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7"/>
                          <a:stretch>
                            <a:fillRect/>
                          </a:stretch>
                        </pic:blipFill>
                        <pic:spPr>
                          <a:xfrm>
                            <a:off x="0" y="0"/>
                            <a:ext cx="1357630" cy="9531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6</w:t>
            </w:r>
          </w:p>
        </w:tc>
        <w:tc>
          <w:tcPr>
            <w:tcW w:w="9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p>
        </w:tc>
        <w:tc>
          <w:tcPr>
            <w:tcW w:w="14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金东社区4楼</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K3+450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35</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heme="minorHAnsi" w:hAnsiTheme="minorHAnsi" w:eastAsiaTheme="minorEastAsia" w:cstheme="minorBidi"/>
                <w:kern w:val="2"/>
                <w:sz w:val="21"/>
                <w:szCs w:val="24"/>
                <w:lang w:val="en-US" w:eastAsia="zh-CN" w:bidi="ar-SA"/>
              </w:rPr>
            </w:pPr>
            <w:r>
              <w:drawing>
                <wp:inline distT="0" distB="0" distL="114300" distR="114300">
                  <wp:extent cx="1363345" cy="1075690"/>
                  <wp:effectExtent l="0" t="0" r="8255" b="1016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9"/>
                          <a:stretch>
                            <a:fillRect/>
                          </a:stretch>
                        </pic:blipFill>
                        <pic:spPr>
                          <a:xfrm>
                            <a:off x="0" y="0"/>
                            <a:ext cx="1363345" cy="10756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7</w:t>
            </w:r>
          </w:p>
        </w:tc>
        <w:tc>
          <w:tcPr>
            <w:tcW w:w="9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p>
        </w:tc>
        <w:tc>
          <w:tcPr>
            <w:tcW w:w="14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贵铝医院（贵州医科大学附属白云医院）</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K3+580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右侧40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44295" cy="1008380"/>
                  <wp:effectExtent l="0" t="0" r="8255" b="1270"/>
                  <wp:docPr id="15" name="图片 15" descr="IMG_0998(20200518-20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0998(20200518-204603)"/>
                          <pic:cNvPicPr>
                            <a:picLocks noChangeAspect="1"/>
                          </pic:cNvPicPr>
                        </pic:nvPicPr>
                        <pic:blipFill>
                          <a:blip r:embed="rId11"/>
                          <a:stretch>
                            <a:fillRect/>
                          </a:stretch>
                        </pic:blipFill>
                        <pic:spPr>
                          <a:xfrm>
                            <a:off x="0" y="0"/>
                            <a:ext cx="1344295" cy="1008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br w:type="page"/>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8</w:t>
            </w:r>
          </w:p>
        </w:tc>
        <w:tc>
          <w:tcPr>
            <w:tcW w:w="982"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白金大道</w:t>
            </w:r>
          </w:p>
        </w:tc>
        <w:tc>
          <w:tcPr>
            <w:tcW w:w="14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塔山公园</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K3+620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左侧30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44295" cy="1008380"/>
                  <wp:effectExtent l="0" t="0" r="8255" b="1270"/>
                  <wp:docPr id="31" name="图片 31" descr="IMG_1031(20200518-20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1031(20200518-201138)"/>
                          <pic:cNvPicPr>
                            <a:picLocks noChangeAspect="1"/>
                          </pic:cNvPicPr>
                        </pic:nvPicPr>
                        <pic:blipFill>
                          <a:blip r:embed="rId12"/>
                          <a:stretch>
                            <a:fillRect/>
                          </a:stretch>
                        </pic:blipFill>
                        <pic:spPr>
                          <a:xfrm>
                            <a:off x="0" y="0"/>
                            <a:ext cx="1344295" cy="1008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9</w:t>
            </w:r>
          </w:p>
        </w:tc>
        <w:tc>
          <w:tcPr>
            <w:tcW w:w="9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4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白云第一中学（白云区实验中学）</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K3+920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右侧35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44295" cy="1008380"/>
                  <wp:effectExtent l="0" t="0" r="8255" b="1270"/>
                  <wp:docPr id="49" name="图片 49" descr="IMG_0999(20200518-20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0999(20200518-204603)"/>
                          <pic:cNvPicPr>
                            <a:picLocks noChangeAspect="1"/>
                          </pic:cNvPicPr>
                        </pic:nvPicPr>
                        <pic:blipFill>
                          <a:blip r:embed="rId13"/>
                          <a:stretch>
                            <a:fillRect/>
                          </a:stretch>
                        </pic:blipFill>
                        <pic:spPr>
                          <a:xfrm>
                            <a:off x="0" y="0"/>
                            <a:ext cx="1344295" cy="1008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10</w:t>
            </w:r>
          </w:p>
        </w:tc>
        <w:tc>
          <w:tcPr>
            <w:tcW w:w="9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4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白沙关社区（贵铝智慧幸福苑）</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K3+981</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左侧45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44295" cy="1008380"/>
                  <wp:effectExtent l="0" t="0" r="8255" b="1270"/>
                  <wp:docPr id="50" name="图片 50" descr="IMG_1020(20200518-20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1020(20200518-204603)"/>
                          <pic:cNvPicPr>
                            <a:picLocks noChangeAspect="1"/>
                          </pic:cNvPicPr>
                        </pic:nvPicPr>
                        <pic:blipFill>
                          <a:blip r:embed="rId18"/>
                          <a:stretch>
                            <a:fillRect/>
                          </a:stretch>
                        </pic:blipFill>
                        <pic:spPr>
                          <a:xfrm>
                            <a:off x="0" y="0"/>
                            <a:ext cx="1344295" cy="1008380"/>
                          </a:xfrm>
                          <a:prstGeom prst="rect">
                            <a:avLst/>
                          </a:prstGeom>
                        </pic:spPr>
                      </pic:pic>
                    </a:graphicData>
                  </a:graphic>
                </wp:inline>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表6.2.2-2环境空气监测点位一览表</w:t>
      </w:r>
    </w:p>
    <w:tbl>
      <w:tblPr>
        <w:tblStyle w:val="10"/>
        <w:tblW w:w="93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0"/>
        <w:gridCol w:w="1588"/>
        <w:gridCol w:w="1523"/>
        <w:gridCol w:w="927"/>
        <w:gridCol w:w="1162"/>
        <w:gridCol w:w="1133"/>
        <w:gridCol w:w="24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blHeader/>
          <w:jc w:val="center"/>
        </w:trPr>
        <w:tc>
          <w:tcPr>
            <w:tcW w:w="520" w:type="dxa"/>
            <w:tcBorders>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序号</w:t>
            </w:r>
          </w:p>
        </w:tc>
        <w:tc>
          <w:tcPr>
            <w:tcW w:w="1588" w:type="dxa"/>
            <w:tcBorders>
              <w:left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敏感点名称</w:t>
            </w:r>
          </w:p>
        </w:tc>
        <w:tc>
          <w:tcPr>
            <w:tcW w:w="1523" w:type="dxa"/>
            <w:tcBorders>
              <w:left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桩号</w:t>
            </w:r>
          </w:p>
        </w:tc>
        <w:tc>
          <w:tcPr>
            <w:tcW w:w="927" w:type="dxa"/>
            <w:tcBorders>
              <w:left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距主线</w:t>
            </w:r>
          </w:p>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方位</w:t>
            </w:r>
          </w:p>
        </w:tc>
        <w:tc>
          <w:tcPr>
            <w:tcW w:w="1162" w:type="dxa"/>
            <w:tcBorders>
              <w:left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sz w:val="21"/>
              </w:rPr>
            </w:pPr>
            <w:r>
              <w:rPr>
                <w:rFonts w:hint="eastAsia" w:ascii="宋体" w:eastAsia="宋体"/>
                <w:b/>
                <w:spacing w:val="-8"/>
                <w:sz w:val="21"/>
              </w:rPr>
              <w:t>距路中心</w:t>
            </w:r>
            <w:r>
              <w:rPr>
                <w:rFonts w:hint="eastAsia" w:ascii="宋体" w:eastAsia="宋体"/>
                <w:b/>
                <w:spacing w:val="-8"/>
                <w:w w:val="95"/>
                <w:sz w:val="21"/>
              </w:rPr>
              <w:t>线</w:t>
            </w:r>
            <w:r>
              <w:rPr>
                <w:rFonts w:hint="eastAsia" w:ascii="宋体" w:eastAsia="宋体"/>
                <w:b/>
                <w:spacing w:val="-8"/>
                <w:w w:val="95"/>
                <w:sz w:val="21"/>
                <w:lang w:eastAsia="zh-CN"/>
              </w:rPr>
              <w:t>最近</w:t>
            </w:r>
            <w:r>
              <w:rPr>
                <w:rFonts w:hint="eastAsia" w:ascii="宋体" w:eastAsia="宋体"/>
                <w:b/>
                <w:spacing w:val="-8"/>
                <w:w w:val="95"/>
                <w:sz w:val="21"/>
              </w:rPr>
              <w:t>距</w:t>
            </w:r>
            <w:r>
              <w:rPr>
                <w:rFonts w:hint="eastAsia" w:ascii="宋体" w:eastAsia="宋体"/>
                <w:b/>
                <w:w w:val="95"/>
                <w:sz w:val="21"/>
              </w:rPr>
              <w:t>离</w:t>
            </w:r>
            <w:r>
              <w:rPr>
                <w:b/>
                <w:w w:val="95"/>
                <w:sz w:val="21"/>
              </w:rPr>
              <w:t>(m)</w:t>
            </w:r>
          </w:p>
        </w:tc>
        <w:tc>
          <w:tcPr>
            <w:tcW w:w="1133" w:type="dxa"/>
            <w:tcBorders>
              <w:left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b/>
                <w:sz w:val="21"/>
                <w:lang w:eastAsia="zh-CN"/>
              </w:rPr>
            </w:pPr>
            <w:r>
              <w:rPr>
                <w:rFonts w:hint="eastAsia" w:eastAsia="宋体"/>
                <w:b/>
                <w:sz w:val="21"/>
                <w:lang w:eastAsia="zh-CN"/>
              </w:rPr>
              <w:t>监测因子</w:t>
            </w:r>
          </w:p>
        </w:tc>
        <w:tc>
          <w:tcPr>
            <w:tcW w:w="2477" w:type="dxa"/>
            <w:tcBorders>
              <w:lef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lang w:eastAsia="zh-CN"/>
              </w:rPr>
            </w:pPr>
            <w:r>
              <w:rPr>
                <w:rFonts w:hint="eastAsia" w:ascii="宋体" w:eastAsia="宋体"/>
                <w:b/>
                <w:sz w:val="21"/>
                <w:lang w:eastAsia="zh-CN"/>
              </w:rPr>
              <w:t>照片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520" w:type="dxa"/>
            <w:tcBorders>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sz w:val="21"/>
                <w:lang w:val="en-US" w:eastAsia="zh-CN"/>
              </w:rPr>
            </w:pPr>
            <w:r>
              <w:rPr>
                <w:rFonts w:hint="default" w:ascii="Times New Roman" w:hAnsi="Times New Roman" w:eastAsia="宋体" w:cs="Times New Roman"/>
                <w:b w:val="0"/>
                <w:bCs/>
                <w:sz w:val="21"/>
                <w:lang w:val="en-US" w:eastAsia="zh-CN"/>
              </w:rPr>
              <w:t>1</w:t>
            </w:r>
          </w:p>
        </w:tc>
        <w:tc>
          <w:tcPr>
            <w:tcW w:w="1588"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白云六小</w:t>
            </w:r>
          </w:p>
        </w:tc>
        <w:tc>
          <w:tcPr>
            <w:tcW w:w="1523"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K3+300</w:t>
            </w:r>
          </w:p>
        </w:tc>
        <w:tc>
          <w:tcPr>
            <w:tcW w:w="927"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左侧200</w:t>
            </w:r>
          </w:p>
        </w:tc>
        <w:tc>
          <w:tcPr>
            <w:tcW w:w="1162"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1133" w:type="dxa"/>
            <w:vMerge w:val="restart"/>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总悬浮颗粒物、二氧化氮</w:t>
            </w:r>
          </w:p>
        </w:tc>
        <w:tc>
          <w:tcPr>
            <w:tcW w:w="2477" w:type="dxa"/>
            <w:tcBorders>
              <w:lef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drawing>
                <wp:inline distT="0" distB="0" distL="114300" distR="114300">
                  <wp:extent cx="1354455" cy="988060"/>
                  <wp:effectExtent l="0" t="0" r="17145" b="2540"/>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16"/>
                          <a:stretch>
                            <a:fillRect/>
                          </a:stretch>
                        </pic:blipFill>
                        <pic:spPr>
                          <a:xfrm>
                            <a:off x="0" y="0"/>
                            <a:ext cx="1354455" cy="98806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0" w:type="auto"/>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sz w:val="21"/>
                <w:lang w:val="en-US" w:eastAsia="zh-CN"/>
              </w:rPr>
            </w:pPr>
            <w:r>
              <w:rPr>
                <w:rFonts w:hint="eastAsia" w:eastAsia="宋体" w:cs="Times New Roman"/>
                <w:b w:val="0"/>
                <w:bCs/>
                <w:sz w:val="21"/>
                <w:lang w:val="en-US" w:eastAsia="zh-CN"/>
              </w:rPr>
              <w:t>2</w:t>
            </w: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白云第一中学（白云区实验中学）</w:t>
            </w: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K3+920</w:t>
            </w: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右侧35</w:t>
            </w: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1133" w:type="dxa"/>
            <w:vMerge w:val="continue"/>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p>
        </w:tc>
        <w:tc>
          <w:tcPr>
            <w:tcW w:w="247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44295" cy="1008380"/>
                  <wp:effectExtent l="0" t="0" r="8255" b="1270"/>
                  <wp:docPr id="54" name="图片 54" descr="IMG_0999(20200518-20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0999(20200518-204603)"/>
                          <pic:cNvPicPr>
                            <a:picLocks noChangeAspect="1"/>
                          </pic:cNvPicPr>
                        </pic:nvPicPr>
                        <pic:blipFill>
                          <a:blip r:embed="rId13"/>
                          <a:stretch>
                            <a:fillRect/>
                          </a:stretch>
                        </pic:blipFill>
                        <pic:spPr>
                          <a:xfrm>
                            <a:off x="0" y="0"/>
                            <a:ext cx="1344295" cy="1008380"/>
                          </a:xfrm>
                          <a:prstGeom prst="rect">
                            <a:avLst/>
                          </a:prstGeom>
                        </pic:spPr>
                      </pic:pic>
                    </a:graphicData>
                  </a:graphic>
                </wp:inline>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监测频率：</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噪声：昼间2次，夜间1次，连续监测2天；</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环境空气：监测日均值，监测3天。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sz w:val="24"/>
          <w:szCs w:val="24"/>
          <w:lang w:val="en-US" w:eastAsia="zh-CN"/>
        </w:rPr>
      </w:pPr>
      <w:bookmarkStart w:id="56" w:name="_Toc10065"/>
      <w:r>
        <w:rPr>
          <w:rFonts w:hint="eastAsia" w:ascii="Times New Roman" w:hAnsi="Times New Roman" w:eastAsia="宋体" w:cs="Times New Roman"/>
          <w:sz w:val="24"/>
          <w:szCs w:val="24"/>
          <w:lang w:val="en-US" w:eastAsia="zh-CN"/>
        </w:rPr>
        <w:t>6.2.3监测结果</w:t>
      </w:r>
      <w:bookmarkEnd w:id="5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sectPr>
          <w:pgSz w:w="11906" w:h="16838"/>
          <w:pgMar w:top="1440" w:right="1800" w:bottom="1440" w:left="1800" w:header="850" w:footer="992" w:gutter="0"/>
          <w:pgNumType w:fmt="decimal"/>
          <w:cols w:space="425" w:num="1"/>
          <w:docGrid w:type="lines" w:linePitch="312" w:charSpace="0"/>
        </w:sectPr>
      </w:pPr>
      <w:r>
        <w:rPr>
          <w:rFonts w:hint="eastAsia" w:ascii="Times New Roman" w:hAnsi="Times New Roman" w:eastAsia="宋体" w:cs="Times New Roman"/>
          <w:sz w:val="24"/>
          <w:szCs w:val="24"/>
          <w:lang w:val="en-US" w:eastAsia="zh-CN"/>
        </w:rPr>
        <w:t>监</w:t>
      </w:r>
      <w:r>
        <w:rPr>
          <w:rFonts w:hint="eastAsia" w:ascii="Times New Roman" w:hAnsi="Times New Roman" w:eastAsia="宋体" w:cs="Times New Roman"/>
          <w:color w:val="auto"/>
          <w:sz w:val="24"/>
          <w:szCs w:val="24"/>
          <w:lang w:val="en-US" w:eastAsia="zh-CN"/>
        </w:rPr>
        <w:t>测结果见表6.2.3-1和6.2.3</w:t>
      </w:r>
      <w:r>
        <w:rPr>
          <w:rFonts w:hint="eastAsia" w:ascii="Times New Roman" w:hAnsi="Times New Roman" w:eastAsia="宋体" w:cs="Times New Roman"/>
          <w:sz w:val="24"/>
          <w:szCs w:val="24"/>
          <w:lang w:val="en-US" w:eastAsia="zh-CN"/>
        </w:rPr>
        <w:t>-2。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表6.2.3-1噪声监测结果</w:t>
      </w:r>
    </w:p>
    <w:tbl>
      <w:tblPr>
        <w:tblStyle w:val="11"/>
        <w:tblW w:w="14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376"/>
        <w:gridCol w:w="660"/>
        <w:gridCol w:w="1166"/>
        <w:gridCol w:w="913"/>
        <w:gridCol w:w="913"/>
        <w:gridCol w:w="913"/>
        <w:gridCol w:w="913"/>
        <w:gridCol w:w="913"/>
        <w:gridCol w:w="920"/>
        <w:gridCol w:w="1166"/>
        <w:gridCol w:w="1117"/>
        <w:gridCol w:w="917"/>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1111"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监测点位</w:t>
            </w:r>
          </w:p>
        </w:tc>
        <w:tc>
          <w:tcPr>
            <w:tcW w:w="137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监测日期</w:t>
            </w:r>
          </w:p>
        </w:tc>
        <w:tc>
          <w:tcPr>
            <w:tcW w:w="1826"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监测时间</w:t>
            </w:r>
          </w:p>
        </w:tc>
        <w:tc>
          <w:tcPr>
            <w:tcW w:w="5485" w:type="dxa"/>
            <w:gridSpan w:val="6"/>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监测结果（dB）</w:t>
            </w:r>
          </w:p>
        </w:tc>
        <w:tc>
          <w:tcPr>
            <w:tcW w:w="116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达标等级</w:t>
            </w:r>
          </w:p>
        </w:tc>
        <w:tc>
          <w:tcPr>
            <w:tcW w:w="3113" w:type="dxa"/>
            <w:gridSpan w:val="3"/>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车流量统计（辆/20min）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sz w:val="21"/>
                <w:szCs w:val="21"/>
              </w:rPr>
            </w:pPr>
          </w:p>
        </w:tc>
        <w:tc>
          <w:tcPr>
            <w:tcW w:w="1376"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sz w:val="21"/>
                <w:szCs w:val="21"/>
              </w:rPr>
            </w:pPr>
          </w:p>
        </w:tc>
        <w:tc>
          <w:tcPr>
            <w:tcW w:w="1826" w:type="dxa"/>
            <w:gridSpan w:val="2"/>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sz w:val="21"/>
                <w:szCs w:val="21"/>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Leq</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subscript"/>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max</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10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90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min</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大型车</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中型车</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小型车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贵耐医院</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8:48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79.9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38.0</w:t>
            </w:r>
          </w:p>
        </w:tc>
        <w:tc>
          <w:tcPr>
            <w:tcW w:w="116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《声环境质量标准》（3096-2008）4a类</w:t>
            </w: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16:51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75.1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57.8</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00:59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45.6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44.9</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8:57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78.6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15</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16:54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81.4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53.0</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16</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39.7</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铝兴社区（3楼）</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2020.07.06</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11:03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72.2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46.5</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2020.07.06</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18:10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73.6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47.9</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2020.07.07</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43.8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41.1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2020.07.07</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10:22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77.1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41.0</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2020.07.07</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17:53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78.0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57.5</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2020.07.08</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46.0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42.7</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2:20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45.8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111" w:type="dxa"/>
            <w:vMerge w:val="restart"/>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贵州铝厂生活区（龚北社区）（4楼）</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11:40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79.4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18:42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75.1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30.1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vertAlign w:val="baseline"/>
                <w:lang w:val="en-US" w:eastAsia="zh-CN"/>
              </w:rPr>
              <w:t>夜间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2:32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43.2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39.7</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10:55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72.4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35.3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18:30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70.8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44.9</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vertAlign w:val="baseline"/>
                <w:lang w:val="en-US" w:eastAsia="zh-CN"/>
              </w:rPr>
              <w:t>夜间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2:20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55.5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40.7</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br w:type="page"/>
            </w: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白云六小</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12:12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77.2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57.1</w:t>
            </w:r>
          </w:p>
        </w:tc>
        <w:tc>
          <w:tcPr>
            <w:tcW w:w="116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《声环境质量标准》（3096-2008）4a类</w:t>
            </w: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19:15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80.8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3:07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46.6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43.6</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11:30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80.6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70.0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55.5</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19:03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2:55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46.0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43.4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贵铝职校</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2020.07.06</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12:12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71.1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41.3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2020.07.06</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19:15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79.1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56.8</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2020.07.07</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3:07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38.5</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2020.07.07</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11:30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78.4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55.6</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2020.07.07</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19:03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77.9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70.0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57.5</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2020.07.08</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2:55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55.9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43.2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37.9</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br w:type="page"/>
            </w: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白云欣歆幼儿园</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9:21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71.4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47.0</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17:23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78.2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53.8</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1:32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40.9</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9:32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79.9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71.0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49.7</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24</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17:27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79.9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55.4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21</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1:38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39.9</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br w:type="page"/>
            </w: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金东社区（4楼）</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12:46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73.6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40.2</w:t>
            </w:r>
          </w:p>
        </w:tc>
        <w:tc>
          <w:tcPr>
            <w:tcW w:w="116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《声环境质量标准》（3096-2008）4a类</w:t>
            </w: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75.4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43.8</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vertAlign w:val="baseline"/>
                <w:lang w:val="en-US" w:eastAsia="zh-CN"/>
              </w:rPr>
              <w:t>夜间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3:42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41.7</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12:06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77.7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19:40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80.2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59.9</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vertAlign w:val="baseline"/>
                <w:lang w:val="en-US" w:eastAsia="zh-CN"/>
              </w:rPr>
              <w:t>夜间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3:33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54.3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46.8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38.1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贵铝医院（贵州医科大学附属白云医院）</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vertAlign w:val="baseline"/>
                <w:lang w:val="en-US" w:eastAsia="zh-CN"/>
              </w:rPr>
              <w:t>昼间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9:52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77.7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51.4</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12</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17:57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79.0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59.4</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vertAlign w:val="baseline"/>
                <w:lang w:val="en-US" w:eastAsia="zh-CN"/>
              </w:rPr>
              <w:t>夜间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02:03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54.2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38.6</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vertAlign w:val="baseline"/>
                <w:lang w:val="en-US" w:eastAsia="zh-CN"/>
              </w:rPr>
              <w:t>昼间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10:02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83.3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70.8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57.9</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17.58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79.2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70.4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vertAlign w:val="baseline"/>
                <w:lang w:val="en-US" w:eastAsia="zh-CN"/>
              </w:rPr>
              <w:t>夜间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54.2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38.9</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塔山公园</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vertAlign w:val="baseline"/>
                <w:lang w:val="en-US" w:eastAsia="zh-CN"/>
              </w:rPr>
              <w:t>昼间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10:20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76.5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70.4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54.9</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18：26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83.4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71.8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54.4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49.5</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13</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vertAlign w:val="baseline"/>
                <w:lang w:val="en-US" w:eastAsia="zh-CN"/>
              </w:rPr>
              <w:t>夜间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02:32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45.4</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vertAlign w:val="baseline"/>
                <w:lang w:val="en-US" w:eastAsia="zh-CN"/>
              </w:rPr>
              <w:t>昼间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10:31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78.5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55.6</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22</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18：27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80.9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70.0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15</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vertAlign w:val="baseline"/>
                <w:lang w:val="en-US" w:eastAsia="zh-CN"/>
              </w:rPr>
              <w:t>夜间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2:37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55.2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38.6</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白云第一中学（白云区实验中学）</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vertAlign w:val="baseline"/>
                <w:lang w:val="en-US" w:eastAsia="zh-CN"/>
              </w:rPr>
              <w:t>昼间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10:48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79.4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52.5</w:t>
            </w:r>
          </w:p>
        </w:tc>
        <w:tc>
          <w:tcPr>
            <w:tcW w:w="116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《声环境质量标准》（3096-2008）4a类</w:t>
            </w: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18:55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82.0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vertAlign w:val="baseline"/>
                <w:lang w:val="en-US" w:eastAsia="zh-CN"/>
              </w:rPr>
              <w:t>夜间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03:03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40.7</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vertAlign w:val="baseline"/>
                <w:lang w:val="en-US" w:eastAsia="zh-CN"/>
              </w:rPr>
              <w:t>昼间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11:00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80.1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57.2</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27</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18:56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80.0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62.0</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vertAlign w:val="baseline"/>
                <w:lang w:val="en-US" w:eastAsia="zh-CN"/>
              </w:rPr>
              <w:t>夜间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0</w:t>
            </w:r>
            <w:r>
              <w:rPr>
                <w:rFonts w:hint="default" w:ascii="Times New Roman" w:hAnsi="Times New Roman" w:cs="Times New Roman"/>
                <w:bCs/>
                <w:sz w:val="21"/>
                <w:szCs w:val="21"/>
                <w:vertAlign w:val="baseline"/>
                <w:lang w:val="en-US" w:eastAsia="zh-CN"/>
              </w:rPr>
              <w:t>3:06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38.6</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白沙关社区（贵铝智慧幸福苑）</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vertAlign w:val="baseline"/>
                <w:lang w:val="en-US" w:eastAsia="zh-CN"/>
              </w:rPr>
              <w:t>昼间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11:13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77.7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51.4</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21</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19:22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78.5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51.5</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12</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vertAlign w:val="baseline"/>
                <w:lang w:val="en-US" w:eastAsia="zh-CN"/>
              </w:rPr>
              <w:t>夜间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03:29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45.2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vertAlign w:val="baseline"/>
                <w:lang w:val="en-US" w:eastAsia="zh-CN"/>
              </w:rPr>
              <w:t>昼间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11:26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805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70.6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55.0</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19:24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78.1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12</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sz w:val="21"/>
                <w:szCs w:val="21"/>
                <w:vertAlign w:val="baseline"/>
                <w:lang w:val="en-US" w:eastAsia="zh-CN"/>
              </w:rPr>
              <w:t>夜间</w:t>
            </w:r>
          </w:p>
        </w:tc>
        <w:tc>
          <w:tcPr>
            <w:tcW w:w="116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0</w:t>
            </w:r>
            <w:r>
              <w:rPr>
                <w:rFonts w:hint="default" w:ascii="Times New Roman" w:hAnsi="Times New Roman" w:cs="Times New Roman"/>
                <w:bCs/>
                <w:sz w:val="21"/>
                <w:szCs w:val="21"/>
                <w:vertAlign w:val="baseline"/>
                <w:lang w:val="en-US" w:eastAsia="zh-CN"/>
              </w:rPr>
              <w:t>3:31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38.7</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sectPr>
          <w:pgSz w:w="16838" w:h="11906" w:orient="landscape"/>
          <w:pgMar w:top="1800" w:right="1440" w:bottom="1800" w:left="1440" w:header="850"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表6.2.3-2环境空气监测结果</w:t>
      </w:r>
    </w:p>
    <w:tbl>
      <w:tblPr>
        <w:tblStyle w:val="11"/>
        <w:tblW w:w="97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2426"/>
        <w:gridCol w:w="1872"/>
        <w:gridCol w:w="1873"/>
        <w:gridCol w:w="2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tblHeader/>
          <w:jc w:val="center"/>
        </w:trPr>
        <w:tc>
          <w:tcPr>
            <w:tcW w:w="162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采样</w:t>
            </w:r>
            <w:r>
              <w:rPr>
                <w:rFonts w:hint="default" w:ascii="Times New Roman" w:hAnsi="Times New Roman" w:eastAsia="宋体" w:cs="Times New Roman"/>
                <w:bCs/>
                <w:sz w:val="21"/>
                <w:szCs w:val="21"/>
                <w:vertAlign w:val="baseline"/>
                <w:lang w:val="en-US" w:eastAsia="zh-CN"/>
              </w:rPr>
              <w:t>日期</w:t>
            </w:r>
          </w:p>
        </w:tc>
        <w:tc>
          <w:tcPr>
            <w:tcW w:w="242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监测点位</w:t>
            </w:r>
          </w:p>
        </w:tc>
        <w:tc>
          <w:tcPr>
            <w:tcW w:w="374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监测结果</w:t>
            </w:r>
          </w:p>
        </w:tc>
        <w:tc>
          <w:tcPr>
            <w:tcW w:w="200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达标等级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blHeader/>
          <w:jc w:val="center"/>
        </w:trPr>
        <w:tc>
          <w:tcPr>
            <w:tcW w:w="16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242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18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TSP（μg/m</w:t>
            </w:r>
            <w:r>
              <w:rPr>
                <w:rFonts w:hint="default" w:ascii="Times New Roman" w:hAnsi="Times New Roman" w:cs="Times New Roman"/>
                <w:bCs/>
                <w:sz w:val="21"/>
                <w:szCs w:val="21"/>
                <w:vertAlign w:val="superscript"/>
                <w:lang w:val="en-US" w:eastAsia="zh-CN"/>
              </w:rPr>
              <w:t>3</w:t>
            </w:r>
            <w:r>
              <w:rPr>
                <w:rFonts w:hint="default" w:ascii="Times New Roman" w:hAnsi="Times New Roman" w:cs="Times New Roman"/>
                <w:bCs/>
                <w:sz w:val="21"/>
                <w:szCs w:val="21"/>
                <w:vertAlign w:val="baseline"/>
                <w:lang w:val="en-US" w:eastAsia="zh-CN"/>
              </w:rPr>
              <w:t>）</w:t>
            </w:r>
          </w:p>
        </w:tc>
        <w:tc>
          <w:tcPr>
            <w:tcW w:w="18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二氧化氮（μg/m</w:t>
            </w:r>
            <w:r>
              <w:rPr>
                <w:rFonts w:hint="default" w:ascii="Times New Roman" w:hAnsi="Times New Roman" w:cs="Times New Roman"/>
                <w:bCs/>
                <w:sz w:val="21"/>
                <w:szCs w:val="21"/>
                <w:vertAlign w:val="superscript"/>
                <w:lang w:val="en-US" w:eastAsia="zh-CN"/>
              </w:rPr>
              <w:t>3</w:t>
            </w:r>
            <w:r>
              <w:rPr>
                <w:rFonts w:hint="default" w:ascii="Times New Roman" w:hAnsi="Times New Roman" w:cs="Times New Roman"/>
                <w:bCs/>
                <w:sz w:val="21"/>
                <w:szCs w:val="21"/>
                <w:vertAlign w:val="baseline"/>
                <w:lang w:val="en-US" w:eastAsia="zh-CN"/>
              </w:rPr>
              <w:t>）</w:t>
            </w:r>
          </w:p>
        </w:tc>
        <w:tc>
          <w:tcPr>
            <w:tcW w:w="2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2020.07.10</w:t>
            </w:r>
          </w:p>
        </w:tc>
        <w:tc>
          <w:tcPr>
            <w:tcW w:w="242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白云六小</w:t>
            </w:r>
          </w:p>
        </w:tc>
        <w:tc>
          <w:tcPr>
            <w:tcW w:w="18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149</w:t>
            </w:r>
          </w:p>
        </w:tc>
        <w:tc>
          <w:tcPr>
            <w:tcW w:w="18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bidi="ar-SA"/>
              </w:rPr>
              <w:t>16</w:t>
            </w:r>
          </w:p>
        </w:tc>
        <w:tc>
          <w:tcPr>
            <w:tcW w:w="200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《环境空气质量标准》（GB3095-2012）二级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2020.07.11</w:t>
            </w:r>
          </w:p>
        </w:tc>
        <w:tc>
          <w:tcPr>
            <w:tcW w:w="242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p>
        </w:tc>
        <w:tc>
          <w:tcPr>
            <w:tcW w:w="18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143</w:t>
            </w:r>
          </w:p>
        </w:tc>
        <w:tc>
          <w:tcPr>
            <w:tcW w:w="18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bidi="ar-SA"/>
              </w:rPr>
              <w:t>16</w:t>
            </w:r>
          </w:p>
        </w:tc>
        <w:tc>
          <w:tcPr>
            <w:tcW w:w="2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2020.07.12</w:t>
            </w:r>
          </w:p>
        </w:tc>
        <w:tc>
          <w:tcPr>
            <w:tcW w:w="242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p>
        </w:tc>
        <w:tc>
          <w:tcPr>
            <w:tcW w:w="18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143</w:t>
            </w:r>
          </w:p>
        </w:tc>
        <w:tc>
          <w:tcPr>
            <w:tcW w:w="18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bidi="ar-SA"/>
              </w:rPr>
              <w:t>17</w:t>
            </w:r>
          </w:p>
        </w:tc>
        <w:tc>
          <w:tcPr>
            <w:tcW w:w="2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2020.07.10</w:t>
            </w:r>
          </w:p>
        </w:tc>
        <w:tc>
          <w:tcPr>
            <w:tcW w:w="242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白云第一中学（白云区实验中学）</w:t>
            </w:r>
          </w:p>
        </w:tc>
        <w:tc>
          <w:tcPr>
            <w:tcW w:w="18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149</w:t>
            </w:r>
          </w:p>
        </w:tc>
        <w:tc>
          <w:tcPr>
            <w:tcW w:w="18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bidi="ar-SA"/>
              </w:rPr>
              <w:t>13</w:t>
            </w:r>
          </w:p>
        </w:tc>
        <w:tc>
          <w:tcPr>
            <w:tcW w:w="2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2020.07.11</w:t>
            </w:r>
          </w:p>
        </w:tc>
        <w:tc>
          <w:tcPr>
            <w:tcW w:w="242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p>
        </w:tc>
        <w:tc>
          <w:tcPr>
            <w:tcW w:w="18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152</w:t>
            </w:r>
          </w:p>
        </w:tc>
        <w:tc>
          <w:tcPr>
            <w:tcW w:w="18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bidi="ar-SA"/>
              </w:rPr>
              <w:t>15</w:t>
            </w:r>
          </w:p>
        </w:tc>
        <w:tc>
          <w:tcPr>
            <w:tcW w:w="2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2020.07.12</w:t>
            </w:r>
          </w:p>
        </w:tc>
        <w:tc>
          <w:tcPr>
            <w:tcW w:w="242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p>
        </w:tc>
        <w:tc>
          <w:tcPr>
            <w:tcW w:w="1872"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144</w:t>
            </w:r>
          </w:p>
        </w:tc>
        <w:tc>
          <w:tcPr>
            <w:tcW w:w="18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bidi="ar-SA"/>
              </w:rPr>
              <w:t>16</w:t>
            </w:r>
          </w:p>
        </w:tc>
        <w:tc>
          <w:tcPr>
            <w:tcW w:w="2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bidi="ar-SA"/>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由以上监测结果可以看出本工程道路全线噪声监测结果符合《声环境质量标准》（GB 3096-2008）的要求；环境空气监测结果达到《环境空气质量标准》（GB3095-2012）二级标准要求。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57" w:name="_Toc11947"/>
      <w:r>
        <w:rPr>
          <w:rFonts w:hint="eastAsia" w:ascii="Times New Roman" w:hAnsi="Times New Roman" w:eastAsia="宋体" w:cs="Times New Roman"/>
          <w:sz w:val="24"/>
          <w:szCs w:val="24"/>
          <w:lang w:val="en-US" w:eastAsia="zh-CN"/>
        </w:rPr>
        <w:t>6.3固体废物</w:t>
      </w:r>
      <w:bookmarkEnd w:id="5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本工程无收费站、服务区等，主要固废为道路清扫固废及行人丢弃的垃圾。本工程沿线已设置垃圾箱或垃圾收集池，由环卫部门统一收集运走，进行处理，因此运营期固废对环境影响很小。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58" w:name="_Toc18062"/>
      <w:r>
        <w:rPr>
          <w:rFonts w:hint="eastAsia" w:ascii="Times New Roman" w:hAnsi="Times New Roman" w:eastAsia="宋体" w:cs="Times New Roman"/>
          <w:b/>
          <w:bCs/>
          <w:sz w:val="24"/>
          <w:szCs w:val="24"/>
          <w:lang w:val="en-US" w:eastAsia="zh-CN"/>
        </w:rPr>
        <w:t>7 环境管理与监测计划的落实</w:t>
      </w:r>
      <w:bookmarkEnd w:id="5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59" w:name="_Toc22976"/>
      <w:r>
        <w:rPr>
          <w:rFonts w:hint="eastAsia" w:ascii="Times New Roman" w:hAnsi="Times New Roman" w:eastAsia="宋体" w:cs="Times New Roman"/>
          <w:sz w:val="24"/>
          <w:szCs w:val="24"/>
          <w:lang w:val="en-US" w:eastAsia="zh-CN"/>
        </w:rPr>
        <w:t>7.1环境管理情况</w:t>
      </w:r>
      <w:bookmarkEnd w:id="5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60" w:name="_Toc8582"/>
      <w:r>
        <w:rPr>
          <w:rFonts w:hint="eastAsia" w:ascii="Times New Roman" w:hAnsi="Times New Roman" w:eastAsia="宋体" w:cs="Times New Roman"/>
          <w:sz w:val="24"/>
          <w:szCs w:val="24"/>
          <w:lang w:val="en-US" w:eastAsia="zh-CN"/>
        </w:rPr>
        <w:t>7.1.1施工期环境管理</w:t>
      </w:r>
      <w:bookmarkEnd w:id="6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建设单位设置了环境管理机构；在公路建设过程中重视环境保护工作，要求承包单位、设计单位和各施工单位加强环保意识，将环保工作与工程质量挂钩，在实施中由工程监理部门不定期检查总结，</w:t>
      </w:r>
      <w:r>
        <w:rPr>
          <w:rFonts w:hint="eastAsia" w:ascii="Times New Roman" w:hAnsi="Times New Roman" w:eastAsia="宋体" w:cs="Times New Roman"/>
          <w:sz w:val="24"/>
          <w:szCs w:val="24"/>
          <w:lang w:val="en-US" w:eastAsia="zh-CN"/>
        </w:rPr>
        <w:t>严格按照环评要求的环保措施执行，</w:t>
      </w:r>
      <w:r>
        <w:rPr>
          <w:rFonts w:hint="default" w:ascii="Times New Roman" w:hAnsi="Times New Roman" w:eastAsia="宋体" w:cs="Times New Roman"/>
          <w:sz w:val="24"/>
          <w:szCs w:val="24"/>
          <w:lang w:val="en-US" w:eastAsia="zh-CN"/>
        </w:rPr>
        <w:t>确保环保工作落实到位。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61" w:name="_Toc20558"/>
      <w:r>
        <w:rPr>
          <w:rFonts w:hint="eastAsia" w:ascii="Times New Roman" w:hAnsi="Times New Roman" w:eastAsia="宋体" w:cs="Times New Roman"/>
          <w:sz w:val="24"/>
          <w:szCs w:val="24"/>
          <w:lang w:val="en-US" w:eastAsia="zh-CN"/>
        </w:rPr>
        <w:t>7.1.2运营期环境管理</w:t>
      </w:r>
      <w:bookmarkEnd w:id="6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贵阳高科控股集团有限公司设置专门的环境管理部门，对环境管理相关资料进行管理，对道路沿线的环保措施进行维护与保养，对有损坏的环保措施及时维修或更换，并与环卫部门形成合作，由环卫部门清运垃圾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62" w:name="_Toc21275"/>
      <w:r>
        <w:rPr>
          <w:rFonts w:hint="eastAsia" w:ascii="Times New Roman" w:hAnsi="Times New Roman" w:eastAsia="宋体" w:cs="Times New Roman"/>
          <w:sz w:val="24"/>
          <w:szCs w:val="24"/>
          <w:lang w:val="en-US" w:eastAsia="zh-CN"/>
        </w:rPr>
        <w:t>7.1.3建议</w:t>
      </w:r>
      <w:bookmarkEnd w:id="6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从现场调查的情况看来，项目环境保护工作取得了较好的效果，但也存在一些有必要持续改善的工作，故本次调查提出以下建议：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1、健全环境管理机构，确定专人负责环境保护工作，以保证各项环保措施长期落实。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2、完善环境管理制度，建立环保设施日常检查、维护的专项规章制度。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3、加强对上路车辆的检查和管理，严禁高噪声和未加盖篷布的散装物料运载车辆上路。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4、对全体职工进行环保工作方面的宣传教育，不断提高职工的环保意识。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63" w:name="_Toc30969"/>
      <w:r>
        <w:rPr>
          <w:rFonts w:hint="eastAsia" w:ascii="Times New Roman" w:hAnsi="Times New Roman" w:eastAsia="宋体" w:cs="Times New Roman"/>
          <w:sz w:val="24"/>
          <w:szCs w:val="24"/>
          <w:lang w:val="en-US" w:eastAsia="zh-CN"/>
        </w:rPr>
        <w:t>7.2监测计划的落实</w:t>
      </w:r>
      <w:bookmarkEnd w:id="6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sectPr>
          <w:pgSz w:w="11906" w:h="16838"/>
          <w:pgMar w:top="1440" w:right="1800" w:bottom="1440" w:left="1800" w:header="850" w:footer="992" w:gutter="0"/>
          <w:pgNumType w:fmt="decimal"/>
          <w:cols w:space="425" w:num="1"/>
          <w:docGrid w:type="lines" w:linePitch="312" w:charSpace="0"/>
        </w:sectPr>
      </w:pPr>
      <w:r>
        <w:rPr>
          <w:rFonts w:hint="eastAsia" w:ascii="Times New Roman" w:hAnsi="Times New Roman" w:eastAsia="宋体" w:cs="Times New Roman"/>
          <w:sz w:val="24"/>
          <w:szCs w:val="24"/>
          <w:lang w:val="en-US" w:eastAsia="zh-CN"/>
        </w:rPr>
        <w:t>根据贵阳高科控股集团有限公司提供的资料，结合现场调查情况，监测计划落实情况详见表7.2-1。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表7.2-1监测计划落实情况</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9"/>
        <w:gridCol w:w="1260"/>
        <w:gridCol w:w="2324"/>
        <w:gridCol w:w="2026"/>
        <w:gridCol w:w="1743"/>
        <w:gridCol w:w="2042"/>
        <w:gridCol w:w="3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12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阶段</w:t>
            </w: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类别</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监测地点</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监测项目</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监测频次</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监测时间</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25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施工期</w:t>
            </w: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环境空气</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金东社区、龚北社区、白云一中、白云医院</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CO、NO</w:t>
            </w:r>
            <w:r>
              <w:rPr>
                <w:rFonts w:hint="eastAsia" w:ascii="Times New Roman" w:hAnsi="Times New Roman" w:eastAsia="宋体" w:cs="Times New Roman"/>
                <w:sz w:val="24"/>
                <w:szCs w:val="24"/>
                <w:vertAlign w:val="subscript"/>
                <w:lang w:val="en-US" w:eastAsia="zh-CN"/>
              </w:rPr>
              <w:t>2</w:t>
            </w:r>
            <w:r>
              <w:rPr>
                <w:rFonts w:hint="eastAsia" w:ascii="Times New Roman" w:hAnsi="Times New Roman" w:eastAsia="宋体" w:cs="Times New Roman"/>
                <w:sz w:val="24"/>
                <w:szCs w:val="24"/>
                <w:vertAlign w:val="baseline"/>
                <w:lang w:val="en-US" w:eastAsia="zh-CN"/>
              </w:rPr>
              <w:t>、SO</w:t>
            </w:r>
            <w:r>
              <w:rPr>
                <w:rFonts w:hint="eastAsia" w:ascii="Times New Roman" w:hAnsi="Times New Roman" w:eastAsia="宋体" w:cs="Times New Roman"/>
                <w:sz w:val="24"/>
                <w:szCs w:val="24"/>
                <w:vertAlign w:val="subscript"/>
                <w:lang w:val="en-US" w:eastAsia="zh-CN"/>
              </w:rPr>
              <w:t>2</w:t>
            </w:r>
            <w:r>
              <w:rPr>
                <w:rFonts w:hint="eastAsia" w:ascii="Times New Roman" w:hAnsi="Times New Roman" w:eastAsia="宋体" w:cs="Times New Roman"/>
                <w:sz w:val="24"/>
                <w:szCs w:val="24"/>
                <w:vertAlign w:val="baseline"/>
                <w:lang w:val="en-US" w:eastAsia="zh-CN"/>
              </w:rPr>
              <w:t>、TSP、PM</w:t>
            </w:r>
            <w:r>
              <w:rPr>
                <w:rFonts w:hint="eastAsia" w:ascii="Times New Roman" w:hAnsi="Times New Roman" w:eastAsia="宋体" w:cs="Times New Roman"/>
                <w:sz w:val="24"/>
                <w:szCs w:val="24"/>
                <w:vertAlign w:val="subscript"/>
                <w:lang w:val="en-US" w:eastAsia="zh-CN"/>
              </w:rPr>
              <w:t>10</w:t>
            </w:r>
            <w:r>
              <w:rPr>
                <w:rFonts w:hint="eastAsia" w:ascii="Times New Roman" w:hAnsi="Times New Roman" w:eastAsia="宋体" w:cs="Times New Roman"/>
                <w:sz w:val="24"/>
                <w:szCs w:val="24"/>
                <w:vertAlign w:val="baseline"/>
                <w:lang w:val="en-US" w:eastAsia="zh-CN"/>
              </w:rPr>
              <w:t>、PM</w:t>
            </w:r>
            <w:r>
              <w:rPr>
                <w:rFonts w:hint="eastAsia" w:ascii="Times New Roman" w:hAnsi="Times New Roman" w:eastAsia="宋体" w:cs="Times New Roman"/>
                <w:sz w:val="24"/>
                <w:szCs w:val="24"/>
                <w:vertAlign w:val="subscript"/>
                <w:lang w:val="en-US" w:eastAsia="zh-CN"/>
              </w:rPr>
              <w:t>2.5</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2次/年</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2天，每天保证20小时采样时间</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25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声环境</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金东社区、龚北社区、白云一中、白云医院</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等效连续A声级</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2次/年</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昼间、夜间各1次</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25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水环境</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高麦大沟2处断面、麦架河1处断面</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pH、SS、COD、DO、高锰酸盐指数、氨氮、总磷、粪大肠菌群、LAS、石油类、BOD</w:t>
            </w:r>
            <w:r>
              <w:rPr>
                <w:rFonts w:hint="eastAsia" w:ascii="Times New Roman" w:hAnsi="Times New Roman" w:eastAsia="宋体" w:cs="Times New Roman"/>
                <w:sz w:val="24"/>
                <w:szCs w:val="24"/>
                <w:vertAlign w:val="subscript"/>
                <w:lang w:val="en-US" w:eastAsia="zh-CN"/>
              </w:rPr>
              <w:t>5</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施工期间，2次/年</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采样1次，2天</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未监测</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rPr>
        <w:sectPr>
          <w:pgSz w:w="16838" w:h="11906" w:orient="landscape"/>
          <w:pgMar w:top="1800" w:right="1440" w:bottom="1800" w:left="1440" w:header="850"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经过走访，本工程环评所列环境监测计划虽未得到完全实施，但由于施工期和运营期建设单位均严格按照环境管理程序执行，完善相关环保措施，均未有扰民、投诉等现象发生。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为了解本工程项目运营期道路沿线噪声、环境空气、地表水等现状情况，贵州明德工程咨询有限公司于2020年07月6日~2020年07月12日对本工程项目进行现场监测，监测报告详见附件三。</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64" w:name="_Toc10620"/>
      <w:r>
        <w:rPr>
          <w:rFonts w:hint="eastAsia" w:ascii="Times New Roman" w:hAnsi="Times New Roman" w:eastAsia="宋体" w:cs="Times New Roman"/>
          <w:b/>
          <w:bCs/>
          <w:sz w:val="24"/>
          <w:szCs w:val="24"/>
          <w:lang w:val="en-US" w:eastAsia="zh-CN"/>
        </w:rPr>
        <w:t>8 公众意见调查</w:t>
      </w:r>
      <w:bookmarkEnd w:id="64"/>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65" w:name="_Toc27342"/>
      <w:r>
        <w:rPr>
          <w:rFonts w:hint="eastAsia" w:ascii="Times New Roman" w:hAnsi="Times New Roman" w:eastAsia="宋体" w:cs="Times New Roman"/>
          <w:sz w:val="24"/>
          <w:szCs w:val="24"/>
          <w:lang w:val="en-US" w:eastAsia="zh-CN"/>
        </w:rPr>
        <w:t>8.1调查的目的、对象、方法</w:t>
      </w:r>
      <w:bookmarkEnd w:id="6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66" w:name="_Toc17081"/>
      <w:r>
        <w:rPr>
          <w:rFonts w:hint="eastAsia" w:ascii="Times New Roman" w:hAnsi="Times New Roman" w:eastAsia="宋体" w:cs="Times New Roman"/>
          <w:sz w:val="24"/>
          <w:szCs w:val="24"/>
          <w:lang w:val="en-US" w:eastAsia="zh-CN"/>
        </w:rPr>
        <w:t>8.1.1调查的目的</w:t>
      </w:r>
      <w:bookmarkEnd w:id="6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通过对公众意见调查，了解本工程影响区域公众、途经人员和沿线有关行政管理部门的意见和要求，以核查设计、环评及批复中提出的环保措施落实情况，必要时为改进已有环保措施和提出补救措施提供有效途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Times New Roman" w:hAnsi="Times New Roman" w:eastAsia="宋体" w:cs="Times New Roman"/>
          <w:sz w:val="24"/>
          <w:szCs w:val="24"/>
          <w:lang w:val="en-US" w:eastAsia="zh-CN"/>
        </w:rPr>
      </w:pPr>
      <w:bookmarkStart w:id="67" w:name="_Toc27140"/>
      <w:r>
        <w:rPr>
          <w:rFonts w:hint="eastAsia" w:ascii="Times New Roman" w:hAnsi="Times New Roman" w:eastAsia="宋体" w:cs="Times New Roman"/>
          <w:sz w:val="24"/>
          <w:szCs w:val="24"/>
          <w:lang w:val="en-US" w:eastAsia="zh-CN"/>
        </w:rPr>
        <w:t>8.1.2调查的对象</w:t>
      </w:r>
      <w:bookmarkEnd w:id="6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本次公众意见调查主要在公路沿线的影响区域内进行，调查对象为直接受影响的公众个人、公路上来往的司乘人员。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Times New Roman" w:hAnsi="Times New Roman" w:eastAsia="宋体" w:cs="Times New Roman"/>
          <w:sz w:val="24"/>
          <w:szCs w:val="24"/>
          <w:lang w:val="en-US" w:eastAsia="zh-CN"/>
        </w:rPr>
      </w:pPr>
      <w:bookmarkStart w:id="68" w:name="_Toc7916"/>
      <w:r>
        <w:rPr>
          <w:rFonts w:hint="eastAsia" w:ascii="Times New Roman" w:hAnsi="Times New Roman" w:eastAsia="宋体" w:cs="Times New Roman"/>
          <w:sz w:val="24"/>
          <w:szCs w:val="24"/>
          <w:lang w:val="en-US" w:eastAsia="zh-CN"/>
        </w:rPr>
        <w:t>8.1.3调查的方式</w:t>
      </w:r>
      <w:bookmarkEnd w:id="6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w:t>
      </w:r>
      <w:r>
        <w:rPr>
          <w:rFonts w:hint="default" w:ascii="Times New Roman" w:hAnsi="Times New Roman" w:eastAsia="宋体" w:cs="Times New Roman"/>
          <w:sz w:val="24"/>
          <w:szCs w:val="24"/>
          <w:lang w:val="en-US" w:eastAsia="zh-CN"/>
        </w:rPr>
        <w:t>公众意见调查采取</w:t>
      </w:r>
      <w:r>
        <w:rPr>
          <w:rFonts w:hint="eastAsia" w:ascii="Times New Roman" w:hAnsi="Times New Roman" w:eastAsia="宋体" w:cs="Times New Roman"/>
          <w:sz w:val="24"/>
          <w:szCs w:val="24"/>
          <w:lang w:val="en-US" w:eastAsia="zh-CN"/>
        </w:rPr>
        <w:t>以下两种</w:t>
      </w:r>
      <w:r>
        <w:rPr>
          <w:rFonts w:hint="default" w:ascii="Times New Roman" w:hAnsi="Times New Roman" w:eastAsia="宋体" w:cs="Times New Roman"/>
          <w:sz w:val="24"/>
          <w:szCs w:val="24"/>
          <w:lang w:val="en-US" w:eastAsia="zh-CN"/>
        </w:rPr>
        <w:t>方法：</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咨询询问调查方式，重点对公路沿线直接受影响的居民</w:t>
      </w:r>
      <w:r>
        <w:rPr>
          <w:rFonts w:hint="eastAsia" w:ascii="Times New Roman" w:hAnsi="Times New Roman" w:eastAsia="宋体" w:cs="Times New Roman"/>
          <w:sz w:val="24"/>
          <w:szCs w:val="24"/>
          <w:lang w:val="en-US" w:eastAsia="zh-CN"/>
        </w:rPr>
        <w:t>及司乘人员</w:t>
      </w:r>
      <w:r>
        <w:rPr>
          <w:rFonts w:hint="default" w:ascii="Times New Roman" w:hAnsi="Times New Roman" w:eastAsia="宋体" w:cs="Times New Roman"/>
          <w:sz w:val="24"/>
          <w:szCs w:val="24"/>
          <w:lang w:val="en-US" w:eastAsia="zh-CN"/>
        </w:rPr>
        <w:t>以访问的形式进行调查；</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咨询当地有关行政主管部门，了解工程施工期和试运营期对敏感目标的影响程度及有无环保投诉情况。</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sz w:val="24"/>
          <w:szCs w:val="24"/>
          <w:lang w:val="en-US" w:eastAsia="zh-CN"/>
        </w:rPr>
      </w:pPr>
      <w:bookmarkStart w:id="69" w:name="_Toc6154"/>
      <w:r>
        <w:rPr>
          <w:rFonts w:hint="eastAsia" w:ascii="Times New Roman" w:hAnsi="Times New Roman" w:eastAsia="宋体" w:cs="Times New Roman"/>
          <w:sz w:val="24"/>
          <w:szCs w:val="24"/>
          <w:lang w:val="en-US" w:eastAsia="zh-CN"/>
        </w:rPr>
        <w:t>8.2调查结果</w:t>
      </w:r>
      <w:bookmarkEnd w:id="6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default" w:ascii="Times New Roman" w:hAnsi="Times New Roman" w:eastAsia="宋体" w:cs="Times New Roman"/>
          <w:sz w:val="24"/>
          <w:szCs w:val="24"/>
          <w:lang w:val="en-US" w:eastAsia="zh-CN"/>
        </w:rPr>
      </w:pPr>
      <w:bookmarkStart w:id="70" w:name="_Toc23707"/>
      <w:r>
        <w:rPr>
          <w:rFonts w:hint="eastAsia" w:ascii="Times New Roman" w:hAnsi="Times New Roman" w:eastAsia="宋体" w:cs="Times New Roman"/>
          <w:sz w:val="24"/>
          <w:szCs w:val="24"/>
          <w:lang w:val="en-US" w:eastAsia="zh-CN"/>
        </w:rPr>
        <w:t>8.2.1司乘人员</w:t>
      </w:r>
      <w:bookmarkEnd w:id="7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本次调查询问司乘人员50人，调查对象组成结构见表8.2.1-1.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表8.2.1-1司乘人员调查对象组成</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blHeader/>
        </w:trPr>
        <w:tc>
          <w:tcPr>
            <w:tcW w:w="426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组成结构</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人数（人）</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3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性别</w:t>
            </w:r>
          </w:p>
        </w:tc>
        <w:tc>
          <w:tcPr>
            <w:tcW w:w="213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男</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32</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p>
        </w:tc>
        <w:tc>
          <w:tcPr>
            <w:tcW w:w="213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女</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18</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3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年龄</w:t>
            </w: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4"/>
                <w:lang w:val="en-US" w:eastAsia="zh-CN" w:bidi="zh-CN"/>
              </w:rPr>
            </w:pPr>
            <w:r>
              <w:rPr>
                <w:rFonts w:hint="default" w:ascii="Times New Roman" w:hAnsi="Times New Roman" w:eastAsia="宋体" w:cs="Times New Roman"/>
                <w:sz w:val="21"/>
              </w:rPr>
              <w:t>30 岁以下</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21</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p>
        </w:tc>
        <w:tc>
          <w:tcPr>
            <w:tcW w:w="2130"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4"/>
                <w:lang w:val="en-US" w:eastAsia="zh-CN" w:bidi="zh-CN"/>
              </w:rPr>
            </w:pPr>
            <w:r>
              <w:rPr>
                <w:rFonts w:hint="default" w:ascii="Times New Roman" w:hAnsi="Times New Roman" w:eastAsia="宋体" w:cs="Times New Roman"/>
                <w:sz w:val="21"/>
              </w:rPr>
              <w:t>30-39 岁</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13</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p>
        </w:tc>
        <w:tc>
          <w:tcPr>
            <w:tcW w:w="0" w:type="auto"/>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4"/>
                <w:lang w:val="en-US" w:eastAsia="zh-CN" w:bidi="zh-CN"/>
              </w:rPr>
            </w:pPr>
            <w:r>
              <w:rPr>
                <w:rFonts w:hint="default" w:ascii="Times New Roman" w:hAnsi="Times New Roman" w:eastAsia="宋体" w:cs="Times New Roman"/>
                <w:sz w:val="21"/>
              </w:rPr>
              <w:t>40 岁以上</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16</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3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文化程度</w:t>
            </w:r>
          </w:p>
        </w:tc>
        <w:tc>
          <w:tcPr>
            <w:tcW w:w="0" w:type="auto"/>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小学及以下</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8</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p>
        </w:tc>
        <w:tc>
          <w:tcPr>
            <w:tcW w:w="0" w:type="auto"/>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中学</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19</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p>
        </w:tc>
        <w:tc>
          <w:tcPr>
            <w:tcW w:w="0" w:type="auto"/>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大学及以上</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23</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46</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从上表可以看出，本次司乘人员调查对象多为男性，文化程度大学及以上，年龄在30岁以下。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调查结果统计详见表8.2.1-2。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表8.2.1-2司乘人员调查统计结果</w:t>
      </w:r>
    </w:p>
    <w:tbl>
      <w:tblPr>
        <w:tblStyle w:val="10"/>
        <w:tblW w:w="89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3"/>
        <w:gridCol w:w="2822"/>
        <w:gridCol w:w="1744"/>
        <w:gridCol w:w="2125"/>
        <w:gridCol w:w="16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blHeader/>
          <w:jc w:val="center"/>
        </w:trPr>
        <w:tc>
          <w:tcPr>
            <w:tcW w:w="64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序号</w:t>
            </w:r>
          </w:p>
        </w:tc>
        <w:tc>
          <w:tcPr>
            <w:tcW w:w="2822"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调查内容</w:t>
            </w:r>
          </w:p>
        </w:tc>
        <w:tc>
          <w:tcPr>
            <w:tcW w:w="174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态度</w:t>
            </w: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人数</w:t>
            </w:r>
          </w:p>
        </w:tc>
        <w:tc>
          <w:tcPr>
            <w:tcW w:w="166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比例（</w:t>
            </w:r>
            <w:r>
              <w:rPr>
                <w:b/>
                <w:sz w:val="21"/>
              </w:rPr>
              <w:t>%</w:t>
            </w:r>
            <w:r>
              <w:rPr>
                <w:rFonts w:hint="eastAsia" w:ascii="宋体" w:eastAsia="宋体"/>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w w:val="99"/>
                <w:sz w:val="21"/>
              </w:rPr>
              <w:t>1</w:t>
            </w:r>
          </w:p>
        </w:tc>
        <w:tc>
          <w:tcPr>
            <w:tcW w:w="2822"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修建该公路是否有利于本地区的经济发展</w:t>
            </w:r>
          </w:p>
        </w:tc>
        <w:tc>
          <w:tcPr>
            <w:tcW w:w="174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有利</w:t>
            </w: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48</w:t>
            </w:r>
          </w:p>
        </w:tc>
        <w:tc>
          <w:tcPr>
            <w:tcW w:w="166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不利</w:t>
            </w: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1</w:t>
            </w:r>
          </w:p>
        </w:tc>
        <w:tc>
          <w:tcPr>
            <w:tcW w:w="166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不知道</w:t>
            </w: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1</w:t>
            </w:r>
          </w:p>
        </w:tc>
        <w:tc>
          <w:tcPr>
            <w:tcW w:w="166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w w:val="99"/>
                <w:sz w:val="21"/>
              </w:rPr>
              <w:t>2</w:t>
            </w:r>
          </w:p>
        </w:tc>
        <w:tc>
          <w:tcPr>
            <w:tcW w:w="2822"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对沿线公路绿化情况的感觉</w:t>
            </w:r>
          </w:p>
        </w:tc>
        <w:tc>
          <w:tcPr>
            <w:tcW w:w="174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满意</w:t>
            </w: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42</w:t>
            </w:r>
          </w:p>
        </w:tc>
        <w:tc>
          <w:tcPr>
            <w:tcW w:w="166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基本满意</w:t>
            </w: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8</w:t>
            </w:r>
          </w:p>
        </w:tc>
        <w:tc>
          <w:tcPr>
            <w:tcW w:w="166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不满意</w:t>
            </w: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0</w:t>
            </w:r>
          </w:p>
        </w:tc>
        <w:tc>
          <w:tcPr>
            <w:tcW w:w="166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无所谓</w:t>
            </w: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0</w:t>
            </w:r>
          </w:p>
        </w:tc>
        <w:tc>
          <w:tcPr>
            <w:tcW w:w="166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w w:val="99"/>
                <w:sz w:val="21"/>
              </w:rPr>
              <w:t>3</w:t>
            </w:r>
          </w:p>
        </w:tc>
        <w:tc>
          <w:tcPr>
            <w:tcW w:w="2822"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公路汽车尾气排放</w:t>
            </w:r>
          </w:p>
        </w:tc>
        <w:tc>
          <w:tcPr>
            <w:tcW w:w="174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严重</w:t>
            </w: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0</w:t>
            </w:r>
          </w:p>
        </w:tc>
        <w:tc>
          <w:tcPr>
            <w:tcW w:w="166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一般</w:t>
            </w: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3</w:t>
            </w:r>
          </w:p>
        </w:tc>
        <w:tc>
          <w:tcPr>
            <w:tcW w:w="166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不严重</w:t>
            </w: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47</w:t>
            </w:r>
          </w:p>
        </w:tc>
        <w:tc>
          <w:tcPr>
            <w:tcW w:w="166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w w:val="99"/>
                <w:sz w:val="21"/>
              </w:rPr>
              <w:t>4</w:t>
            </w:r>
          </w:p>
        </w:tc>
        <w:tc>
          <w:tcPr>
            <w:tcW w:w="2822"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公路运行车辆堵塞情况</w:t>
            </w:r>
          </w:p>
        </w:tc>
        <w:tc>
          <w:tcPr>
            <w:tcW w:w="174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严重</w:t>
            </w: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10</w:t>
            </w:r>
          </w:p>
        </w:tc>
        <w:tc>
          <w:tcPr>
            <w:tcW w:w="166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一般</w:t>
            </w: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6</w:t>
            </w:r>
          </w:p>
        </w:tc>
        <w:tc>
          <w:tcPr>
            <w:tcW w:w="166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不严重</w:t>
            </w: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34</w:t>
            </w:r>
          </w:p>
        </w:tc>
        <w:tc>
          <w:tcPr>
            <w:tcW w:w="166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w w:val="99"/>
                <w:sz w:val="21"/>
              </w:rPr>
              <w:t>5</w:t>
            </w:r>
          </w:p>
        </w:tc>
        <w:tc>
          <w:tcPr>
            <w:tcW w:w="2822"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公路上噪声影响的感觉情况</w:t>
            </w:r>
          </w:p>
        </w:tc>
        <w:tc>
          <w:tcPr>
            <w:tcW w:w="174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严重</w:t>
            </w: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1</w:t>
            </w:r>
          </w:p>
        </w:tc>
        <w:tc>
          <w:tcPr>
            <w:tcW w:w="166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一般</w:t>
            </w: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13</w:t>
            </w:r>
          </w:p>
        </w:tc>
        <w:tc>
          <w:tcPr>
            <w:tcW w:w="166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不严重</w:t>
            </w: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36</w:t>
            </w:r>
          </w:p>
        </w:tc>
        <w:tc>
          <w:tcPr>
            <w:tcW w:w="166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w w:val="99"/>
                <w:sz w:val="21"/>
              </w:rPr>
              <w:t>6</w:t>
            </w:r>
          </w:p>
        </w:tc>
        <w:tc>
          <w:tcPr>
            <w:tcW w:w="2822"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局部路段是否有限速标志</w:t>
            </w:r>
          </w:p>
        </w:tc>
        <w:tc>
          <w:tcPr>
            <w:tcW w:w="174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w w:val="99"/>
                <w:sz w:val="21"/>
              </w:rPr>
              <w:t>有</w:t>
            </w: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39</w:t>
            </w:r>
          </w:p>
        </w:tc>
        <w:tc>
          <w:tcPr>
            <w:tcW w:w="166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没有</w:t>
            </w: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6</w:t>
            </w:r>
          </w:p>
        </w:tc>
        <w:tc>
          <w:tcPr>
            <w:tcW w:w="166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没注意</w:t>
            </w: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5</w:t>
            </w:r>
          </w:p>
        </w:tc>
        <w:tc>
          <w:tcPr>
            <w:tcW w:w="166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w w:val="99"/>
                <w:sz w:val="21"/>
              </w:rPr>
              <w:t>7</w:t>
            </w:r>
          </w:p>
        </w:tc>
        <w:tc>
          <w:tcPr>
            <w:tcW w:w="2822"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学校或居民区附近是否有禁鸣标志</w:t>
            </w:r>
          </w:p>
        </w:tc>
        <w:tc>
          <w:tcPr>
            <w:tcW w:w="174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w w:val="99"/>
                <w:sz w:val="21"/>
              </w:rPr>
              <w:t>有</w:t>
            </w: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31</w:t>
            </w:r>
          </w:p>
        </w:tc>
        <w:tc>
          <w:tcPr>
            <w:tcW w:w="166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没有</w:t>
            </w: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15</w:t>
            </w:r>
          </w:p>
        </w:tc>
        <w:tc>
          <w:tcPr>
            <w:tcW w:w="166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没注意</w:t>
            </w: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4</w:t>
            </w:r>
          </w:p>
        </w:tc>
        <w:tc>
          <w:tcPr>
            <w:tcW w:w="166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w w:val="99"/>
                <w:sz w:val="21"/>
              </w:rPr>
              <w:t>8</w:t>
            </w:r>
          </w:p>
        </w:tc>
        <w:tc>
          <w:tcPr>
            <w:tcW w:w="2822"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建议采取何种措施减轻噪声</w:t>
            </w:r>
          </w:p>
          <w:p>
            <w:pPr>
              <w:pStyle w:val="16"/>
              <w:spacing w:before="2"/>
              <w:ind w:left="106" w:lef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影响</w:t>
            </w:r>
          </w:p>
        </w:tc>
        <w:tc>
          <w:tcPr>
            <w:tcW w:w="174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声屏障</w:t>
            </w: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10</w:t>
            </w:r>
          </w:p>
        </w:tc>
        <w:tc>
          <w:tcPr>
            <w:tcW w:w="166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w w:val="99"/>
                <w:sz w:val="21"/>
              </w:rPr>
            </w:pPr>
          </w:p>
        </w:tc>
        <w:tc>
          <w:tcPr>
            <w:tcW w:w="2822" w:type="dxa"/>
            <w:vMerge w:val="continue"/>
            <w:vAlign w:val="center"/>
          </w:tcPr>
          <w:p>
            <w:pPr>
              <w:pStyle w:val="16"/>
              <w:spacing w:before="2"/>
              <w:ind w:left="106" w:leftChars="0"/>
              <w:jc w:val="center"/>
              <w:rPr>
                <w:rFonts w:hint="eastAsia" w:ascii="宋体" w:hAnsi="Times New Roman" w:eastAsia="宋体" w:cs="Times New Roman"/>
                <w:kern w:val="2"/>
                <w:sz w:val="21"/>
                <w:szCs w:val="24"/>
                <w:lang w:val="zh-CN" w:eastAsia="zh-CN" w:bidi="zh-CN"/>
              </w:rPr>
            </w:pPr>
          </w:p>
        </w:tc>
        <w:tc>
          <w:tcPr>
            <w:tcW w:w="1744" w:type="dxa"/>
            <w:vAlign w:val="center"/>
          </w:tcPr>
          <w:p>
            <w:pPr>
              <w:pStyle w:val="16"/>
              <w:spacing w:before="6" w:line="258" w:lineRule="exact"/>
              <w:ind w:left="430" w:leftChars="0" w:right="422"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绿化</w:t>
            </w:r>
          </w:p>
        </w:tc>
        <w:tc>
          <w:tcPr>
            <w:tcW w:w="2125" w:type="dxa"/>
            <w:vAlign w:val="center"/>
          </w:tcPr>
          <w:p>
            <w:pPr>
              <w:pStyle w:val="16"/>
              <w:spacing w:before="20"/>
              <w:ind w:left="832" w:leftChars="0" w:right="822" w:righ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30</w:t>
            </w:r>
          </w:p>
        </w:tc>
        <w:tc>
          <w:tcPr>
            <w:tcW w:w="1663" w:type="dxa"/>
            <w:vAlign w:val="center"/>
          </w:tcPr>
          <w:p>
            <w:pPr>
              <w:pStyle w:val="16"/>
              <w:spacing w:before="20"/>
              <w:ind w:left="285" w:leftChars="0" w:right="273" w:righ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w w:val="99"/>
                <w:sz w:val="21"/>
              </w:rPr>
            </w:pPr>
          </w:p>
        </w:tc>
        <w:tc>
          <w:tcPr>
            <w:tcW w:w="2822"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p>
        </w:tc>
        <w:tc>
          <w:tcPr>
            <w:tcW w:w="1744" w:type="dxa"/>
            <w:vAlign w:val="center"/>
          </w:tcPr>
          <w:p>
            <w:pPr>
              <w:pStyle w:val="16"/>
              <w:spacing w:before="7" w:line="258" w:lineRule="exact"/>
              <w:ind w:left="430" w:leftChars="0" w:right="422"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拆迁</w:t>
            </w:r>
          </w:p>
        </w:tc>
        <w:tc>
          <w:tcPr>
            <w:tcW w:w="2125" w:type="dxa"/>
            <w:vAlign w:val="center"/>
          </w:tcPr>
          <w:p>
            <w:pPr>
              <w:pStyle w:val="16"/>
              <w:spacing w:before="21"/>
              <w:ind w:left="9"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10</w:t>
            </w:r>
          </w:p>
        </w:tc>
        <w:tc>
          <w:tcPr>
            <w:tcW w:w="1663" w:type="dxa"/>
            <w:vAlign w:val="center"/>
          </w:tcPr>
          <w:p>
            <w:pPr>
              <w:pStyle w:val="16"/>
              <w:spacing w:before="21"/>
              <w:ind w:left="6"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w w:val="99"/>
                <w:sz w:val="21"/>
                <w:lang w:val="en-US" w:eastAsia="zh-CN"/>
              </w:rPr>
            </w:pPr>
            <w:r>
              <w:rPr>
                <w:rFonts w:hint="eastAsia" w:eastAsia="宋体"/>
                <w:w w:val="99"/>
                <w:sz w:val="21"/>
                <w:lang w:val="en-US" w:eastAsia="zh-CN"/>
              </w:rPr>
              <w:t>9</w:t>
            </w:r>
          </w:p>
        </w:tc>
        <w:tc>
          <w:tcPr>
            <w:tcW w:w="2822" w:type="dxa"/>
            <w:vMerge w:val="restart"/>
            <w:vAlign w:val="center"/>
          </w:tcPr>
          <w:p>
            <w:pPr>
              <w:pStyle w:val="16"/>
              <w:spacing w:before="165" w:line="244" w:lineRule="auto"/>
              <w:ind w:left="106" w:leftChars="0" w:right="186"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对公路建成后的通行情况的感觉</w:t>
            </w:r>
          </w:p>
        </w:tc>
        <w:tc>
          <w:tcPr>
            <w:tcW w:w="1744" w:type="dxa"/>
            <w:vAlign w:val="center"/>
          </w:tcPr>
          <w:p>
            <w:pPr>
              <w:pStyle w:val="16"/>
              <w:spacing w:before="7" w:line="258" w:lineRule="exact"/>
              <w:ind w:left="373" w:leftChars="0" w:right="425"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满意</w:t>
            </w:r>
          </w:p>
        </w:tc>
        <w:tc>
          <w:tcPr>
            <w:tcW w:w="2125" w:type="dxa"/>
            <w:vAlign w:val="center"/>
          </w:tcPr>
          <w:p>
            <w:pPr>
              <w:pStyle w:val="16"/>
              <w:spacing w:before="21"/>
              <w:ind w:left="832" w:leftChars="0" w:right="822" w:righ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33</w:t>
            </w:r>
          </w:p>
        </w:tc>
        <w:tc>
          <w:tcPr>
            <w:tcW w:w="1663" w:type="dxa"/>
            <w:vAlign w:val="center"/>
          </w:tcPr>
          <w:p>
            <w:pPr>
              <w:pStyle w:val="16"/>
              <w:spacing w:before="21"/>
              <w:ind w:left="285" w:leftChars="0" w:right="273" w:righ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w w:val="99"/>
                <w:sz w:val="21"/>
              </w:rPr>
            </w:pPr>
          </w:p>
        </w:tc>
        <w:tc>
          <w:tcPr>
            <w:tcW w:w="2822"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p>
        </w:tc>
        <w:tc>
          <w:tcPr>
            <w:tcW w:w="0" w:type="auto"/>
            <w:vAlign w:val="center"/>
          </w:tcPr>
          <w:p>
            <w:pPr>
              <w:pStyle w:val="16"/>
              <w:spacing w:before="7" w:line="258" w:lineRule="exact"/>
              <w:ind w:left="430" w:leftChars="0" w:right="425"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基本满意</w:t>
            </w:r>
          </w:p>
        </w:tc>
        <w:tc>
          <w:tcPr>
            <w:tcW w:w="0" w:type="auto"/>
            <w:vAlign w:val="center"/>
          </w:tcPr>
          <w:p>
            <w:pPr>
              <w:pStyle w:val="16"/>
              <w:spacing w:before="21"/>
              <w:ind w:left="9"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9</w:t>
            </w:r>
          </w:p>
        </w:tc>
        <w:tc>
          <w:tcPr>
            <w:tcW w:w="0" w:type="auto"/>
            <w:vAlign w:val="center"/>
          </w:tcPr>
          <w:p>
            <w:pPr>
              <w:pStyle w:val="16"/>
              <w:spacing w:before="21"/>
              <w:ind w:left="285" w:leftChars="0" w:right="273" w:righ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w w:val="99"/>
                <w:sz w:val="21"/>
              </w:rPr>
            </w:pPr>
          </w:p>
        </w:tc>
        <w:tc>
          <w:tcPr>
            <w:tcW w:w="2822"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p>
        </w:tc>
        <w:tc>
          <w:tcPr>
            <w:tcW w:w="0" w:type="auto"/>
            <w:vAlign w:val="center"/>
          </w:tcPr>
          <w:p>
            <w:pPr>
              <w:pStyle w:val="16"/>
              <w:spacing w:before="7" w:line="257" w:lineRule="exact"/>
              <w:ind w:left="430" w:leftChars="0" w:right="422"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不满意</w:t>
            </w:r>
          </w:p>
        </w:tc>
        <w:tc>
          <w:tcPr>
            <w:tcW w:w="0" w:type="auto"/>
            <w:vAlign w:val="center"/>
          </w:tcPr>
          <w:p>
            <w:pPr>
              <w:pStyle w:val="16"/>
              <w:spacing w:before="21"/>
              <w:ind w:left="9"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8</w:t>
            </w:r>
          </w:p>
        </w:tc>
        <w:tc>
          <w:tcPr>
            <w:tcW w:w="0" w:type="auto"/>
            <w:vAlign w:val="center"/>
          </w:tcPr>
          <w:p>
            <w:pPr>
              <w:pStyle w:val="16"/>
              <w:spacing w:before="21"/>
              <w:ind w:left="6"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w w:val="99"/>
                <w:sz w:val="21"/>
                <w:lang w:val="en-US" w:eastAsia="zh-CN"/>
              </w:rPr>
            </w:pPr>
            <w:r>
              <w:rPr>
                <w:rFonts w:hint="eastAsia" w:eastAsia="宋体"/>
                <w:w w:val="99"/>
                <w:sz w:val="21"/>
                <w:lang w:val="en-US" w:eastAsia="zh-CN"/>
              </w:rPr>
              <w:t>10</w:t>
            </w:r>
          </w:p>
        </w:tc>
        <w:tc>
          <w:tcPr>
            <w:tcW w:w="2822" w:type="dxa"/>
            <w:vMerge w:val="restart"/>
            <w:vAlign w:val="center"/>
          </w:tcPr>
          <w:p>
            <w:pPr>
              <w:pStyle w:val="16"/>
              <w:spacing w:before="29" w:line="242" w:lineRule="auto"/>
              <w:ind w:left="106" w:leftChars="0" w:right="186"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运输危险品时，公路管理部门和其它部门是否对您有限制或要求</w:t>
            </w:r>
          </w:p>
        </w:tc>
        <w:tc>
          <w:tcPr>
            <w:tcW w:w="0" w:type="auto"/>
            <w:vAlign w:val="center"/>
          </w:tcPr>
          <w:p>
            <w:pPr>
              <w:pStyle w:val="16"/>
              <w:spacing w:before="8" w:line="257" w:lineRule="exact"/>
              <w:ind w:left="5" w:leftChars="0"/>
              <w:jc w:val="center"/>
              <w:rPr>
                <w:rFonts w:hint="eastAsia" w:ascii="宋体" w:hAnsi="Times New Roman" w:eastAsia="宋体" w:cs="Times New Roman"/>
                <w:kern w:val="2"/>
                <w:sz w:val="21"/>
                <w:szCs w:val="24"/>
                <w:lang w:val="zh-CN" w:eastAsia="zh-CN" w:bidi="zh-CN"/>
              </w:rPr>
            </w:pPr>
            <w:r>
              <w:rPr>
                <w:rFonts w:hint="eastAsia" w:ascii="宋体" w:eastAsia="宋体"/>
                <w:w w:val="99"/>
                <w:sz w:val="21"/>
              </w:rPr>
              <w:t>有</w:t>
            </w:r>
          </w:p>
        </w:tc>
        <w:tc>
          <w:tcPr>
            <w:tcW w:w="0" w:type="auto"/>
            <w:vAlign w:val="center"/>
          </w:tcPr>
          <w:p>
            <w:pPr>
              <w:pStyle w:val="16"/>
              <w:spacing w:before="21"/>
              <w:ind w:left="832" w:leftChars="0" w:right="822" w:righ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0</w:t>
            </w:r>
          </w:p>
        </w:tc>
        <w:tc>
          <w:tcPr>
            <w:tcW w:w="0" w:type="auto"/>
            <w:vAlign w:val="center"/>
          </w:tcPr>
          <w:p>
            <w:pPr>
              <w:pStyle w:val="16"/>
              <w:spacing w:before="21"/>
              <w:ind w:left="285" w:leftChars="0" w:right="273" w:righ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w w:val="99"/>
                <w:sz w:val="21"/>
              </w:rPr>
            </w:pPr>
          </w:p>
        </w:tc>
        <w:tc>
          <w:tcPr>
            <w:tcW w:w="2822"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p>
        </w:tc>
        <w:tc>
          <w:tcPr>
            <w:tcW w:w="0" w:type="auto"/>
            <w:vAlign w:val="center"/>
          </w:tcPr>
          <w:p>
            <w:pPr>
              <w:pStyle w:val="16"/>
              <w:spacing w:before="8" w:line="257" w:lineRule="exact"/>
              <w:ind w:left="430" w:leftChars="0" w:right="422"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没有</w:t>
            </w:r>
          </w:p>
        </w:tc>
        <w:tc>
          <w:tcPr>
            <w:tcW w:w="0" w:type="auto"/>
            <w:vAlign w:val="center"/>
          </w:tcPr>
          <w:p>
            <w:pPr>
              <w:pStyle w:val="16"/>
              <w:spacing w:before="22"/>
              <w:ind w:left="9"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0</w:t>
            </w:r>
          </w:p>
        </w:tc>
        <w:tc>
          <w:tcPr>
            <w:tcW w:w="0" w:type="auto"/>
            <w:vAlign w:val="center"/>
          </w:tcPr>
          <w:p>
            <w:pPr>
              <w:pStyle w:val="16"/>
              <w:spacing w:before="22"/>
              <w:ind w:left="6"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w w:val="99"/>
                <w:sz w:val="21"/>
              </w:rPr>
            </w:pPr>
          </w:p>
        </w:tc>
        <w:tc>
          <w:tcPr>
            <w:tcW w:w="2822"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p>
        </w:tc>
        <w:tc>
          <w:tcPr>
            <w:tcW w:w="0" w:type="auto"/>
            <w:vAlign w:val="center"/>
          </w:tcPr>
          <w:p>
            <w:pPr>
              <w:pStyle w:val="16"/>
              <w:spacing w:before="8" w:line="257" w:lineRule="exact"/>
              <w:ind w:left="430" w:leftChars="0" w:right="422"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不知道</w:t>
            </w:r>
          </w:p>
        </w:tc>
        <w:tc>
          <w:tcPr>
            <w:tcW w:w="0" w:type="auto"/>
            <w:vAlign w:val="center"/>
          </w:tcPr>
          <w:p>
            <w:pPr>
              <w:pStyle w:val="16"/>
              <w:spacing w:before="22"/>
              <w:ind w:left="832" w:leftChars="0" w:right="822" w:righ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50</w:t>
            </w:r>
          </w:p>
        </w:tc>
        <w:tc>
          <w:tcPr>
            <w:tcW w:w="0" w:type="auto"/>
            <w:vAlign w:val="center"/>
          </w:tcPr>
          <w:p>
            <w:pPr>
              <w:pStyle w:val="16"/>
              <w:spacing w:before="22"/>
              <w:ind w:left="285" w:leftChars="0" w:right="273" w:righ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w w:val="99"/>
                <w:sz w:val="21"/>
                <w:lang w:val="en-US" w:eastAsia="zh-CN"/>
              </w:rPr>
            </w:pPr>
            <w:r>
              <w:rPr>
                <w:rFonts w:hint="eastAsia" w:eastAsia="宋体"/>
                <w:w w:val="99"/>
                <w:sz w:val="21"/>
                <w:lang w:val="en-US" w:eastAsia="zh-CN"/>
              </w:rPr>
              <w:t>11</w:t>
            </w:r>
          </w:p>
        </w:tc>
        <w:tc>
          <w:tcPr>
            <w:tcW w:w="2822" w:type="dxa"/>
            <w:vMerge w:val="restart"/>
            <w:vAlign w:val="center"/>
          </w:tcPr>
          <w:p>
            <w:pPr>
              <w:pStyle w:val="16"/>
              <w:spacing w:before="166" w:line="242" w:lineRule="auto"/>
              <w:ind w:left="106" w:leftChars="0" w:right="186"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对公路工程基本设施满意度如何</w:t>
            </w:r>
          </w:p>
        </w:tc>
        <w:tc>
          <w:tcPr>
            <w:tcW w:w="0" w:type="auto"/>
            <w:vAlign w:val="center"/>
          </w:tcPr>
          <w:p>
            <w:pPr>
              <w:pStyle w:val="16"/>
              <w:spacing w:before="6" w:line="259" w:lineRule="exact"/>
              <w:ind w:left="430" w:leftChars="0" w:right="422"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满意</w:t>
            </w:r>
          </w:p>
        </w:tc>
        <w:tc>
          <w:tcPr>
            <w:tcW w:w="0" w:type="auto"/>
            <w:vAlign w:val="center"/>
          </w:tcPr>
          <w:p>
            <w:pPr>
              <w:pStyle w:val="16"/>
              <w:spacing w:before="20"/>
              <w:ind w:left="832" w:leftChars="0" w:right="822" w:righ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36</w:t>
            </w:r>
          </w:p>
        </w:tc>
        <w:tc>
          <w:tcPr>
            <w:tcW w:w="0" w:type="auto"/>
            <w:vAlign w:val="center"/>
          </w:tcPr>
          <w:p>
            <w:pPr>
              <w:pStyle w:val="16"/>
              <w:spacing w:before="20"/>
              <w:ind w:left="285" w:leftChars="0" w:right="273" w:righ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w w:val="99"/>
                <w:sz w:val="21"/>
              </w:rPr>
            </w:pPr>
          </w:p>
        </w:tc>
        <w:tc>
          <w:tcPr>
            <w:tcW w:w="2822"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p>
        </w:tc>
        <w:tc>
          <w:tcPr>
            <w:tcW w:w="0" w:type="auto"/>
            <w:vAlign w:val="center"/>
          </w:tcPr>
          <w:p>
            <w:pPr>
              <w:pStyle w:val="16"/>
              <w:spacing w:before="6" w:line="259" w:lineRule="exact"/>
              <w:ind w:left="430" w:leftChars="0" w:right="425"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基本满意</w:t>
            </w:r>
          </w:p>
        </w:tc>
        <w:tc>
          <w:tcPr>
            <w:tcW w:w="0" w:type="auto"/>
            <w:vAlign w:val="center"/>
          </w:tcPr>
          <w:p>
            <w:pPr>
              <w:pStyle w:val="16"/>
              <w:spacing w:before="20"/>
              <w:ind w:left="9"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9</w:t>
            </w:r>
          </w:p>
        </w:tc>
        <w:tc>
          <w:tcPr>
            <w:tcW w:w="0" w:type="auto"/>
            <w:vAlign w:val="center"/>
          </w:tcPr>
          <w:p>
            <w:pPr>
              <w:pStyle w:val="16"/>
              <w:spacing w:before="20"/>
              <w:ind w:left="6"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w w:val="99"/>
                <w:sz w:val="21"/>
              </w:rPr>
            </w:pPr>
          </w:p>
        </w:tc>
        <w:tc>
          <w:tcPr>
            <w:tcW w:w="2822"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p>
        </w:tc>
        <w:tc>
          <w:tcPr>
            <w:tcW w:w="0" w:type="auto"/>
            <w:vAlign w:val="center"/>
          </w:tcPr>
          <w:p>
            <w:pPr>
              <w:pStyle w:val="16"/>
              <w:spacing w:before="6" w:line="259" w:lineRule="exact"/>
              <w:ind w:left="430" w:leftChars="0" w:right="422"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不满意</w:t>
            </w:r>
          </w:p>
        </w:tc>
        <w:tc>
          <w:tcPr>
            <w:tcW w:w="0" w:type="auto"/>
            <w:vAlign w:val="center"/>
          </w:tcPr>
          <w:p>
            <w:pPr>
              <w:pStyle w:val="16"/>
              <w:spacing w:before="20"/>
              <w:ind w:left="9"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5</w:t>
            </w:r>
          </w:p>
        </w:tc>
        <w:tc>
          <w:tcPr>
            <w:tcW w:w="0" w:type="auto"/>
            <w:vAlign w:val="center"/>
          </w:tcPr>
          <w:p>
            <w:pPr>
              <w:pStyle w:val="16"/>
              <w:spacing w:before="20"/>
              <w:ind w:left="6"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w w:val="99"/>
                <w:sz w:val="21"/>
                <w:lang w:val="en-US" w:eastAsia="zh-CN"/>
              </w:rPr>
            </w:pPr>
            <w:r>
              <w:rPr>
                <w:rFonts w:hint="eastAsia" w:eastAsia="宋体"/>
                <w:w w:val="99"/>
                <w:sz w:val="21"/>
                <w:lang w:val="en-US" w:eastAsia="zh-CN"/>
              </w:rPr>
              <w:t>12</w:t>
            </w:r>
          </w:p>
        </w:tc>
        <w:tc>
          <w:tcPr>
            <w:tcW w:w="2822" w:type="dxa"/>
            <w:vMerge w:val="restart"/>
            <w:vAlign w:val="center"/>
          </w:tcPr>
          <w:p>
            <w:pPr>
              <w:pStyle w:val="16"/>
              <w:spacing w:line="242" w:lineRule="auto"/>
              <w:ind w:left="106" w:leftChars="0" w:right="186"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您对本公路工程环境保护工作的总体评价</w:t>
            </w:r>
          </w:p>
        </w:tc>
        <w:tc>
          <w:tcPr>
            <w:tcW w:w="0" w:type="auto"/>
            <w:vAlign w:val="center"/>
          </w:tcPr>
          <w:p>
            <w:pPr>
              <w:pStyle w:val="16"/>
              <w:spacing w:before="6" w:line="258" w:lineRule="exact"/>
              <w:ind w:left="430" w:leftChars="0" w:right="422"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满意</w:t>
            </w:r>
          </w:p>
        </w:tc>
        <w:tc>
          <w:tcPr>
            <w:tcW w:w="0" w:type="auto"/>
            <w:vAlign w:val="center"/>
          </w:tcPr>
          <w:p>
            <w:pPr>
              <w:pStyle w:val="16"/>
              <w:spacing w:before="20"/>
              <w:ind w:left="832" w:leftChars="0" w:right="822" w:righ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39</w:t>
            </w:r>
          </w:p>
        </w:tc>
        <w:tc>
          <w:tcPr>
            <w:tcW w:w="0" w:type="auto"/>
            <w:vAlign w:val="center"/>
          </w:tcPr>
          <w:p>
            <w:pPr>
              <w:pStyle w:val="16"/>
              <w:spacing w:before="20"/>
              <w:ind w:left="285" w:leftChars="0" w:right="273" w:righ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w w:val="99"/>
                <w:sz w:val="21"/>
              </w:rPr>
            </w:pPr>
          </w:p>
        </w:tc>
        <w:tc>
          <w:tcPr>
            <w:tcW w:w="2822"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p>
        </w:tc>
        <w:tc>
          <w:tcPr>
            <w:tcW w:w="0" w:type="auto"/>
            <w:vAlign w:val="center"/>
          </w:tcPr>
          <w:p>
            <w:pPr>
              <w:pStyle w:val="16"/>
              <w:spacing w:before="6" w:line="258" w:lineRule="exact"/>
              <w:ind w:left="430" w:leftChars="0" w:right="425"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基本满意</w:t>
            </w:r>
          </w:p>
        </w:tc>
        <w:tc>
          <w:tcPr>
            <w:tcW w:w="0" w:type="auto"/>
            <w:vAlign w:val="center"/>
          </w:tcPr>
          <w:p>
            <w:pPr>
              <w:pStyle w:val="16"/>
              <w:spacing w:before="20"/>
              <w:ind w:left="9"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11</w:t>
            </w:r>
          </w:p>
        </w:tc>
        <w:tc>
          <w:tcPr>
            <w:tcW w:w="0" w:type="auto"/>
            <w:vAlign w:val="center"/>
          </w:tcPr>
          <w:p>
            <w:pPr>
              <w:pStyle w:val="16"/>
              <w:spacing w:before="20"/>
              <w:ind w:left="6"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w w:val="99"/>
                <w:sz w:val="21"/>
              </w:rPr>
            </w:pPr>
          </w:p>
        </w:tc>
        <w:tc>
          <w:tcPr>
            <w:tcW w:w="2822"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p>
        </w:tc>
        <w:tc>
          <w:tcPr>
            <w:tcW w:w="0" w:type="auto"/>
            <w:vAlign w:val="center"/>
          </w:tcPr>
          <w:p>
            <w:pPr>
              <w:pStyle w:val="16"/>
              <w:spacing w:before="7" w:line="258" w:lineRule="exact"/>
              <w:ind w:left="430" w:leftChars="0" w:right="422"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不满意</w:t>
            </w:r>
          </w:p>
        </w:tc>
        <w:tc>
          <w:tcPr>
            <w:tcW w:w="0" w:type="auto"/>
            <w:vAlign w:val="center"/>
          </w:tcPr>
          <w:p>
            <w:pPr>
              <w:pStyle w:val="16"/>
              <w:spacing w:before="21"/>
              <w:ind w:left="9"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0</w:t>
            </w:r>
          </w:p>
        </w:tc>
        <w:tc>
          <w:tcPr>
            <w:tcW w:w="0" w:type="auto"/>
            <w:vAlign w:val="center"/>
          </w:tcPr>
          <w:p>
            <w:pPr>
              <w:pStyle w:val="16"/>
              <w:spacing w:before="21"/>
              <w:ind w:left="6"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w w:val="99"/>
                <w:sz w:val="21"/>
              </w:rPr>
            </w:pPr>
          </w:p>
        </w:tc>
        <w:tc>
          <w:tcPr>
            <w:tcW w:w="2822"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p>
        </w:tc>
        <w:tc>
          <w:tcPr>
            <w:tcW w:w="0" w:type="auto"/>
            <w:vAlign w:val="center"/>
          </w:tcPr>
          <w:p>
            <w:pPr>
              <w:pStyle w:val="16"/>
              <w:spacing w:before="7" w:line="258" w:lineRule="exact"/>
              <w:ind w:left="430" w:leftChars="0" w:right="422"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无所谓</w:t>
            </w:r>
          </w:p>
        </w:tc>
        <w:tc>
          <w:tcPr>
            <w:tcW w:w="0" w:type="auto"/>
            <w:vAlign w:val="center"/>
          </w:tcPr>
          <w:p>
            <w:pPr>
              <w:pStyle w:val="16"/>
              <w:spacing w:before="21"/>
              <w:ind w:left="9"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0</w:t>
            </w:r>
          </w:p>
        </w:tc>
        <w:tc>
          <w:tcPr>
            <w:tcW w:w="0" w:type="auto"/>
            <w:vAlign w:val="center"/>
          </w:tcPr>
          <w:p>
            <w:pPr>
              <w:pStyle w:val="16"/>
              <w:spacing w:before="21"/>
              <w:ind w:left="6"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经过对司乘人员调查意见的统计分析可知：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1、96%的司乘人员认为公路的修建有利于本地区的经济发展。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3、100%的司乘人员表示对沿线公路绿化情况满意或基本满意。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4、94%的司乘人员认为公路汽车尾气排放不严重，6%认为一般。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5、68%的司乘人员认为公路运行车辆堵塞情况不严重，2%认为一般严重有20%的任务严重。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6、72%的司乘人员认为公路上噪声影响的感觉情况不严重，26%认为一般，2%认为严重。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7、78%的司乘人员认为有限速标志意，12%认为没有，10%表示没有注意到。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8、8%的司乘人员没有注意到学校或居民区附近是否有禁鸣标志，30%表示没有，62%认为有禁鸣标志。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9、60%的司乘人员建议加强沿线绿化减轻噪声影响，20%的建议安装声屏障减轻噪声影响，20%认为应予以搬迁。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10、84%的司乘人员对公路建成后的通行情况表示满意或基本满意，16%表示不满意。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11、100%的司乘人员表示公路管理部门和其它部门对运输危险品有限制或要求不知道。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12、90%的司乘人员对本工程基本设施表示满意或基本满意，10%认为不满意。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13、100%的司乘人员对本工程环境保护工作的总体评价为满意或基本满意。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default" w:ascii="Times New Roman" w:hAnsi="Times New Roman" w:eastAsia="宋体" w:cs="Times New Roman"/>
          <w:sz w:val="24"/>
          <w:szCs w:val="24"/>
          <w:lang w:val="en-US" w:eastAsia="zh-CN"/>
        </w:rPr>
      </w:pPr>
      <w:bookmarkStart w:id="71" w:name="_Toc22743"/>
      <w:r>
        <w:rPr>
          <w:rFonts w:hint="eastAsia" w:ascii="Times New Roman" w:hAnsi="Times New Roman" w:eastAsia="宋体" w:cs="Times New Roman"/>
          <w:sz w:val="24"/>
          <w:szCs w:val="24"/>
          <w:lang w:val="en-US" w:eastAsia="zh-CN"/>
        </w:rPr>
        <w:t>8.2.2道路沿线公众</w:t>
      </w:r>
      <w:bookmarkEnd w:id="7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本次调查询问道路沿线公众人员80人，调查范围涵盖沿线居民点，被调查对象全部为受本工程直接影响的沿线居民。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调查对象组成结构见表8.2.2-1.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表8.2.2-1司乘人员调查对象组成</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4"/>
        <w:gridCol w:w="2125"/>
        <w:gridCol w:w="2125"/>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blHeader/>
        </w:trPr>
        <w:tc>
          <w:tcPr>
            <w:tcW w:w="424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组成结构</w:t>
            </w:r>
          </w:p>
        </w:tc>
        <w:tc>
          <w:tcPr>
            <w:tcW w:w="2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人数（人）</w:t>
            </w:r>
          </w:p>
        </w:tc>
        <w:tc>
          <w:tcPr>
            <w:tcW w:w="2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trPr>
        <w:tc>
          <w:tcPr>
            <w:tcW w:w="212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性别</w:t>
            </w:r>
          </w:p>
        </w:tc>
        <w:tc>
          <w:tcPr>
            <w:tcW w:w="2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男</w:t>
            </w:r>
          </w:p>
        </w:tc>
        <w:tc>
          <w:tcPr>
            <w:tcW w:w="2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51</w:t>
            </w:r>
          </w:p>
        </w:tc>
        <w:tc>
          <w:tcPr>
            <w:tcW w:w="2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 xml:space="preserve">63.75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trPr>
        <w:tc>
          <w:tcPr>
            <w:tcW w:w="21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p>
        </w:tc>
        <w:tc>
          <w:tcPr>
            <w:tcW w:w="2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女</w:t>
            </w:r>
          </w:p>
        </w:tc>
        <w:tc>
          <w:tcPr>
            <w:tcW w:w="2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29</w:t>
            </w:r>
          </w:p>
        </w:tc>
        <w:tc>
          <w:tcPr>
            <w:tcW w:w="2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 xml:space="preserve">36.25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trPr>
        <w:tc>
          <w:tcPr>
            <w:tcW w:w="212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年龄</w:t>
            </w: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4"/>
                <w:lang w:val="en-US" w:eastAsia="zh-CN" w:bidi="zh-CN"/>
              </w:rPr>
            </w:pPr>
            <w:r>
              <w:rPr>
                <w:rFonts w:hint="default" w:ascii="Times New Roman" w:hAnsi="Times New Roman" w:eastAsia="宋体" w:cs="Times New Roman"/>
                <w:sz w:val="21"/>
              </w:rPr>
              <w:t>30 岁以下</w:t>
            </w:r>
          </w:p>
        </w:tc>
        <w:tc>
          <w:tcPr>
            <w:tcW w:w="2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19</w:t>
            </w:r>
          </w:p>
        </w:tc>
        <w:tc>
          <w:tcPr>
            <w:tcW w:w="2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 xml:space="preserve">23.75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trPr>
        <w:tc>
          <w:tcPr>
            <w:tcW w:w="21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p>
        </w:tc>
        <w:tc>
          <w:tcPr>
            <w:tcW w:w="2125"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4"/>
                <w:lang w:val="en-US" w:eastAsia="zh-CN" w:bidi="zh-CN"/>
              </w:rPr>
            </w:pPr>
            <w:r>
              <w:rPr>
                <w:rFonts w:hint="default" w:ascii="Times New Roman" w:hAnsi="Times New Roman" w:eastAsia="宋体" w:cs="Times New Roman"/>
                <w:sz w:val="21"/>
              </w:rPr>
              <w:t>30-39 岁</w:t>
            </w:r>
          </w:p>
        </w:tc>
        <w:tc>
          <w:tcPr>
            <w:tcW w:w="2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32</w:t>
            </w:r>
          </w:p>
        </w:tc>
        <w:tc>
          <w:tcPr>
            <w:tcW w:w="2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 xml:space="preserve">40.00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trPr>
        <w:tc>
          <w:tcPr>
            <w:tcW w:w="21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p>
        </w:tc>
        <w:tc>
          <w:tcPr>
            <w:tcW w:w="0" w:type="auto"/>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4"/>
                <w:lang w:val="en-US" w:eastAsia="zh-CN" w:bidi="zh-CN"/>
              </w:rPr>
            </w:pPr>
            <w:r>
              <w:rPr>
                <w:rFonts w:hint="default" w:ascii="Times New Roman" w:hAnsi="Times New Roman" w:eastAsia="宋体" w:cs="Times New Roman"/>
                <w:sz w:val="21"/>
              </w:rPr>
              <w:t>40 岁以上</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29</w:t>
            </w:r>
          </w:p>
        </w:tc>
        <w:tc>
          <w:tcPr>
            <w:tcW w:w="2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 xml:space="preserve">36.25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trPr>
        <w:tc>
          <w:tcPr>
            <w:tcW w:w="212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文化程度</w:t>
            </w:r>
          </w:p>
        </w:tc>
        <w:tc>
          <w:tcPr>
            <w:tcW w:w="0" w:type="auto"/>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小学及以下</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19</w:t>
            </w:r>
          </w:p>
        </w:tc>
        <w:tc>
          <w:tcPr>
            <w:tcW w:w="2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 xml:space="preserve">23.75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trPr>
        <w:tc>
          <w:tcPr>
            <w:tcW w:w="21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p>
        </w:tc>
        <w:tc>
          <w:tcPr>
            <w:tcW w:w="0" w:type="auto"/>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中学</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30</w:t>
            </w:r>
          </w:p>
        </w:tc>
        <w:tc>
          <w:tcPr>
            <w:tcW w:w="2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 xml:space="preserve">37.50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exact"/>
        </w:trPr>
        <w:tc>
          <w:tcPr>
            <w:tcW w:w="21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p>
        </w:tc>
        <w:tc>
          <w:tcPr>
            <w:tcW w:w="0" w:type="auto"/>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大学及以上</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31</w:t>
            </w:r>
          </w:p>
        </w:tc>
        <w:tc>
          <w:tcPr>
            <w:tcW w:w="2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 xml:space="preserve">38.75 </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从上表可以看出，本次沿线居民调查对象多为男性，文化程度为中小学，年多在30~39岁之间。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调查结果统计详见表8.2.2-2。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表8.2.2-2沿线居民调查统计表</w:t>
      </w:r>
    </w:p>
    <w:tbl>
      <w:tblPr>
        <w:tblStyle w:val="10"/>
        <w:tblW w:w="82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9"/>
        <w:gridCol w:w="2346"/>
        <w:gridCol w:w="1818"/>
        <w:gridCol w:w="1730"/>
        <w:gridCol w:w="17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jc w:val="center"/>
        </w:trPr>
        <w:tc>
          <w:tcPr>
            <w:tcW w:w="689"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w w:val="99"/>
                <w:sz w:val="21"/>
                <w:szCs w:val="21"/>
              </w:rPr>
              <w:t>序号</w:t>
            </w:r>
          </w:p>
        </w:tc>
        <w:tc>
          <w:tcPr>
            <w:tcW w:w="234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调查内容</w:t>
            </w:r>
          </w:p>
        </w:tc>
        <w:tc>
          <w:tcPr>
            <w:tcW w:w="1818"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态度</w:t>
            </w:r>
          </w:p>
        </w:tc>
        <w:tc>
          <w:tcPr>
            <w:tcW w:w="1730"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人数</w:t>
            </w:r>
          </w:p>
        </w:tc>
        <w:tc>
          <w:tcPr>
            <w:tcW w:w="1709"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jc w:val="center"/>
        </w:trPr>
        <w:tc>
          <w:tcPr>
            <w:tcW w:w="689"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1</w:t>
            </w:r>
          </w:p>
        </w:tc>
        <w:tc>
          <w:tcPr>
            <w:tcW w:w="2346"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修建该公路是否有利于本地区的经济发展</w:t>
            </w:r>
          </w:p>
        </w:tc>
        <w:tc>
          <w:tcPr>
            <w:tcW w:w="1818"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有利</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51</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63.75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jc w:val="center"/>
        </w:trPr>
        <w:tc>
          <w:tcPr>
            <w:tcW w:w="689"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346"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1818"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不利</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15</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18.75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jc w:val="center"/>
        </w:trPr>
        <w:tc>
          <w:tcPr>
            <w:tcW w:w="689"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346"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1818"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不知道</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14</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17.50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689"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2</w:t>
            </w:r>
          </w:p>
        </w:tc>
        <w:tc>
          <w:tcPr>
            <w:tcW w:w="2346"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施工期对您影响最大的方面是什么</w:t>
            </w:r>
          </w:p>
        </w:tc>
        <w:tc>
          <w:tcPr>
            <w:tcW w:w="1818"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41</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51.25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jc w:val="center"/>
        </w:trPr>
        <w:tc>
          <w:tcPr>
            <w:tcW w:w="689"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346"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1818"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粉尘</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25</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31.25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jc w:val="center"/>
        </w:trPr>
        <w:tc>
          <w:tcPr>
            <w:tcW w:w="689"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346"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1818"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灌溉泄洪</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jc w:val="center"/>
        </w:trPr>
        <w:tc>
          <w:tcPr>
            <w:tcW w:w="689"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346"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1818" w:type="dxa"/>
            <w:vAlign w:val="center"/>
          </w:tcPr>
          <w:p>
            <w:pPr>
              <w:pStyle w:val="16"/>
              <w:spacing w:line="252" w:lineRule="exact"/>
              <w:ind w:left="119" w:leftChars="0" w:right="113"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其它</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14</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17.50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jc w:val="center"/>
        </w:trPr>
        <w:tc>
          <w:tcPr>
            <w:tcW w:w="689"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3</w:t>
            </w:r>
          </w:p>
        </w:tc>
        <w:tc>
          <w:tcPr>
            <w:tcW w:w="2346"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居民区附近150m内是否曾设有料场或搅拌站</w:t>
            </w:r>
          </w:p>
        </w:tc>
        <w:tc>
          <w:tcPr>
            <w:tcW w:w="1818" w:type="dxa"/>
            <w:vAlign w:val="center"/>
          </w:tcPr>
          <w:p>
            <w:pPr>
              <w:pStyle w:val="16"/>
              <w:spacing w:line="252" w:lineRule="exact"/>
              <w:ind w:left="119" w:leftChars="0" w:right="113"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2</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2.50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jc w:val="center"/>
        </w:trPr>
        <w:tc>
          <w:tcPr>
            <w:tcW w:w="689"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346"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1818" w:type="dxa"/>
            <w:vAlign w:val="center"/>
          </w:tcPr>
          <w:p>
            <w:pPr>
              <w:pStyle w:val="16"/>
              <w:spacing w:line="252" w:lineRule="exact"/>
              <w:ind w:left="119" w:leftChars="0" w:right="113"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没有</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67</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83.75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jc w:val="center"/>
        </w:trPr>
        <w:tc>
          <w:tcPr>
            <w:tcW w:w="689"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346"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1818"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没注意</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11</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13.75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jc w:val="center"/>
        </w:trPr>
        <w:tc>
          <w:tcPr>
            <w:tcW w:w="689"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4</w:t>
            </w:r>
          </w:p>
        </w:tc>
        <w:tc>
          <w:tcPr>
            <w:tcW w:w="2346"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4"/>
                <w:sz w:val="21"/>
                <w:szCs w:val="21"/>
              </w:rPr>
              <w:t>居民区</w:t>
            </w:r>
            <w:r>
              <w:rPr>
                <w:rFonts w:hint="default" w:ascii="Times New Roman" w:hAnsi="Times New Roman" w:eastAsia="宋体" w:cs="Times New Roman"/>
                <w:sz w:val="21"/>
                <w:szCs w:val="21"/>
              </w:rPr>
              <w:t>22:00</w:t>
            </w:r>
            <w:r>
              <w:rPr>
                <w:rFonts w:hint="default" w:ascii="Times New Roman" w:hAnsi="Times New Roman" w:eastAsia="宋体" w:cs="Times New Roman"/>
                <w:spacing w:val="-13"/>
                <w:sz w:val="21"/>
                <w:szCs w:val="21"/>
              </w:rPr>
              <w:t>至早晨</w:t>
            </w:r>
            <w:r>
              <w:rPr>
                <w:rFonts w:hint="default" w:ascii="Times New Roman" w:hAnsi="Times New Roman" w:eastAsia="宋体" w:cs="Times New Roman"/>
                <w:sz w:val="21"/>
                <w:szCs w:val="21"/>
              </w:rPr>
              <w:t>6:00</w:t>
            </w:r>
            <w:r>
              <w:rPr>
                <w:rFonts w:hint="default" w:ascii="Times New Roman" w:hAnsi="Times New Roman" w:eastAsia="宋体" w:cs="Times New Roman"/>
                <w:spacing w:val="-1"/>
                <w:sz w:val="21"/>
                <w:szCs w:val="21"/>
              </w:rPr>
              <w:t>时段内，是否有使用高噪</w:t>
            </w:r>
            <w:r>
              <w:rPr>
                <w:rFonts w:hint="default" w:ascii="Times New Roman" w:hAnsi="Times New Roman" w:eastAsia="宋体" w:cs="Times New Roman"/>
                <w:sz w:val="21"/>
                <w:szCs w:val="21"/>
              </w:rPr>
              <w:t>声机械施工现象</w:t>
            </w:r>
          </w:p>
        </w:tc>
        <w:tc>
          <w:tcPr>
            <w:tcW w:w="1818"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常有</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1.25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jc w:val="center"/>
        </w:trPr>
        <w:tc>
          <w:tcPr>
            <w:tcW w:w="689"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346"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1818"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偶尔有</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18</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22.50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jc w:val="center"/>
        </w:trPr>
        <w:tc>
          <w:tcPr>
            <w:tcW w:w="689"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346"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1818"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没有</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61</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76.25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jc w:val="center"/>
        </w:trPr>
        <w:tc>
          <w:tcPr>
            <w:tcW w:w="689"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5</w:t>
            </w:r>
          </w:p>
        </w:tc>
        <w:tc>
          <w:tcPr>
            <w:tcW w:w="2346"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公路临时占地是否采取了复垦、恢复等措施</w:t>
            </w:r>
          </w:p>
        </w:tc>
        <w:tc>
          <w:tcPr>
            <w:tcW w:w="1818" w:type="dxa"/>
            <w:vAlign w:val="center"/>
          </w:tcPr>
          <w:p>
            <w:pPr>
              <w:pStyle w:val="16"/>
              <w:spacing w:line="252" w:lineRule="exact"/>
              <w:ind w:left="119" w:leftChars="0" w:right="113"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65</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81.25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jc w:val="center"/>
        </w:trPr>
        <w:tc>
          <w:tcPr>
            <w:tcW w:w="689"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346"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1818" w:type="dxa"/>
            <w:vAlign w:val="center"/>
          </w:tcPr>
          <w:p>
            <w:pPr>
              <w:pStyle w:val="16"/>
              <w:spacing w:line="252" w:lineRule="exact"/>
              <w:ind w:left="119" w:leftChars="0" w:right="113"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15</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18.75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jc w:val="center"/>
        </w:trPr>
        <w:tc>
          <w:tcPr>
            <w:tcW w:w="689"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6</w:t>
            </w:r>
          </w:p>
        </w:tc>
        <w:tc>
          <w:tcPr>
            <w:tcW w:w="2346"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占压农业水利设施时，是否采取了临时应急措施</w:t>
            </w:r>
          </w:p>
        </w:tc>
        <w:tc>
          <w:tcPr>
            <w:tcW w:w="1818" w:type="dxa"/>
            <w:vAlign w:val="center"/>
          </w:tcPr>
          <w:p>
            <w:pPr>
              <w:pStyle w:val="16"/>
              <w:spacing w:line="252" w:lineRule="exact"/>
              <w:ind w:left="119" w:leftChars="0" w:right="113"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59</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73.75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jc w:val="center"/>
        </w:trPr>
        <w:tc>
          <w:tcPr>
            <w:tcW w:w="689"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346"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1818" w:type="dxa"/>
            <w:vAlign w:val="center"/>
          </w:tcPr>
          <w:p>
            <w:pPr>
              <w:pStyle w:val="16"/>
              <w:spacing w:line="252" w:lineRule="exact"/>
              <w:ind w:left="119" w:leftChars="0" w:right="113"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21</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26.25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689"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7</w:t>
            </w:r>
          </w:p>
        </w:tc>
        <w:tc>
          <w:tcPr>
            <w:tcW w:w="2346"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取土场、弃土场是否采取了临时应急措施</w:t>
            </w:r>
          </w:p>
        </w:tc>
        <w:tc>
          <w:tcPr>
            <w:tcW w:w="1818" w:type="dxa"/>
            <w:vAlign w:val="center"/>
          </w:tcPr>
          <w:p>
            <w:pPr>
              <w:pStyle w:val="16"/>
              <w:spacing w:line="252" w:lineRule="exact"/>
              <w:ind w:left="119" w:leftChars="0" w:right="113"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62</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77.50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jc w:val="center"/>
        </w:trPr>
        <w:tc>
          <w:tcPr>
            <w:tcW w:w="689"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2346"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1818" w:type="dxa"/>
            <w:vAlign w:val="center"/>
          </w:tcPr>
          <w:p>
            <w:pPr>
              <w:pStyle w:val="16"/>
              <w:spacing w:line="252" w:lineRule="exact"/>
              <w:ind w:left="119" w:leftChars="0" w:right="113"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18</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22.50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jc w:val="center"/>
        </w:trPr>
        <w:tc>
          <w:tcPr>
            <w:tcW w:w="689"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8</w:t>
            </w:r>
          </w:p>
        </w:tc>
        <w:tc>
          <w:tcPr>
            <w:tcW w:w="2346" w:type="dxa"/>
            <w:vMerge w:val="restart"/>
            <w:vAlign w:val="center"/>
          </w:tcPr>
          <w:p>
            <w:pPr>
              <w:pStyle w:val="16"/>
              <w:spacing w:before="1"/>
              <w:ind w:left="10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公路建成后对你影响较大的是</w:t>
            </w:r>
          </w:p>
        </w:tc>
        <w:tc>
          <w:tcPr>
            <w:tcW w:w="1818"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57</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71.25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689"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w w:val="99"/>
                <w:sz w:val="21"/>
                <w:szCs w:val="21"/>
              </w:rPr>
            </w:pPr>
          </w:p>
        </w:tc>
        <w:tc>
          <w:tcPr>
            <w:tcW w:w="2346" w:type="dxa"/>
            <w:vMerge w:val="continue"/>
            <w:vAlign w:val="center"/>
          </w:tcPr>
          <w:p>
            <w:pPr>
              <w:pStyle w:val="16"/>
              <w:spacing w:before="1"/>
              <w:ind w:left="107"/>
              <w:jc w:val="center"/>
              <w:rPr>
                <w:rFonts w:hint="default" w:ascii="Times New Roman" w:hAnsi="Times New Roman" w:eastAsia="宋体" w:cs="Times New Roman"/>
                <w:sz w:val="21"/>
                <w:szCs w:val="21"/>
              </w:rPr>
            </w:pPr>
          </w:p>
        </w:tc>
        <w:tc>
          <w:tcPr>
            <w:tcW w:w="1818" w:type="dxa"/>
            <w:vAlign w:val="center"/>
          </w:tcPr>
          <w:p>
            <w:pPr>
              <w:pStyle w:val="16"/>
              <w:spacing w:before="6" w:line="259" w:lineRule="exact"/>
              <w:ind w:left="119" w:leftChars="0" w:right="115" w:rightChars="0"/>
              <w:jc w:val="center"/>
              <w:rPr>
                <w:rFonts w:hint="default" w:ascii="Times New Roman" w:hAnsi="Times New Roman" w:eastAsia="宋体" w:cs="Times New Roman"/>
                <w:kern w:val="2"/>
                <w:sz w:val="21"/>
                <w:szCs w:val="21"/>
                <w:lang w:val="zh-CN" w:eastAsia="zh-CN" w:bidi="zh-CN"/>
              </w:rPr>
            </w:pPr>
            <w:r>
              <w:rPr>
                <w:rFonts w:hint="default" w:ascii="Times New Roman" w:hAnsi="Times New Roman" w:eastAsia="宋体" w:cs="Times New Roman"/>
                <w:sz w:val="21"/>
                <w:szCs w:val="21"/>
              </w:rPr>
              <w:t>汽车尾气</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zh-CN"/>
              </w:rPr>
            </w:pPr>
            <w:r>
              <w:rPr>
                <w:rFonts w:hint="default" w:ascii="Times New Roman" w:hAnsi="Times New Roman" w:eastAsia="宋体" w:cs="Times New Roman"/>
                <w:i w:val="0"/>
                <w:color w:val="000000"/>
                <w:kern w:val="0"/>
                <w:sz w:val="21"/>
                <w:szCs w:val="21"/>
                <w:u w:val="none"/>
                <w:lang w:val="en-US" w:eastAsia="zh-CN" w:bidi="ar"/>
              </w:rPr>
              <w:t>2</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zh-CN"/>
              </w:rPr>
            </w:pPr>
            <w:r>
              <w:rPr>
                <w:rFonts w:hint="default" w:ascii="Times New Roman" w:hAnsi="Times New Roman" w:eastAsia="宋体" w:cs="Times New Roman"/>
                <w:i w:val="0"/>
                <w:color w:val="000000"/>
                <w:kern w:val="0"/>
                <w:sz w:val="21"/>
                <w:szCs w:val="21"/>
                <w:u w:val="none"/>
                <w:lang w:val="en-US" w:eastAsia="zh-CN" w:bidi="ar"/>
              </w:rPr>
              <w:t xml:space="preserve">2.50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689"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w w:val="99"/>
                <w:sz w:val="21"/>
                <w:szCs w:val="21"/>
              </w:rPr>
            </w:pPr>
          </w:p>
        </w:tc>
        <w:tc>
          <w:tcPr>
            <w:tcW w:w="2346" w:type="dxa"/>
            <w:vMerge w:val="continue"/>
            <w:vAlign w:val="center"/>
          </w:tcPr>
          <w:p>
            <w:pPr>
              <w:pStyle w:val="16"/>
              <w:spacing w:before="1"/>
              <w:ind w:left="107"/>
              <w:jc w:val="center"/>
              <w:rPr>
                <w:rFonts w:hint="default" w:ascii="Times New Roman" w:hAnsi="Times New Roman" w:eastAsia="宋体" w:cs="Times New Roman"/>
                <w:sz w:val="21"/>
                <w:szCs w:val="21"/>
              </w:rPr>
            </w:pPr>
          </w:p>
        </w:tc>
        <w:tc>
          <w:tcPr>
            <w:tcW w:w="1818" w:type="dxa"/>
            <w:vAlign w:val="center"/>
          </w:tcPr>
          <w:p>
            <w:pPr>
              <w:pStyle w:val="16"/>
              <w:spacing w:line="252" w:lineRule="exact"/>
              <w:ind w:left="119" w:leftChars="0" w:right="113" w:rightChars="0"/>
              <w:jc w:val="center"/>
              <w:rPr>
                <w:rFonts w:hint="default" w:ascii="Times New Roman" w:hAnsi="Times New Roman" w:eastAsia="宋体" w:cs="Times New Roman"/>
                <w:kern w:val="2"/>
                <w:sz w:val="21"/>
                <w:szCs w:val="21"/>
                <w:lang w:val="zh-CN" w:eastAsia="zh-CN" w:bidi="zh-CN"/>
              </w:rPr>
            </w:pPr>
            <w:r>
              <w:rPr>
                <w:rFonts w:hint="default" w:ascii="Times New Roman" w:hAnsi="Times New Roman" w:eastAsia="宋体" w:cs="Times New Roman"/>
                <w:sz w:val="21"/>
                <w:szCs w:val="21"/>
              </w:rPr>
              <w:t>灰尘</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zh-CN"/>
              </w:rPr>
            </w:pPr>
            <w:r>
              <w:rPr>
                <w:rFonts w:hint="default" w:ascii="Times New Roman" w:hAnsi="Times New Roman" w:eastAsia="宋体" w:cs="Times New Roman"/>
                <w:i w:val="0"/>
                <w:color w:val="000000"/>
                <w:kern w:val="0"/>
                <w:sz w:val="21"/>
                <w:szCs w:val="21"/>
                <w:u w:val="none"/>
                <w:lang w:val="en-US" w:eastAsia="zh-CN" w:bidi="ar"/>
              </w:rPr>
              <w:t>13</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zh-CN"/>
              </w:rPr>
            </w:pPr>
            <w:r>
              <w:rPr>
                <w:rFonts w:hint="default" w:ascii="Times New Roman" w:hAnsi="Times New Roman" w:eastAsia="宋体" w:cs="Times New Roman"/>
                <w:i w:val="0"/>
                <w:color w:val="000000"/>
                <w:kern w:val="0"/>
                <w:sz w:val="21"/>
                <w:szCs w:val="21"/>
                <w:u w:val="none"/>
                <w:lang w:val="en-US" w:eastAsia="zh-CN" w:bidi="ar"/>
              </w:rPr>
              <w:t xml:space="preserve">16.25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689"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w w:val="99"/>
                <w:sz w:val="21"/>
                <w:szCs w:val="21"/>
              </w:rPr>
            </w:pPr>
          </w:p>
        </w:tc>
        <w:tc>
          <w:tcPr>
            <w:tcW w:w="2346" w:type="dxa"/>
            <w:vMerge w:val="continue"/>
            <w:vAlign w:val="center"/>
          </w:tcPr>
          <w:p>
            <w:pPr>
              <w:pStyle w:val="16"/>
              <w:spacing w:before="1"/>
              <w:ind w:left="107"/>
              <w:jc w:val="center"/>
              <w:rPr>
                <w:rFonts w:hint="default" w:ascii="Times New Roman" w:hAnsi="Times New Roman" w:eastAsia="宋体" w:cs="Times New Roman"/>
                <w:sz w:val="21"/>
                <w:szCs w:val="21"/>
              </w:rPr>
            </w:pPr>
          </w:p>
        </w:tc>
        <w:tc>
          <w:tcPr>
            <w:tcW w:w="1818" w:type="dxa"/>
            <w:vAlign w:val="center"/>
          </w:tcPr>
          <w:p>
            <w:pPr>
              <w:pStyle w:val="16"/>
              <w:spacing w:line="252" w:lineRule="exact"/>
              <w:ind w:left="119" w:leftChars="0" w:right="113" w:rightChars="0"/>
              <w:jc w:val="center"/>
              <w:rPr>
                <w:rFonts w:hint="default" w:ascii="Times New Roman" w:hAnsi="Times New Roman" w:eastAsia="宋体" w:cs="Times New Roman"/>
                <w:kern w:val="2"/>
                <w:sz w:val="21"/>
                <w:szCs w:val="21"/>
                <w:lang w:val="zh-CN" w:eastAsia="zh-CN" w:bidi="zh-CN"/>
              </w:rPr>
            </w:pPr>
            <w:r>
              <w:rPr>
                <w:rFonts w:hint="default" w:ascii="Times New Roman" w:hAnsi="Times New Roman" w:eastAsia="宋体" w:cs="Times New Roman"/>
                <w:sz w:val="21"/>
                <w:szCs w:val="21"/>
              </w:rPr>
              <w:t>其它</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zh-CN"/>
              </w:rPr>
            </w:pPr>
            <w:r>
              <w:rPr>
                <w:rFonts w:hint="default" w:ascii="Times New Roman" w:hAnsi="Times New Roman" w:eastAsia="宋体" w:cs="Times New Roman"/>
                <w:i w:val="0"/>
                <w:color w:val="000000"/>
                <w:kern w:val="0"/>
                <w:sz w:val="21"/>
                <w:szCs w:val="21"/>
                <w:u w:val="none"/>
                <w:lang w:val="en-US" w:eastAsia="zh-CN" w:bidi="ar"/>
              </w:rPr>
              <w:t>8</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zh-CN"/>
              </w:rPr>
            </w:pPr>
            <w:r>
              <w:rPr>
                <w:rFonts w:hint="default" w:ascii="Times New Roman" w:hAnsi="Times New Roman" w:eastAsia="宋体" w:cs="Times New Roman"/>
                <w:i w:val="0"/>
                <w:color w:val="000000"/>
                <w:kern w:val="0"/>
                <w:sz w:val="21"/>
                <w:szCs w:val="21"/>
                <w:u w:val="none"/>
                <w:lang w:val="en-US" w:eastAsia="zh-CN" w:bidi="ar"/>
              </w:rPr>
              <w:t xml:space="preserve">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jc w:val="center"/>
        </w:trPr>
        <w:tc>
          <w:tcPr>
            <w:tcW w:w="689" w:type="dxa"/>
            <w:vMerge w:val="restart"/>
            <w:vAlign w:val="center"/>
          </w:tcPr>
          <w:p>
            <w:pPr>
              <w:pStyle w:val="16"/>
              <w:ind w:left="8"/>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9</w:t>
            </w:r>
          </w:p>
        </w:tc>
        <w:tc>
          <w:tcPr>
            <w:tcW w:w="2346" w:type="dxa"/>
            <w:vMerge w:val="restart"/>
            <w:vAlign w:val="center"/>
          </w:tcPr>
          <w:p>
            <w:pPr>
              <w:pStyle w:val="16"/>
              <w:spacing w:before="147" w:line="242" w:lineRule="auto"/>
              <w:ind w:left="107" w:right="10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公路建成后的通行是否满意</w:t>
            </w:r>
          </w:p>
        </w:tc>
        <w:tc>
          <w:tcPr>
            <w:tcW w:w="1818" w:type="dxa"/>
            <w:vAlign w:val="center"/>
          </w:tcPr>
          <w:p>
            <w:pPr>
              <w:pStyle w:val="16"/>
              <w:spacing w:before="1" w:line="252" w:lineRule="exact"/>
              <w:ind w:left="119" w:right="11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满意</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57</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71.25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jc w:val="center"/>
        </w:trPr>
        <w:tc>
          <w:tcPr>
            <w:tcW w:w="689" w:type="dxa"/>
            <w:vMerge w:val="continue"/>
            <w:tcBorders>
              <w:top w:val="nil"/>
            </w:tcBorders>
            <w:vAlign w:val="center"/>
          </w:tcPr>
          <w:p>
            <w:pPr>
              <w:jc w:val="center"/>
              <w:rPr>
                <w:rFonts w:hint="default" w:ascii="Times New Roman" w:hAnsi="Times New Roman" w:eastAsia="宋体" w:cs="Times New Roman"/>
                <w:sz w:val="21"/>
                <w:szCs w:val="21"/>
              </w:rPr>
            </w:pPr>
          </w:p>
        </w:tc>
        <w:tc>
          <w:tcPr>
            <w:tcW w:w="2346" w:type="dxa"/>
            <w:vMerge w:val="continue"/>
            <w:tcBorders>
              <w:top w:val="nil"/>
            </w:tcBorders>
            <w:vAlign w:val="center"/>
          </w:tcPr>
          <w:p>
            <w:pPr>
              <w:jc w:val="center"/>
              <w:rPr>
                <w:rFonts w:hint="default" w:ascii="Times New Roman" w:hAnsi="Times New Roman" w:eastAsia="宋体" w:cs="Times New Roman"/>
                <w:sz w:val="21"/>
                <w:szCs w:val="21"/>
              </w:rPr>
            </w:pPr>
          </w:p>
        </w:tc>
        <w:tc>
          <w:tcPr>
            <w:tcW w:w="1818" w:type="dxa"/>
            <w:vAlign w:val="center"/>
          </w:tcPr>
          <w:p>
            <w:pPr>
              <w:pStyle w:val="16"/>
              <w:spacing w:line="252" w:lineRule="exact"/>
              <w:ind w:left="119" w:right="11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基本满意</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15</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18.75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jc w:val="center"/>
        </w:trPr>
        <w:tc>
          <w:tcPr>
            <w:tcW w:w="689" w:type="dxa"/>
            <w:vMerge w:val="continue"/>
            <w:tcBorders>
              <w:top w:val="nil"/>
            </w:tcBorders>
            <w:vAlign w:val="center"/>
          </w:tcPr>
          <w:p>
            <w:pPr>
              <w:jc w:val="center"/>
              <w:rPr>
                <w:rFonts w:hint="default" w:ascii="Times New Roman" w:hAnsi="Times New Roman" w:eastAsia="宋体" w:cs="Times New Roman"/>
                <w:sz w:val="21"/>
                <w:szCs w:val="21"/>
              </w:rPr>
            </w:pPr>
          </w:p>
        </w:tc>
        <w:tc>
          <w:tcPr>
            <w:tcW w:w="2346" w:type="dxa"/>
            <w:vMerge w:val="continue"/>
            <w:tcBorders>
              <w:top w:val="nil"/>
            </w:tcBorders>
            <w:vAlign w:val="center"/>
          </w:tcPr>
          <w:p>
            <w:pPr>
              <w:jc w:val="center"/>
              <w:rPr>
                <w:rFonts w:hint="default" w:ascii="Times New Roman" w:hAnsi="Times New Roman" w:eastAsia="宋体" w:cs="Times New Roman"/>
                <w:sz w:val="21"/>
                <w:szCs w:val="21"/>
              </w:rPr>
            </w:pPr>
          </w:p>
        </w:tc>
        <w:tc>
          <w:tcPr>
            <w:tcW w:w="1818" w:type="dxa"/>
            <w:vAlign w:val="center"/>
          </w:tcPr>
          <w:p>
            <w:pPr>
              <w:pStyle w:val="16"/>
              <w:spacing w:line="252" w:lineRule="exact"/>
              <w:ind w:left="119" w:right="11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不满意</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8</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jc w:val="center"/>
        </w:trPr>
        <w:tc>
          <w:tcPr>
            <w:tcW w:w="689" w:type="dxa"/>
            <w:vMerge w:val="restart"/>
            <w:vAlign w:val="center"/>
          </w:tcPr>
          <w:p>
            <w:pPr>
              <w:pStyle w:val="16"/>
              <w:ind w:left="116"/>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2346" w:type="dxa"/>
            <w:vMerge w:val="restart"/>
            <w:vAlign w:val="center"/>
          </w:tcPr>
          <w:p>
            <w:pPr>
              <w:pStyle w:val="16"/>
              <w:spacing w:before="148" w:line="242" w:lineRule="auto"/>
              <w:ind w:left="107" w:right="10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附近通道内是否有积水现象</w:t>
            </w:r>
          </w:p>
        </w:tc>
        <w:tc>
          <w:tcPr>
            <w:tcW w:w="1818" w:type="dxa"/>
            <w:vAlign w:val="center"/>
          </w:tcPr>
          <w:p>
            <w:pPr>
              <w:pStyle w:val="16"/>
              <w:spacing w:before="1" w:line="251" w:lineRule="exact"/>
              <w:ind w:left="119" w:right="11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经常有</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9</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11.25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jc w:val="center"/>
        </w:trPr>
        <w:tc>
          <w:tcPr>
            <w:tcW w:w="689" w:type="dxa"/>
            <w:vMerge w:val="continue"/>
            <w:tcBorders>
              <w:top w:val="nil"/>
            </w:tcBorders>
            <w:vAlign w:val="center"/>
          </w:tcPr>
          <w:p>
            <w:pPr>
              <w:jc w:val="center"/>
              <w:rPr>
                <w:rFonts w:hint="default" w:ascii="Times New Roman" w:hAnsi="Times New Roman" w:eastAsia="宋体" w:cs="Times New Roman"/>
                <w:sz w:val="21"/>
                <w:szCs w:val="21"/>
              </w:rPr>
            </w:pPr>
          </w:p>
        </w:tc>
        <w:tc>
          <w:tcPr>
            <w:tcW w:w="2346" w:type="dxa"/>
            <w:vMerge w:val="continue"/>
            <w:tcBorders>
              <w:top w:val="nil"/>
            </w:tcBorders>
            <w:vAlign w:val="center"/>
          </w:tcPr>
          <w:p>
            <w:pPr>
              <w:jc w:val="center"/>
              <w:rPr>
                <w:rFonts w:hint="default" w:ascii="Times New Roman" w:hAnsi="Times New Roman" w:eastAsia="宋体" w:cs="Times New Roman"/>
                <w:sz w:val="21"/>
                <w:szCs w:val="21"/>
              </w:rPr>
            </w:pPr>
          </w:p>
        </w:tc>
        <w:tc>
          <w:tcPr>
            <w:tcW w:w="1818" w:type="dxa"/>
            <w:vAlign w:val="center"/>
          </w:tcPr>
          <w:p>
            <w:pPr>
              <w:pStyle w:val="16"/>
              <w:spacing w:line="252" w:lineRule="exact"/>
              <w:ind w:left="119" w:right="11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偶尔有</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32</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40.00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689" w:type="dxa"/>
            <w:vMerge w:val="continue"/>
            <w:tcBorders>
              <w:top w:val="nil"/>
            </w:tcBorders>
            <w:vAlign w:val="center"/>
          </w:tcPr>
          <w:p>
            <w:pPr>
              <w:jc w:val="center"/>
              <w:rPr>
                <w:rFonts w:hint="default" w:ascii="Times New Roman" w:hAnsi="Times New Roman" w:eastAsia="宋体" w:cs="Times New Roman"/>
                <w:sz w:val="21"/>
                <w:szCs w:val="21"/>
              </w:rPr>
            </w:pPr>
          </w:p>
        </w:tc>
        <w:tc>
          <w:tcPr>
            <w:tcW w:w="2346" w:type="dxa"/>
            <w:vMerge w:val="continue"/>
            <w:tcBorders>
              <w:top w:val="nil"/>
            </w:tcBorders>
            <w:vAlign w:val="center"/>
          </w:tcPr>
          <w:p>
            <w:pPr>
              <w:jc w:val="center"/>
              <w:rPr>
                <w:rFonts w:hint="default" w:ascii="Times New Roman" w:hAnsi="Times New Roman" w:eastAsia="宋体" w:cs="Times New Roman"/>
                <w:sz w:val="21"/>
                <w:szCs w:val="21"/>
              </w:rPr>
            </w:pPr>
          </w:p>
        </w:tc>
        <w:tc>
          <w:tcPr>
            <w:tcW w:w="1818" w:type="dxa"/>
            <w:vAlign w:val="center"/>
          </w:tcPr>
          <w:p>
            <w:pPr>
              <w:pStyle w:val="16"/>
              <w:spacing w:line="251" w:lineRule="exact"/>
              <w:ind w:left="119" w:right="11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没有</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39</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48.75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jc w:val="center"/>
        </w:trPr>
        <w:tc>
          <w:tcPr>
            <w:tcW w:w="689" w:type="dxa"/>
            <w:vMerge w:val="restart"/>
            <w:vAlign w:val="center"/>
          </w:tcPr>
          <w:p>
            <w:pPr>
              <w:pStyle w:val="16"/>
              <w:spacing w:before="156"/>
              <w:ind w:left="12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2346" w:type="dxa"/>
            <w:vMerge w:val="restart"/>
            <w:vAlign w:val="center"/>
          </w:tcPr>
          <w:p>
            <w:pPr>
              <w:pStyle w:val="16"/>
              <w:spacing w:line="244" w:lineRule="auto"/>
              <w:ind w:left="107" w:right="10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建议采取何种措施减轻影响</w:t>
            </w:r>
          </w:p>
        </w:tc>
        <w:tc>
          <w:tcPr>
            <w:tcW w:w="1818" w:type="dxa"/>
            <w:vAlign w:val="center"/>
          </w:tcPr>
          <w:p>
            <w:pPr>
              <w:pStyle w:val="16"/>
              <w:spacing w:before="2" w:line="251" w:lineRule="exact"/>
              <w:ind w:left="119" w:right="11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绿化</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55</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68.75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689" w:type="dxa"/>
            <w:vMerge w:val="continue"/>
            <w:tcBorders>
              <w:top w:val="nil"/>
            </w:tcBorders>
            <w:vAlign w:val="center"/>
          </w:tcPr>
          <w:p>
            <w:pPr>
              <w:jc w:val="center"/>
              <w:rPr>
                <w:rFonts w:hint="default" w:ascii="Times New Roman" w:hAnsi="Times New Roman" w:eastAsia="宋体" w:cs="Times New Roman"/>
                <w:sz w:val="21"/>
                <w:szCs w:val="21"/>
              </w:rPr>
            </w:pPr>
          </w:p>
        </w:tc>
        <w:tc>
          <w:tcPr>
            <w:tcW w:w="2346" w:type="dxa"/>
            <w:vMerge w:val="continue"/>
            <w:tcBorders>
              <w:top w:val="nil"/>
            </w:tcBorders>
            <w:vAlign w:val="center"/>
          </w:tcPr>
          <w:p>
            <w:pPr>
              <w:jc w:val="center"/>
              <w:rPr>
                <w:rFonts w:hint="default" w:ascii="Times New Roman" w:hAnsi="Times New Roman" w:eastAsia="宋体" w:cs="Times New Roman"/>
                <w:sz w:val="21"/>
                <w:szCs w:val="21"/>
              </w:rPr>
            </w:pPr>
          </w:p>
        </w:tc>
        <w:tc>
          <w:tcPr>
            <w:tcW w:w="1818" w:type="dxa"/>
            <w:vAlign w:val="center"/>
          </w:tcPr>
          <w:p>
            <w:pPr>
              <w:pStyle w:val="16"/>
              <w:spacing w:line="252" w:lineRule="exact"/>
              <w:ind w:left="119" w:right="11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声屏障</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20</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25.00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jc w:val="center"/>
        </w:trPr>
        <w:tc>
          <w:tcPr>
            <w:tcW w:w="689" w:type="dxa"/>
            <w:vMerge w:val="continue"/>
            <w:tcBorders>
              <w:top w:val="nil"/>
            </w:tcBorders>
            <w:vAlign w:val="center"/>
          </w:tcPr>
          <w:p>
            <w:pPr>
              <w:jc w:val="center"/>
              <w:rPr>
                <w:rFonts w:hint="default" w:ascii="Times New Roman" w:hAnsi="Times New Roman" w:eastAsia="宋体" w:cs="Times New Roman"/>
                <w:sz w:val="21"/>
                <w:szCs w:val="21"/>
              </w:rPr>
            </w:pPr>
          </w:p>
        </w:tc>
        <w:tc>
          <w:tcPr>
            <w:tcW w:w="2346" w:type="dxa"/>
            <w:vMerge w:val="continue"/>
            <w:tcBorders>
              <w:top w:val="nil"/>
            </w:tcBorders>
            <w:vAlign w:val="center"/>
          </w:tcPr>
          <w:p>
            <w:pPr>
              <w:jc w:val="center"/>
              <w:rPr>
                <w:rFonts w:hint="default" w:ascii="Times New Roman" w:hAnsi="Times New Roman" w:eastAsia="宋体" w:cs="Times New Roman"/>
                <w:sz w:val="21"/>
                <w:szCs w:val="21"/>
              </w:rPr>
            </w:pPr>
          </w:p>
        </w:tc>
        <w:tc>
          <w:tcPr>
            <w:tcW w:w="1818" w:type="dxa"/>
            <w:vAlign w:val="center"/>
          </w:tcPr>
          <w:p>
            <w:pPr>
              <w:pStyle w:val="16"/>
              <w:spacing w:before="1" w:line="251" w:lineRule="exact"/>
              <w:ind w:left="119" w:right="11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限速</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6.25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689" w:type="dxa"/>
            <w:vMerge w:val="continue"/>
            <w:tcBorders>
              <w:top w:val="nil"/>
            </w:tcBorders>
            <w:vAlign w:val="center"/>
          </w:tcPr>
          <w:p>
            <w:pPr>
              <w:jc w:val="center"/>
              <w:rPr>
                <w:rFonts w:hint="default" w:ascii="Times New Roman" w:hAnsi="Times New Roman" w:eastAsia="宋体" w:cs="Times New Roman"/>
                <w:sz w:val="21"/>
                <w:szCs w:val="21"/>
              </w:rPr>
            </w:pPr>
          </w:p>
        </w:tc>
        <w:tc>
          <w:tcPr>
            <w:tcW w:w="2346" w:type="dxa"/>
            <w:vMerge w:val="continue"/>
            <w:tcBorders>
              <w:top w:val="nil"/>
            </w:tcBorders>
            <w:vAlign w:val="center"/>
          </w:tcPr>
          <w:p>
            <w:pPr>
              <w:jc w:val="center"/>
              <w:rPr>
                <w:rFonts w:hint="default" w:ascii="Times New Roman" w:hAnsi="Times New Roman" w:eastAsia="宋体" w:cs="Times New Roman"/>
                <w:sz w:val="21"/>
                <w:szCs w:val="21"/>
              </w:rPr>
            </w:pPr>
          </w:p>
        </w:tc>
        <w:tc>
          <w:tcPr>
            <w:tcW w:w="1818" w:type="dxa"/>
            <w:vAlign w:val="center"/>
          </w:tcPr>
          <w:p>
            <w:pPr>
              <w:pStyle w:val="16"/>
              <w:spacing w:before="2" w:line="251" w:lineRule="exact"/>
              <w:ind w:left="119" w:right="11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其它</w:t>
            </w:r>
          </w:p>
        </w:tc>
        <w:tc>
          <w:tcPr>
            <w:tcW w:w="173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w:t>
            </w:r>
          </w:p>
        </w:tc>
        <w:tc>
          <w:tcPr>
            <w:tcW w:w="170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0.00 </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从上表可知：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1、63.75%的公众表示修建该公路有利于本地区的经济发展，18.75%认为不利，17.50表示不知道。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2、51.25%的公众表示施工期对自己影响最大的方面是噪声，31.25%表示是粉尘，17.50%表示是其它方面。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3、83.25%的公众表示居民区附近150m内没有料场或搅拌站，2.50%表示有，13.75%表示没有注意。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4、22.50%的公众表示在居民区22:00至早晨6:00时段内，有使用高噪声机械施工现象，1.25%表示常有，76.25%表示没有。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5、81.25%的公众表示公路临时占地采取了复垦、恢复等措施，18.75%表示未采取恢复措施。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6、73.75%的公众表示占压农业水利设施时采取了临时应急措施，26.25%表示没有采取相关措施。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7、77.50%的公众表示取土场、弃土场采取了利用、恢复措施，22.50%的公众表示没有。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8、71.25%的公众表示公路建成后对自己影响较大的是噪声，2.50%表示是汽车尾气，16.25%表示是粉尘，2.50%表示是其它方面。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9、90%的公众对公路建成后的通行表示满意或基本满意。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10、11.25%的公众表示附近通道内常有积水现象，40%表示偶尔有，,48.75%表示没有。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11、68.75%的公众建议采取绿化措施减轻交通噪声的影响，25.00%认为安装声屏障有效果，6.25%认为应安装隔声窗。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default" w:ascii="Times New Roman" w:hAnsi="Times New Roman" w:eastAsia="宋体" w:cs="Times New Roman"/>
          <w:sz w:val="24"/>
          <w:szCs w:val="24"/>
          <w:lang w:val="en-US" w:eastAsia="zh-CN"/>
        </w:rPr>
      </w:pPr>
      <w:bookmarkStart w:id="72" w:name="_Toc14660"/>
      <w:r>
        <w:rPr>
          <w:rFonts w:hint="eastAsia" w:ascii="Times New Roman" w:hAnsi="Times New Roman" w:eastAsia="宋体" w:cs="Times New Roman"/>
          <w:sz w:val="24"/>
          <w:szCs w:val="24"/>
          <w:lang w:val="en-US" w:eastAsia="zh-CN"/>
        </w:rPr>
        <w:t>8.2.3小结与建议</w:t>
      </w:r>
      <w:bookmarkEnd w:id="7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100%的司乘人员对本公路工程环境保护工作的总体评价为满意或基本满意；93.75%的公众对本公路工程环境保护工作的总体评价为满意或基本满意。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建议建设单位和有关部门重视公众提出的合理意见和建议，结合具体情况进一步采取有效措施，切实解决好与群众生活和切身利益息息相关的问题。</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sz w:val="24"/>
          <w:szCs w:val="24"/>
          <w:lang w:val="en-US" w:eastAsia="zh-CN"/>
        </w:rPr>
      </w:pPr>
      <w:bookmarkStart w:id="73" w:name="_Toc16334"/>
      <w:r>
        <w:rPr>
          <w:rFonts w:hint="eastAsia" w:ascii="Times New Roman" w:hAnsi="Times New Roman" w:eastAsia="宋体" w:cs="Times New Roman"/>
          <w:b/>
          <w:bCs/>
          <w:sz w:val="24"/>
          <w:szCs w:val="24"/>
          <w:lang w:val="en-US" w:eastAsia="zh-CN"/>
        </w:rPr>
        <w:t>9 风险事故防范与应急措施调查</w:t>
      </w:r>
      <w:bookmarkEnd w:id="73"/>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74" w:name="_Toc32560"/>
      <w:r>
        <w:rPr>
          <w:rFonts w:hint="eastAsia" w:ascii="Times New Roman" w:hAnsi="Times New Roman" w:eastAsia="宋体" w:cs="Times New Roman"/>
          <w:sz w:val="24"/>
          <w:szCs w:val="24"/>
          <w:lang w:val="en-US" w:eastAsia="zh-CN"/>
        </w:rPr>
        <w:t>9.1风险因素调查</w:t>
      </w:r>
      <w:bookmarkEnd w:id="7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在危险品运输过程中，如发生危险品燃烧、爆炸、溢漏、逸散，会给事故发生地甚至更广大地区的人民群众生命财产造成直接危害，对周围的水域、大气、生态环境也会造成严重的污染和破坏。</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sz w:val="24"/>
          <w:szCs w:val="24"/>
          <w:lang w:val="en-US" w:eastAsia="zh-CN"/>
        </w:rPr>
      </w:pPr>
      <w:bookmarkStart w:id="75" w:name="_Toc10424"/>
      <w:r>
        <w:rPr>
          <w:rFonts w:hint="eastAsia" w:ascii="Times New Roman" w:hAnsi="Times New Roman" w:eastAsia="宋体" w:cs="Times New Roman"/>
          <w:sz w:val="24"/>
          <w:szCs w:val="24"/>
          <w:lang w:val="en-US" w:eastAsia="zh-CN"/>
        </w:rPr>
        <w:t>9.2风险防范与预防措施</w:t>
      </w:r>
      <w:bookmarkEnd w:id="7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本工程自竣工试运营以来，未发生过环境风险事故。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76" w:name="_Toc4868"/>
      <w:r>
        <w:rPr>
          <w:rFonts w:hint="eastAsia" w:ascii="Times New Roman" w:hAnsi="Times New Roman" w:eastAsia="宋体" w:cs="Times New Roman"/>
          <w:sz w:val="24"/>
          <w:szCs w:val="24"/>
          <w:lang w:val="en-US" w:eastAsia="zh-CN"/>
        </w:rPr>
        <w:t>9.2.1主要预防措施</w:t>
      </w:r>
      <w:bookmarkEnd w:id="7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防范危险品运输风险事故的最主要措施是要严格执行国家和行业部门颁布的危险货物运输相关法规。相关法规有</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《危险化学品安全管理条例》、《道路危险货物运输管理规定》、《中华人民共和国民用爆炸物品管理条例》、《中华人民共和国放射性同位素与射线装置放射保护条例》等。结合道路运输实际，具体的措施如下</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加强对从事危险货物运输业主、驾驶员及押运员的安全教育和运输车辆的安全检查，使从业人员具有高度责任感，使车辆处于完好的技术状态。</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危险品运输车辆在进入道路前，应向当地道路运输管理部门领取申书表，并在入口处接受公安或交通管理部门的抽查，并提交申报表。申报表主要报告项目有危险货物运输执照号码、货物品种、等级和编号、收发货人姓名、装细地点、货物特性等。危险品运输车辆一般应安排在交通量较少时段（如夜间）通行，在气候不好的条件下应禁止其上路，从而加强对运输危险品的车辆进行有效管理</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实行危险品运输车辆的检查制度，在入口处的车道（一般为最外侧车重）设置危险品运输申报点。对申报运输危险品的车辆进行</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准运证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驾驶员证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押运员证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和危险品运输行车路单（以下简称</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三证一单</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）检查，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三证一单</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不全的车辆将不允许驶上道路。除证件检查外，必要时应对运输危险品的车辆进行安全检查。如《压力容器使用证》的有效性及检验合格证等，对有安全隐患的车辆进行安全检查，在未排除隐患前不允许进入道路。</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制作道路危险货物运输事故汇报联系卡，公布各有关部门联系电话，通过入口处发放给过往车辆。如运输有毒、有害物质的危险品运输车辆在拟建道路，尤其是在跨河桥上发生事故导致水体或气体污染时，应及时利用道路上完善的紧急电话向当地公安交通管理部门或相关路段监控通信所（中心）汇报，并及时与所在市、区（镇）公安、消防和环保部门取得联系，以便采取紧急应救措施。</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交通、公安、环保部门要相互配合，提高快速反应、处置能力，要改善和提高相应的装备水平。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77" w:name="_Toc1445"/>
      <w:r>
        <w:rPr>
          <w:rFonts w:hint="eastAsia" w:ascii="Times New Roman" w:hAnsi="Times New Roman" w:eastAsia="宋体" w:cs="Times New Roman"/>
          <w:sz w:val="24"/>
          <w:szCs w:val="24"/>
          <w:lang w:val="en-US" w:eastAsia="zh-CN"/>
        </w:rPr>
        <w:t>9.2.2</w:t>
      </w:r>
      <w:r>
        <w:rPr>
          <w:rFonts w:hint="default" w:ascii="Times New Roman" w:hAnsi="Times New Roman" w:eastAsia="宋体" w:cs="Times New Roman"/>
          <w:sz w:val="24"/>
          <w:szCs w:val="24"/>
          <w:lang w:val="en-US" w:eastAsia="zh-CN"/>
        </w:rPr>
        <w:t>主要应急措施</w:t>
      </w:r>
      <w:bookmarkEnd w:id="7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鉴于本工程跨越高山河、麦架河，为保护水质，应对拟建道路高山河、麦架河河段的危险货物运输风险问题予以足够重视。为此，道路沿线各级地方政府将本道路跨河段运输风险的应急救援问题纳入到道路化学危险货物运输事故应急预案。该应急预案包括组织机构、工作职责和制度、应急工作规程和处置原则等。组织机构由该市（或区）交通局和公安局分管领导联合成立道路化学危险品运输事故协调小组，负责组织协调道路危险品运输事故的抢救和处理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工作职责主要有研究制订本市道路化学危险品运输安全措施和政策，建立辖区内化学危险品运输业户和车辆、人员档案，定期开展对道路化学危险品运输业户的安全检查，并定期召开协调领导小组成员会议，通报道路化学品运输事故情况，定期组织道路化学品运输业户负责人、驾驶员、押运员、装卸人员进行业务培训和开展应急预案的演练，积极开展各种形式的宣传活动，提高市民和从业人员的安全生产意识，做好道路化学危险品运输事故的统计与上报工作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应急工作规程及处置原则有以下几点</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①事故发生后，发现人员应及时通过路侧紧急电话或其它通讯方式向管理中心或沿线各区道路化学危险品运输事故协调小组报告。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②通信中心或协调小组接到事故报告后，应立即通知就近的公路巡警前往事故地点控制现场。同时，通知就近的地方消防部门派消防车辆和人员前往救援。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③如果危险品为固态，可清扫处置，并对事故记录备案</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④如果危险品为气态且有剧毒，消防人员应戴防毒面具进行处理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在危险品逸漏无法避免的情况下，需立即通知环保部门、公安部门，必要时对沿线处于污染范围内的人员进行疏离，避免发生人员中毒伤亡。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⑤如果危险品为液态，并已进入公共水体，应立即通知环保部门。环保部门接报后立即通知河流下游单位，或附近用水单位停止取用水，同时派环保专家和监测人员到现场进行监测分析，及时打捞掉入水体的危险品容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在拟建道路跨河路段，运输危险货物的车辆如发生泄漏，会对水体产生不良影响。按危险品在水中的状态以及计算扩散模型得到的信息，可选择的水污染控制方法如下</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①可形成气体或蒸汽的物质，如甲苯。预计受影响的范围，撤离有危险的人员，监控空气和水中的浓度通过大气或水消散或稀释到安全水平。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②漂浮物质，若为挥发性的，如甲苯，可采用①的方法</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若为非挥发性的在接近和处理安全的条件下，可采用围护、回收、吸收、扩散、燃烧等方法处理。对可烧或有毒的化学品还必须采用限制措施相配合。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③能溶解扩散的物质，如乙二醇等。稀释和扩散是常用方法，并且常通过自然运动和水混合来实现。但对毒性物质，会把毒性危险区域扩大。因此，必须采用限制性措施配合。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在非跨河渠居民聚居路段，各危险货物泄漏及燃烧还会对沿线居民生产和健康带来危害，道路常运危险货物事故处置应急措施参见表</w:t>
      </w:r>
      <w:r>
        <w:rPr>
          <w:rFonts w:hint="eastAsia" w:ascii="Times New Roman" w:hAnsi="Times New Roman" w:eastAsia="宋体" w:cs="Times New Roman"/>
          <w:sz w:val="24"/>
          <w:szCs w:val="24"/>
          <w:lang w:val="en-US" w:eastAsia="zh-CN"/>
        </w:rPr>
        <w:t>9.2.2-1</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表9.2.2-1泄漏处置应急措施</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1215"/>
        <w:gridCol w:w="5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13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名称</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处置方式</w:t>
            </w:r>
          </w:p>
        </w:tc>
        <w:tc>
          <w:tcPr>
            <w:tcW w:w="59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具体措施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硫酸</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散离危险区域，处理人员戴自给正压式呼吸器，穿防酸碱工作服</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切断泄漏源，防止进入下水道。可将泄漏液收集在可谜底容器中或用沙土、干燥石灰泄漏处置</w:t>
            </w:r>
            <w:r>
              <w:rPr>
                <w:rFonts w:hint="eastAsia" w:ascii="Times New Roman" w:hAnsi="Times New Roman" w:eastAsia="宋体" w:cs="Times New Roman"/>
                <w:sz w:val="21"/>
                <w:szCs w:val="21"/>
                <w:vertAlign w:val="baseline"/>
                <w:lang w:val="en-US" w:eastAsia="zh-CN"/>
              </w:rPr>
              <w:t>。可加入纯碱一消石灰溶液中和；大量泄漏应构筑围堤或挖坑收容，用泵转移至槽车内，残余物回收运至废物处理场 所安全处置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禁止用水，使用干粉、二氧化碳和沙土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甲苯</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首先应切断所有火源，戴好防毒面具和手套，用不燃性分散剂制成乳液刷洗，泄漏处置 置也可以用沙土吸收，倒至空旷地掩埋。对污染地带进行通风，蒸发残余液体并排除蒸汽。含甲苯的废水可采用生物法、浓缩废水焚烧等方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灭火</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泡沫、二氧化碳、干粉、沙</w:t>
            </w:r>
            <w:r>
              <w:rPr>
                <w:rFonts w:hint="eastAsia" w:ascii="Times New Roman" w:hAnsi="Times New Roman" w:eastAsia="宋体" w:cs="Times New Roman"/>
                <w:sz w:val="21"/>
                <w:szCs w:val="21"/>
                <w:vertAlign w:val="baseline"/>
                <w:lang w:val="en-US" w:eastAsia="zh-CN"/>
              </w:rPr>
              <w:t>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7" w:hRule="atLeast"/>
        </w:trPr>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苯</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迅速撤离泄漏污染区人员至安全区，禁止无关人员进入污染区，切断火源，应急处理人员戴防毒面具与手套，穿一般消防防护服，在确保安全情况下堵漏。可用雾状水扑灭小面积火灾，保持火场旁容器的冷却，驱散蒸气及溢出的液体，但不能降低泄漏物在受限制空间内的易燃性。用活性炭或其它惰性材料或沙土吸收，然后使用无火化工具收集运至废物处理场所。也可以用不燃性分散剂制成的乳液刷洗，经稀释后放入废水系统。或在保证安全情况下，就地焚烧。如大量泄漏，建围堤收容，然后收集、转移、回收或无害化处理</w:t>
            </w:r>
            <w:r>
              <w:rPr>
                <w:rFonts w:hint="eastAsia" w:ascii="Times New Roman" w:hAnsi="Times New Roman" w:eastAsia="宋体"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灭火</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泡沫、二氧化碳、干粉、沙土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冰醋酸</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疏散泄漏污染区人员至安全区，禁止无关人员进入污染区，切断火源。建议应急处理人员戴自给式呼吸器，穿化学防护服。不要直接接触泄漏物，在确保安全情况下堵漏。喷水雾能减少蒸发但不要使水进入储存容器内。用沙土、蛭石或其它惰性材料吸收，然后收集运至废物处理场所处置。也可以用大量水冲洗，经稀释的洗水放入废水系统。如大量泄漏，利用围堤收容，然后收集、转移、回收或无害处理后废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雾状水、泡沫、二氧化碳、砂土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乙炔</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首先切断一切火源，勿使其燃烧，同时关闭阀门，防止渗漏，并用雾状水保泄漏处置 护关闭阀门的人员。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有复燃危险，在气源为切断前可扑灭气源周围火势，防止扩大，但不得灭掉源渗漏处火源。用水冷却容器防止爆炸，并用水保护关闭阀门或堵漏的人员。如泄漏物未被点燃，可用雾状水直接射至易燃蒸气和空气的混合物，使其远离火源。如有可能应迅速将钢瓶转移至安全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甲醇</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首先切断一切火源，带好防毒面具和手套，用水冲洗，经稀释的污水排入水系统。对污染地面进行通风排除残余蒸气，大面积泄漏周围应设雾状水幕抑爆。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穿戴好防护服和防毒面具。小火用二氧化碳、干粉、1211、抗溶性泡沫、雾状水灭火。用雾状水冷却火场中的容器并保护堵漏人员。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氰化钾</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必须戴好防毒面具和手套，扫起倒至大量水中，加入过量次氯酸钠，放置24小时，确认氢化物全部分解，稀释后放入废水系统。污染区用次氯酸钠溶液浸泡24小时后，用大量水冲洗，经稀释的污水放入废水系统。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氰化物不燃，大火时应尽量抢救商品，防止因包装破损引起环境污染。消防人员必须穿戴供氧式防毒面具及全身防护服。邻近地区火灾时可用雾状水灭火，禁止使用二氧化碳、酸碱灭火剂。</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78" w:name="_Toc9893"/>
      <w:r>
        <w:rPr>
          <w:rFonts w:hint="eastAsia" w:ascii="Times New Roman" w:hAnsi="Times New Roman" w:eastAsia="宋体" w:cs="Times New Roman"/>
          <w:sz w:val="24"/>
          <w:szCs w:val="24"/>
          <w:lang w:val="en-US" w:eastAsia="zh-CN"/>
        </w:rPr>
        <w:t>9.2.3应急预案</w:t>
      </w:r>
      <w:bookmarkEnd w:id="7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一旦发生环境风险的事故，道路管理单位和沿途单位或群众应及时向政府部门报告事故状况，并应根据事故类型，立即向环保、公安、卫生机构等相关部门报告、通知，并进行现场处理、灭火及人员救治等救援处理工作</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应急救援措施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根据对事故现场进行的监测，确定性质后进行初步评估，上报指挥部门作为决策依据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应急救援保障措施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应急车辆、设施、装备、应急电话等</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控制事故、防止扩散、消除现场泄漏物、降低危害</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及时控制污染区域，特别是污染水体，控制和消除污染措施及相应设备配备</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人员疏散、应急救治、组织计划</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迅速撤离泄漏污染区人员到安全区，并进行隔离，严格限制出入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尽可能切断泄漏源</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当小量泄漏时采用小量砂土或其它不燃材料吸附、吸收</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大量泄漏时采取构筑围堤或挖坑受纳</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用泵转移至槽车或专用收集器内回收，运至废物处理场所 处置。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针对本项目所在区域，由于拟建道路没有地质勘查等相关工作，因此，本评价不能精确对地下水以及相关地层岩性进行全面的评价，因此，本评价要求在动工前先做地质勘查调查，针对勘查报告提出的问题进行避让或防治。</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sz w:val="24"/>
          <w:szCs w:val="24"/>
          <w:lang w:val="en-US" w:eastAsia="zh-CN"/>
        </w:rPr>
      </w:pPr>
      <w:bookmarkStart w:id="79" w:name="_Toc28846"/>
      <w:r>
        <w:rPr>
          <w:rFonts w:hint="eastAsia" w:ascii="Times New Roman" w:hAnsi="Times New Roman" w:eastAsia="宋体" w:cs="Times New Roman"/>
          <w:b/>
          <w:bCs/>
          <w:sz w:val="24"/>
          <w:szCs w:val="24"/>
          <w:lang w:val="en-US" w:eastAsia="zh-CN"/>
        </w:rPr>
        <w:t>10 调查结论及建议</w:t>
      </w:r>
      <w:bookmarkEnd w:id="79"/>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80" w:name="_Toc1128"/>
      <w:r>
        <w:rPr>
          <w:rFonts w:hint="eastAsia" w:ascii="Times New Roman" w:hAnsi="Times New Roman" w:eastAsia="宋体" w:cs="Times New Roman"/>
          <w:sz w:val="24"/>
          <w:szCs w:val="24"/>
          <w:lang w:val="en-US" w:eastAsia="zh-CN"/>
        </w:rPr>
        <w:t>10.1调查结论</w:t>
      </w:r>
      <w:bookmarkEnd w:id="8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1" w:name="_Toc18670"/>
      <w:r>
        <w:rPr>
          <w:rFonts w:hint="eastAsia" w:ascii="Times New Roman" w:hAnsi="Times New Roman" w:eastAsia="宋体" w:cs="Times New Roman"/>
          <w:sz w:val="24"/>
          <w:szCs w:val="24"/>
          <w:lang w:val="en-US" w:eastAsia="zh-CN"/>
        </w:rPr>
        <w:t>10.1.1工程概况</w:t>
      </w:r>
      <w:bookmarkEnd w:id="8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szCs w:val="24"/>
          <w:lang w:val="en-US" w:eastAsia="zh-CN"/>
        </w:rPr>
        <w:t>本项目保留地面层现状40m宽，利用现状3.6m中分带设置高架桥，道路全长2.48km，主线高架桥长1.97km，宽17.5m，双向四车道；云环路北侧设置宽9.5m高架上下匝道1条。项目起于同心路往南约300m处（K2+460），经同心路，止于云环路往北约400米处（K4+960），为改扩建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本项目于2016年06月24日开工建设，2018年12月07日所有标段完成验收并投入使用。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2" w:name="_Toc15531"/>
      <w:r>
        <w:rPr>
          <w:rFonts w:hint="eastAsia" w:ascii="Times New Roman" w:hAnsi="Times New Roman" w:eastAsia="宋体" w:cs="Times New Roman"/>
          <w:sz w:val="24"/>
          <w:szCs w:val="24"/>
          <w:lang w:val="en-US" w:eastAsia="zh-CN"/>
        </w:rPr>
        <w:t>10.1.2环保措施落实情况</w:t>
      </w:r>
      <w:bookmarkEnd w:id="8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本工程已按环评要求及相关环保要求建设了相应的设施，施工便道、弃土场等已得到回复，本次调查结果显示，相关环保措施已基本落实，未对沿线环境造成较大的影响。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3" w:name="_Toc7221"/>
      <w:r>
        <w:rPr>
          <w:rFonts w:hint="eastAsia" w:ascii="Times New Roman" w:hAnsi="Times New Roman" w:eastAsia="宋体" w:cs="Times New Roman"/>
          <w:sz w:val="24"/>
          <w:szCs w:val="24"/>
          <w:lang w:val="en-US" w:eastAsia="zh-CN"/>
        </w:rPr>
        <w:t>10.1.3生态环境</w:t>
      </w:r>
      <w:bookmarkEnd w:id="8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sz w:val="24"/>
          <w:szCs w:val="24"/>
          <w:lang w:val="en-US" w:eastAsia="zh-CN"/>
        </w:rPr>
        <w:t>本项目是在</w:t>
      </w:r>
      <w:r>
        <w:rPr>
          <w:rFonts w:hint="eastAsia" w:ascii="Times New Roman" w:hAnsi="Times New Roman" w:eastAsia="宋体" w:cs="Times New Roman"/>
          <w:color w:val="auto"/>
          <w:sz w:val="24"/>
          <w:szCs w:val="24"/>
          <w:lang w:val="en-US" w:eastAsia="zh-CN"/>
        </w:rPr>
        <w:t>保留地面层现状40m宽，利用现状3.6m中分带设置高架桥，道路全长2.48km，主线高架桥长1.97km，宽17.5m，双向四车道；云环路北侧设置宽9.5m高架上下匝道1条，因此本项目不产生新的永久性占地，临时占地也是占用封闭一侧的原道路，未在道路红线外设置临时占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szCs w:val="24"/>
          <w:lang w:val="en-US" w:eastAsia="zh-CN"/>
        </w:rPr>
        <w:t>本项目主要生态影响为项目建成后对沿线居民人文景观和自然景观的视觉影响。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4" w:name="_Toc4423"/>
      <w:r>
        <w:rPr>
          <w:rFonts w:hint="eastAsia" w:ascii="Times New Roman" w:hAnsi="Times New Roman" w:eastAsia="宋体" w:cs="Times New Roman"/>
          <w:sz w:val="24"/>
          <w:szCs w:val="24"/>
          <w:lang w:val="en-US" w:eastAsia="zh-CN"/>
        </w:rPr>
        <w:t>10.1.4水环境</w:t>
      </w:r>
      <w:bookmarkEnd w:id="8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根据现场调查，本项目调查范围内涉及水体高麦大沟为当地泄洪渠道，除雨季外，几乎处于干涸状态。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本项目建设了完善的雨水收集系统，与桥下的雨水管网有效结合。无重大影响发生。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5" w:name="_Toc27442"/>
      <w:r>
        <w:rPr>
          <w:rFonts w:hint="eastAsia" w:ascii="Times New Roman" w:hAnsi="Times New Roman" w:eastAsia="宋体" w:cs="Times New Roman"/>
          <w:sz w:val="24"/>
          <w:szCs w:val="24"/>
          <w:lang w:val="en-US" w:eastAsia="zh-CN"/>
        </w:rPr>
        <w:t>10.1.5环境空气</w:t>
      </w:r>
      <w:bookmarkEnd w:id="8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本工程定期安排环卫人员清扫道路上洒落的散装物料减少车辆通过引起起尘，在干燥天气对路面采取洒水措施，有效降低扬尘，对大气环境影响较小。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eastAsiaTheme="minorEastAsia"/>
          <w:sz w:val="24"/>
          <w:szCs w:val="24"/>
          <w:lang w:val="en-US" w:eastAsia="zh-CN"/>
        </w:rPr>
      </w:pPr>
      <w:r>
        <w:rPr>
          <w:rFonts w:hint="eastAsia" w:ascii="Times New Roman" w:hAnsi="Times New Roman" w:eastAsia="宋体" w:cs="Times New Roman"/>
          <w:sz w:val="24"/>
          <w:szCs w:val="24"/>
          <w:lang w:val="en-US" w:eastAsia="zh-CN"/>
        </w:rPr>
        <w:t>沿线敏感点监测结果满足</w:t>
      </w:r>
      <w:r>
        <w:rPr>
          <w:spacing w:val="-4"/>
          <w:sz w:val="24"/>
          <w:szCs w:val="24"/>
        </w:rPr>
        <w:t>《环境空气质量标准</w:t>
      </w:r>
      <w:r>
        <w:rPr>
          <w:spacing w:val="-140"/>
          <w:sz w:val="24"/>
          <w:szCs w:val="24"/>
        </w:rPr>
        <w:t>》</w:t>
      </w:r>
      <w:r>
        <w:rPr>
          <w:sz w:val="24"/>
          <w:szCs w:val="24"/>
        </w:rPr>
        <w:t>（</w:t>
      </w:r>
      <w:r>
        <w:rPr>
          <w:rFonts w:ascii="Times New Roman" w:eastAsia="Times New Roman"/>
          <w:sz w:val="24"/>
          <w:szCs w:val="24"/>
        </w:rPr>
        <w:t>GB3095-1996</w:t>
      </w:r>
      <w:r>
        <w:rPr>
          <w:sz w:val="24"/>
          <w:szCs w:val="24"/>
        </w:rPr>
        <w:t>）</w:t>
      </w:r>
      <w:r>
        <w:rPr>
          <w:spacing w:val="-5"/>
          <w:sz w:val="24"/>
          <w:szCs w:val="24"/>
        </w:rPr>
        <w:t>标准限值</w:t>
      </w:r>
      <w:r>
        <w:rPr>
          <w:rFonts w:hint="eastAsia"/>
          <w:spacing w:val="-5"/>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6" w:name="_Toc5498"/>
      <w:r>
        <w:rPr>
          <w:rFonts w:hint="eastAsia" w:ascii="Times New Roman" w:hAnsi="Times New Roman" w:eastAsia="宋体" w:cs="Times New Roman"/>
          <w:sz w:val="24"/>
          <w:szCs w:val="24"/>
          <w:lang w:val="en-US" w:eastAsia="zh-CN"/>
        </w:rPr>
        <w:t>10.1.6声环境</w:t>
      </w:r>
      <w:bookmarkEnd w:id="8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本工程已基本按照环境影响评价报告要求建设相关设施，沿线敏感点监测结果均满足《声环境质量标准》（GB 3096-2008）的相关要求。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7" w:name="_Toc1077"/>
      <w:r>
        <w:rPr>
          <w:rFonts w:hint="eastAsia" w:ascii="Times New Roman" w:hAnsi="Times New Roman" w:eastAsia="宋体" w:cs="Times New Roman"/>
          <w:sz w:val="24"/>
          <w:szCs w:val="24"/>
          <w:lang w:val="en-US" w:eastAsia="zh-CN"/>
        </w:rPr>
        <w:t>10.1.7固体废物</w:t>
      </w:r>
      <w:bookmarkEnd w:id="8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本项目主线为高架桥，不设置人行道，道路由环卫部门清扫，无固体废物遗留。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8" w:name="_Toc28219"/>
      <w:r>
        <w:rPr>
          <w:rFonts w:hint="eastAsia" w:ascii="Times New Roman" w:hAnsi="Times New Roman" w:eastAsia="宋体" w:cs="Times New Roman"/>
          <w:sz w:val="24"/>
          <w:szCs w:val="24"/>
          <w:lang w:val="en-US" w:eastAsia="zh-CN"/>
        </w:rPr>
        <w:t>10.1.8公众调查</w:t>
      </w:r>
      <w:bookmarkEnd w:id="8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100%的司乘人员调查对象对本公路工程环境保护工作的总体评价为满意或基本满意。93.75%的沿线居民调查对象对本公路工程环境保护工作的总体评价为满意或基本满意。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9" w:name="_Toc20661"/>
      <w:r>
        <w:rPr>
          <w:rFonts w:hint="eastAsia" w:ascii="Times New Roman" w:hAnsi="Times New Roman" w:eastAsia="宋体" w:cs="Times New Roman"/>
          <w:sz w:val="24"/>
          <w:szCs w:val="24"/>
          <w:lang w:val="en-US" w:eastAsia="zh-CN"/>
        </w:rPr>
        <w:t>10.1.9应急预案</w:t>
      </w:r>
      <w:bookmarkEnd w:id="8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本项目制定了相适应的环境风险应急预案；应急管理机构已建立，管理职责明确，应急机制合理有效。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综上所述，白金大道提升改造二期工程（近期）建设工程项目在设计、施工和试运营过程中采取了较为有效的生态保护和污染防治措施，对沿线敏感目标未产生明显影响，在现有交通状况下全线敏感点声环境及大气环境质量均满足相应标准要求。建议通过竣工环境保护验收。</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90" w:name="_Toc15894"/>
      <w:r>
        <w:rPr>
          <w:rFonts w:hint="eastAsia" w:ascii="Times New Roman" w:hAnsi="Times New Roman" w:eastAsia="宋体" w:cs="Times New Roman"/>
          <w:sz w:val="24"/>
          <w:szCs w:val="24"/>
          <w:lang w:val="en-US" w:eastAsia="zh-CN"/>
        </w:rPr>
        <w:t>10.2建议</w:t>
      </w:r>
      <w:bookmarkEnd w:id="9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1、建议对自然恢复效果欠佳的取土场尽快采取有效的生态恢复措施；并加强对工程沿线临时占地、绿化及护坡工程的养护和管理。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2、加强风险事故应急管理，定期开展应急演练，提高风险应对能力。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3、加强对沿线桥面径流收集系统、</w:t>
      </w:r>
      <w:r>
        <w:rPr>
          <w:rFonts w:hint="eastAsia" w:ascii="Times New Roman" w:hAnsi="Times New Roman" w:eastAsia="宋体" w:cs="Times New Roman"/>
          <w:sz w:val="24"/>
          <w:szCs w:val="24"/>
          <w:lang w:val="en-US" w:eastAsia="zh-CN"/>
        </w:rPr>
        <w:t>边沟、边坡防护设施、沿线绿化</w:t>
      </w:r>
      <w:r>
        <w:rPr>
          <w:rFonts w:hint="default" w:ascii="Times New Roman" w:hAnsi="Times New Roman" w:eastAsia="宋体" w:cs="Times New Roman"/>
          <w:sz w:val="24"/>
          <w:szCs w:val="24"/>
          <w:lang w:val="en-US" w:eastAsia="zh-CN"/>
        </w:rPr>
        <w:t>等的管理和维护，确保其正常运行。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4、加强对上路车辆的检查和管理，严禁高噪声和未加盖篷布的散装物料运载车辆上路。</w:t>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sz w:val="24"/>
          <w:szCs w:val="24"/>
          <w:lang w:val="en-US" w:eastAsia="zh-CN"/>
        </w:rPr>
      </w:pPr>
      <w:bookmarkStart w:id="91" w:name="_Toc5173"/>
      <w:r>
        <w:rPr>
          <w:rFonts w:hint="eastAsia" w:ascii="Times New Roman" w:hAnsi="Times New Roman" w:eastAsia="宋体" w:cs="Times New Roman"/>
          <w:sz w:val="24"/>
          <w:szCs w:val="24"/>
          <w:lang w:val="en-US" w:eastAsia="zh-CN"/>
        </w:rPr>
        <w:t>附件一：立项文件批复</w:t>
      </w:r>
      <w:bookmarkEnd w:id="9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sz w:val="24"/>
          <w:szCs w:val="24"/>
          <w:lang w:val="en-US" w:eastAsia="zh-CN"/>
        </w:rPr>
      </w:pPr>
      <w:r>
        <w:drawing>
          <wp:inline distT="0" distB="0" distL="114300" distR="114300">
            <wp:extent cx="5271770" cy="6811645"/>
            <wp:effectExtent l="0" t="0" r="5080" b="825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0"/>
                    <a:stretch>
                      <a:fillRect/>
                    </a:stretch>
                  </pic:blipFill>
                  <pic:spPr>
                    <a:xfrm>
                      <a:off x="0" y="0"/>
                      <a:ext cx="5271770" cy="6811645"/>
                    </a:xfrm>
                    <a:prstGeom prst="rect">
                      <a:avLst/>
                    </a:prstGeom>
                    <a:noFill/>
                    <a:ln>
                      <a:noFill/>
                    </a:ln>
                  </pic:spPr>
                </pic:pic>
              </a:graphicData>
            </a:graphic>
          </wp:inline>
        </w:drawing>
      </w:r>
      <w:r>
        <w:drawing>
          <wp:inline distT="0" distB="0" distL="114300" distR="114300">
            <wp:extent cx="5269865" cy="7092315"/>
            <wp:effectExtent l="0" t="0" r="6985" b="1333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1"/>
                    <a:stretch>
                      <a:fillRect/>
                    </a:stretch>
                  </pic:blipFill>
                  <pic:spPr>
                    <a:xfrm>
                      <a:off x="0" y="0"/>
                      <a:ext cx="5269865" cy="7092315"/>
                    </a:xfrm>
                    <a:prstGeom prst="rect">
                      <a:avLst/>
                    </a:prstGeom>
                    <a:noFill/>
                    <a:ln>
                      <a:noFill/>
                    </a:ln>
                  </pic:spPr>
                </pic:pic>
              </a:graphicData>
            </a:graphic>
          </wp:inline>
        </w:drawing>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sz w:val="24"/>
          <w:szCs w:val="24"/>
          <w:lang w:val="en-US" w:eastAsia="zh-CN"/>
        </w:rPr>
      </w:pPr>
      <w:bookmarkStart w:id="92" w:name="_Toc24834"/>
      <w:r>
        <w:rPr>
          <w:rFonts w:hint="eastAsia" w:ascii="Times New Roman" w:hAnsi="Times New Roman" w:eastAsia="宋体" w:cs="Times New Roman"/>
          <w:sz w:val="24"/>
          <w:szCs w:val="24"/>
          <w:lang w:val="en-US" w:eastAsia="zh-CN"/>
        </w:rPr>
        <w:t>附件二：环评批复文件</w:t>
      </w:r>
      <w:bookmarkEnd w:id="9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sz w:val="24"/>
          <w:szCs w:val="24"/>
          <w:lang w:val="en-US" w:eastAsia="zh-CN"/>
        </w:rPr>
      </w:pPr>
      <w:r>
        <w:rPr>
          <w:rFonts w:hint="eastAsia" w:eastAsiaTheme="minorEastAsia"/>
          <w:lang w:eastAsia="zh-CN"/>
        </w:rPr>
        <w:drawing>
          <wp:inline distT="0" distB="0" distL="114300" distR="114300">
            <wp:extent cx="5269865" cy="7254240"/>
            <wp:effectExtent l="0" t="0" r="6985" b="3810"/>
            <wp:docPr id="20" name="图片 20" descr="001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01 132"/>
                    <pic:cNvPicPr>
                      <a:picLocks noChangeAspect="1"/>
                    </pic:cNvPicPr>
                  </pic:nvPicPr>
                  <pic:blipFill>
                    <a:blip r:embed="rId22"/>
                    <a:stretch>
                      <a:fillRect/>
                    </a:stretch>
                  </pic:blipFill>
                  <pic:spPr>
                    <a:xfrm>
                      <a:off x="0" y="0"/>
                      <a:ext cx="5269865" cy="7254240"/>
                    </a:xfrm>
                    <a:prstGeom prst="rect">
                      <a:avLst/>
                    </a:prstGeom>
                  </pic:spPr>
                </pic:pic>
              </a:graphicData>
            </a:graphic>
          </wp:inline>
        </w:drawing>
      </w:r>
      <w:r>
        <w:rPr>
          <w:rFonts w:hint="eastAsia" w:eastAsiaTheme="minorEastAsia"/>
          <w:lang w:eastAsia="zh-CN"/>
        </w:rPr>
        <w:drawing>
          <wp:inline distT="0" distB="0" distL="114300" distR="114300">
            <wp:extent cx="5269865" cy="7254240"/>
            <wp:effectExtent l="0" t="0" r="6985" b="3810"/>
            <wp:docPr id="21" name="图片 21" descr="001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 133"/>
                    <pic:cNvPicPr>
                      <a:picLocks noChangeAspect="1"/>
                    </pic:cNvPicPr>
                  </pic:nvPicPr>
                  <pic:blipFill>
                    <a:blip r:embed="rId23"/>
                    <a:stretch>
                      <a:fillRect/>
                    </a:stretch>
                  </pic:blipFill>
                  <pic:spPr>
                    <a:xfrm>
                      <a:off x="0" y="0"/>
                      <a:ext cx="5269865" cy="7254240"/>
                    </a:xfrm>
                    <a:prstGeom prst="rect">
                      <a:avLst/>
                    </a:prstGeom>
                  </pic:spPr>
                </pic:pic>
              </a:graphicData>
            </a:graphic>
          </wp:inline>
        </w:drawing>
      </w:r>
      <w:r>
        <w:rPr>
          <w:rFonts w:hint="eastAsia" w:eastAsiaTheme="minorEastAsia"/>
          <w:lang w:eastAsia="zh-CN"/>
        </w:rPr>
        <w:drawing>
          <wp:inline distT="0" distB="0" distL="114300" distR="114300">
            <wp:extent cx="5269865" cy="7254240"/>
            <wp:effectExtent l="0" t="0" r="6985" b="3810"/>
            <wp:docPr id="22" name="图片 22" descr="001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01 134"/>
                    <pic:cNvPicPr>
                      <a:picLocks noChangeAspect="1"/>
                    </pic:cNvPicPr>
                  </pic:nvPicPr>
                  <pic:blipFill>
                    <a:blip r:embed="rId24"/>
                    <a:stretch>
                      <a:fillRect/>
                    </a:stretch>
                  </pic:blipFill>
                  <pic:spPr>
                    <a:xfrm>
                      <a:off x="0" y="0"/>
                      <a:ext cx="5269865" cy="7254240"/>
                    </a:xfrm>
                    <a:prstGeom prst="rect">
                      <a:avLst/>
                    </a:prstGeom>
                  </pic:spPr>
                </pic:pic>
              </a:graphicData>
            </a:graphic>
          </wp:inline>
        </w:drawing>
      </w:r>
      <w:r>
        <w:rPr>
          <w:rFonts w:hint="eastAsia" w:eastAsiaTheme="minorEastAsia"/>
          <w:lang w:eastAsia="zh-CN"/>
        </w:rPr>
        <w:drawing>
          <wp:inline distT="0" distB="0" distL="114300" distR="114300">
            <wp:extent cx="5269865" cy="7254240"/>
            <wp:effectExtent l="0" t="0" r="6985" b="3810"/>
            <wp:docPr id="23" name="图片 23" descr="001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01 135"/>
                    <pic:cNvPicPr>
                      <a:picLocks noChangeAspect="1"/>
                    </pic:cNvPicPr>
                  </pic:nvPicPr>
                  <pic:blipFill>
                    <a:blip r:embed="rId25"/>
                    <a:stretch>
                      <a:fillRect/>
                    </a:stretch>
                  </pic:blipFill>
                  <pic:spPr>
                    <a:xfrm>
                      <a:off x="0" y="0"/>
                      <a:ext cx="5269865" cy="7254240"/>
                    </a:xfrm>
                    <a:prstGeom prst="rect">
                      <a:avLst/>
                    </a:prstGeom>
                  </pic:spPr>
                </pic:pic>
              </a:graphicData>
            </a:graphic>
          </wp:inline>
        </w:drawing>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sz w:val="24"/>
          <w:szCs w:val="24"/>
          <w:lang w:val="en-US" w:eastAsia="zh-CN"/>
        </w:rPr>
      </w:pPr>
      <w:bookmarkStart w:id="93" w:name="_Toc20299"/>
      <w:r>
        <w:rPr>
          <w:rFonts w:hint="eastAsia" w:ascii="Times New Roman" w:hAnsi="Times New Roman" w:eastAsia="宋体" w:cs="Times New Roman"/>
          <w:sz w:val="24"/>
          <w:szCs w:val="24"/>
          <w:lang w:val="en-US" w:eastAsia="zh-CN"/>
        </w:rPr>
        <w:t>附件三：验收监测报告</w:t>
      </w:r>
      <w:bookmarkEnd w:id="9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5038725" cy="7038975"/>
            <wp:effectExtent l="0" t="0" r="9525" b="952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6"/>
                    <a:stretch>
                      <a:fillRect/>
                    </a:stretch>
                  </pic:blipFill>
                  <pic:spPr>
                    <a:xfrm>
                      <a:off x="0" y="0"/>
                      <a:ext cx="5038725" cy="7038975"/>
                    </a:xfrm>
                    <a:prstGeom prst="rect">
                      <a:avLst/>
                    </a:prstGeom>
                    <a:noFill/>
                    <a:ln>
                      <a:noFill/>
                    </a:ln>
                  </pic:spPr>
                </pic:pic>
              </a:graphicData>
            </a:graphic>
          </wp:inline>
        </w:drawing>
      </w:r>
      <w:r>
        <w:drawing>
          <wp:inline distT="0" distB="0" distL="114300" distR="114300">
            <wp:extent cx="5000625" cy="6867525"/>
            <wp:effectExtent l="0" t="0" r="9525" b="952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7"/>
                    <a:stretch>
                      <a:fillRect/>
                    </a:stretch>
                  </pic:blipFill>
                  <pic:spPr>
                    <a:xfrm>
                      <a:off x="0" y="0"/>
                      <a:ext cx="5000625" cy="6867525"/>
                    </a:xfrm>
                    <a:prstGeom prst="rect">
                      <a:avLst/>
                    </a:prstGeom>
                    <a:noFill/>
                    <a:ln>
                      <a:noFill/>
                    </a:ln>
                  </pic:spPr>
                </pic:pic>
              </a:graphicData>
            </a:graphic>
          </wp:inline>
        </w:drawing>
      </w:r>
      <w:r>
        <w:drawing>
          <wp:inline distT="0" distB="0" distL="114300" distR="114300">
            <wp:extent cx="5000625" cy="6972300"/>
            <wp:effectExtent l="0" t="0" r="9525"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8"/>
                    <a:stretch>
                      <a:fillRect/>
                    </a:stretch>
                  </pic:blipFill>
                  <pic:spPr>
                    <a:xfrm>
                      <a:off x="0" y="0"/>
                      <a:ext cx="5000625" cy="6972300"/>
                    </a:xfrm>
                    <a:prstGeom prst="rect">
                      <a:avLst/>
                    </a:prstGeom>
                    <a:noFill/>
                    <a:ln>
                      <a:noFill/>
                    </a:ln>
                  </pic:spPr>
                </pic:pic>
              </a:graphicData>
            </a:graphic>
          </wp:inline>
        </w:drawing>
      </w:r>
      <w:r>
        <w:drawing>
          <wp:inline distT="0" distB="0" distL="114300" distR="114300">
            <wp:extent cx="4991100" cy="6991350"/>
            <wp:effectExtent l="0" t="0" r="0" b="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29"/>
                    <a:stretch>
                      <a:fillRect/>
                    </a:stretch>
                  </pic:blipFill>
                  <pic:spPr>
                    <a:xfrm>
                      <a:off x="0" y="0"/>
                      <a:ext cx="4991100" cy="6991350"/>
                    </a:xfrm>
                    <a:prstGeom prst="rect">
                      <a:avLst/>
                    </a:prstGeom>
                    <a:noFill/>
                    <a:ln>
                      <a:noFill/>
                    </a:ln>
                  </pic:spPr>
                </pic:pic>
              </a:graphicData>
            </a:graphic>
          </wp:inline>
        </w:drawing>
      </w:r>
      <w:r>
        <w:drawing>
          <wp:inline distT="0" distB="0" distL="114300" distR="114300">
            <wp:extent cx="5010150" cy="6972300"/>
            <wp:effectExtent l="0" t="0" r="0" b="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30"/>
                    <a:stretch>
                      <a:fillRect/>
                    </a:stretch>
                  </pic:blipFill>
                  <pic:spPr>
                    <a:xfrm>
                      <a:off x="0" y="0"/>
                      <a:ext cx="5010150" cy="6972300"/>
                    </a:xfrm>
                    <a:prstGeom prst="rect">
                      <a:avLst/>
                    </a:prstGeom>
                    <a:noFill/>
                    <a:ln>
                      <a:noFill/>
                    </a:ln>
                  </pic:spPr>
                </pic:pic>
              </a:graphicData>
            </a:graphic>
          </wp:inline>
        </w:drawing>
      </w:r>
      <w:r>
        <w:drawing>
          <wp:inline distT="0" distB="0" distL="114300" distR="114300">
            <wp:extent cx="5019675" cy="7019925"/>
            <wp:effectExtent l="0" t="0" r="9525" b="952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31"/>
                    <a:stretch>
                      <a:fillRect/>
                    </a:stretch>
                  </pic:blipFill>
                  <pic:spPr>
                    <a:xfrm>
                      <a:off x="0" y="0"/>
                      <a:ext cx="5019675" cy="7019925"/>
                    </a:xfrm>
                    <a:prstGeom prst="rect">
                      <a:avLst/>
                    </a:prstGeom>
                    <a:noFill/>
                    <a:ln>
                      <a:noFill/>
                    </a:ln>
                  </pic:spPr>
                </pic:pic>
              </a:graphicData>
            </a:graphic>
          </wp:inline>
        </w:drawing>
      </w:r>
      <w:r>
        <w:drawing>
          <wp:inline distT="0" distB="0" distL="114300" distR="114300">
            <wp:extent cx="4962525" cy="7010400"/>
            <wp:effectExtent l="0" t="0" r="9525" b="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32"/>
                    <a:stretch>
                      <a:fillRect/>
                    </a:stretch>
                  </pic:blipFill>
                  <pic:spPr>
                    <a:xfrm>
                      <a:off x="0" y="0"/>
                      <a:ext cx="4962525" cy="7010400"/>
                    </a:xfrm>
                    <a:prstGeom prst="rect">
                      <a:avLst/>
                    </a:prstGeom>
                    <a:noFill/>
                    <a:ln>
                      <a:noFill/>
                    </a:ln>
                  </pic:spPr>
                </pic:pic>
              </a:graphicData>
            </a:graphic>
          </wp:inline>
        </w:drawing>
      </w:r>
      <w:r>
        <w:drawing>
          <wp:inline distT="0" distB="0" distL="114300" distR="114300">
            <wp:extent cx="4972050" cy="6819900"/>
            <wp:effectExtent l="0" t="0" r="0" b="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33"/>
                    <a:stretch>
                      <a:fillRect/>
                    </a:stretch>
                  </pic:blipFill>
                  <pic:spPr>
                    <a:xfrm>
                      <a:off x="0" y="0"/>
                      <a:ext cx="4972050" cy="6819900"/>
                    </a:xfrm>
                    <a:prstGeom prst="rect">
                      <a:avLst/>
                    </a:prstGeom>
                    <a:noFill/>
                    <a:ln>
                      <a:noFill/>
                    </a:ln>
                  </pic:spPr>
                </pic:pic>
              </a:graphicData>
            </a:graphic>
          </wp:inline>
        </w:drawing>
      </w:r>
      <w:r>
        <w:drawing>
          <wp:inline distT="0" distB="0" distL="114300" distR="114300">
            <wp:extent cx="4953000" cy="6934200"/>
            <wp:effectExtent l="0" t="0" r="0" b="0"/>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34"/>
                    <a:stretch>
                      <a:fillRect/>
                    </a:stretch>
                  </pic:blipFill>
                  <pic:spPr>
                    <a:xfrm>
                      <a:off x="0" y="0"/>
                      <a:ext cx="4953000" cy="6934200"/>
                    </a:xfrm>
                    <a:prstGeom prst="rect">
                      <a:avLst/>
                    </a:prstGeom>
                    <a:noFill/>
                    <a:ln>
                      <a:noFill/>
                    </a:ln>
                  </pic:spPr>
                </pic:pic>
              </a:graphicData>
            </a:graphic>
          </wp:inline>
        </w:drawing>
      </w:r>
      <w:r>
        <w:drawing>
          <wp:inline distT="0" distB="0" distL="114300" distR="114300">
            <wp:extent cx="5029200" cy="7000875"/>
            <wp:effectExtent l="0" t="0" r="0" b="952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35"/>
                    <a:stretch>
                      <a:fillRect/>
                    </a:stretch>
                  </pic:blipFill>
                  <pic:spPr>
                    <a:xfrm>
                      <a:off x="0" y="0"/>
                      <a:ext cx="5029200" cy="7000875"/>
                    </a:xfrm>
                    <a:prstGeom prst="rect">
                      <a:avLst/>
                    </a:prstGeom>
                    <a:noFill/>
                    <a:ln>
                      <a:noFill/>
                    </a:ln>
                  </pic:spPr>
                </pic:pic>
              </a:graphicData>
            </a:graphic>
          </wp:inline>
        </w:drawing>
      </w:r>
      <w:r>
        <w:drawing>
          <wp:inline distT="0" distB="0" distL="114300" distR="114300">
            <wp:extent cx="5000625" cy="6800850"/>
            <wp:effectExtent l="0" t="0" r="9525" b="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36"/>
                    <a:stretch>
                      <a:fillRect/>
                    </a:stretch>
                  </pic:blipFill>
                  <pic:spPr>
                    <a:xfrm>
                      <a:off x="0" y="0"/>
                      <a:ext cx="5000625" cy="6800850"/>
                    </a:xfrm>
                    <a:prstGeom prst="rect">
                      <a:avLst/>
                    </a:prstGeom>
                    <a:noFill/>
                    <a:ln>
                      <a:noFill/>
                    </a:ln>
                  </pic:spPr>
                </pic:pic>
              </a:graphicData>
            </a:graphic>
          </wp:inline>
        </w:drawing>
      </w:r>
      <w:r>
        <w:drawing>
          <wp:inline distT="0" distB="0" distL="114300" distR="114300">
            <wp:extent cx="4933950" cy="6981825"/>
            <wp:effectExtent l="0" t="0" r="0" b="9525"/>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37"/>
                    <a:stretch>
                      <a:fillRect/>
                    </a:stretch>
                  </pic:blipFill>
                  <pic:spPr>
                    <a:xfrm>
                      <a:off x="0" y="0"/>
                      <a:ext cx="4933950" cy="6981825"/>
                    </a:xfrm>
                    <a:prstGeom prst="rect">
                      <a:avLst/>
                    </a:prstGeom>
                    <a:noFill/>
                    <a:ln>
                      <a:noFill/>
                    </a:ln>
                  </pic:spPr>
                </pic:pic>
              </a:graphicData>
            </a:graphic>
          </wp:inline>
        </w:drawing>
      </w:r>
      <w:r>
        <w:drawing>
          <wp:inline distT="0" distB="0" distL="114300" distR="114300">
            <wp:extent cx="5010150" cy="6838950"/>
            <wp:effectExtent l="0" t="0" r="0" b="0"/>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1"/>
                    </pic:cNvPicPr>
                  </pic:nvPicPr>
                  <pic:blipFill>
                    <a:blip r:embed="rId38"/>
                    <a:stretch>
                      <a:fillRect/>
                    </a:stretch>
                  </pic:blipFill>
                  <pic:spPr>
                    <a:xfrm>
                      <a:off x="0" y="0"/>
                      <a:ext cx="5010150" cy="6838950"/>
                    </a:xfrm>
                    <a:prstGeom prst="rect">
                      <a:avLst/>
                    </a:prstGeom>
                    <a:noFill/>
                    <a:ln>
                      <a:noFill/>
                    </a:ln>
                  </pic:spPr>
                </pic:pic>
              </a:graphicData>
            </a:graphic>
          </wp:inline>
        </w:drawing>
      </w:r>
      <w:r>
        <w:drawing>
          <wp:inline distT="0" distB="0" distL="114300" distR="114300">
            <wp:extent cx="4962525" cy="6981825"/>
            <wp:effectExtent l="0" t="0" r="9525" b="9525"/>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pic:cNvPicPr>
                      <a:picLocks noChangeAspect="1"/>
                    </pic:cNvPicPr>
                  </pic:nvPicPr>
                  <pic:blipFill>
                    <a:blip r:embed="rId39"/>
                    <a:stretch>
                      <a:fillRect/>
                    </a:stretch>
                  </pic:blipFill>
                  <pic:spPr>
                    <a:xfrm>
                      <a:off x="0" y="0"/>
                      <a:ext cx="4962525" cy="6981825"/>
                    </a:xfrm>
                    <a:prstGeom prst="rect">
                      <a:avLst/>
                    </a:prstGeom>
                    <a:noFill/>
                    <a:ln>
                      <a:noFill/>
                    </a:ln>
                  </pic:spPr>
                </pic:pic>
              </a:graphicData>
            </a:graphic>
          </wp:inline>
        </w:drawing>
      </w:r>
      <w:r>
        <w:drawing>
          <wp:inline distT="0" distB="0" distL="114300" distR="114300">
            <wp:extent cx="4991100" cy="7019925"/>
            <wp:effectExtent l="0" t="0" r="0" b="9525"/>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40"/>
                    <a:stretch>
                      <a:fillRect/>
                    </a:stretch>
                  </pic:blipFill>
                  <pic:spPr>
                    <a:xfrm>
                      <a:off x="0" y="0"/>
                      <a:ext cx="4991100" cy="7019925"/>
                    </a:xfrm>
                    <a:prstGeom prst="rect">
                      <a:avLst/>
                    </a:prstGeom>
                    <a:noFill/>
                    <a:ln>
                      <a:noFill/>
                    </a:ln>
                  </pic:spPr>
                </pic:pic>
              </a:graphicData>
            </a:graphic>
          </wp:inline>
        </w:drawing>
      </w:r>
      <w:r>
        <w:drawing>
          <wp:inline distT="0" distB="0" distL="114300" distR="114300">
            <wp:extent cx="4943475" cy="6953250"/>
            <wp:effectExtent l="0" t="0" r="9525" b="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41"/>
                    <a:stretch>
                      <a:fillRect/>
                    </a:stretch>
                  </pic:blipFill>
                  <pic:spPr>
                    <a:xfrm>
                      <a:off x="0" y="0"/>
                      <a:ext cx="4943475" cy="6953250"/>
                    </a:xfrm>
                    <a:prstGeom prst="rect">
                      <a:avLst/>
                    </a:prstGeom>
                    <a:noFill/>
                    <a:ln>
                      <a:noFill/>
                    </a:ln>
                  </pic:spPr>
                </pic:pic>
              </a:graphicData>
            </a:graphic>
          </wp:inline>
        </w:drawing>
      </w:r>
      <w:r>
        <w:drawing>
          <wp:inline distT="0" distB="0" distL="114300" distR="114300">
            <wp:extent cx="5019675" cy="6991350"/>
            <wp:effectExtent l="0" t="0" r="9525" b="0"/>
            <wp:docPr id="6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pic:cNvPicPr>
                      <a:picLocks noChangeAspect="1"/>
                    </pic:cNvPicPr>
                  </pic:nvPicPr>
                  <pic:blipFill>
                    <a:blip r:embed="rId42"/>
                    <a:stretch>
                      <a:fillRect/>
                    </a:stretch>
                  </pic:blipFill>
                  <pic:spPr>
                    <a:xfrm>
                      <a:off x="0" y="0"/>
                      <a:ext cx="5019675" cy="6991350"/>
                    </a:xfrm>
                    <a:prstGeom prst="rect">
                      <a:avLst/>
                    </a:prstGeom>
                    <a:noFill/>
                    <a:ln>
                      <a:noFill/>
                    </a:ln>
                  </pic:spPr>
                </pic:pic>
              </a:graphicData>
            </a:graphic>
          </wp:inline>
        </w:drawing>
      </w:r>
      <w:r>
        <w:drawing>
          <wp:inline distT="0" distB="0" distL="114300" distR="114300">
            <wp:extent cx="5048250" cy="6877050"/>
            <wp:effectExtent l="0" t="0" r="0" b="0"/>
            <wp:docPr id="6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
                    <pic:cNvPicPr>
                      <a:picLocks noChangeAspect="1"/>
                    </pic:cNvPicPr>
                  </pic:nvPicPr>
                  <pic:blipFill>
                    <a:blip r:embed="rId43"/>
                    <a:stretch>
                      <a:fillRect/>
                    </a:stretch>
                  </pic:blipFill>
                  <pic:spPr>
                    <a:xfrm>
                      <a:off x="0" y="0"/>
                      <a:ext cx="5048250" cy="6877050"/>
                    </a:xfrm>
                    <a:prstGeom prst="rect">
                      <a:avLst/>
                    </a:prstGeom>
                    <a:noFill/>
                    <a:ln>
                      <a:noFill/>
                    </a:ln>
                  </pic:spPr>
                </pic:pic>
              </a:graphicData>
            </a:graphic>
          </wp:inline>
        </w:drawing>
      </w:r>
      <w:r>
        <w:drawing>
          <wp:inline distT="0" distB="0" distL="114300" distR="114300">
            <wp:extent cx="5019675" cy="7096125"/>
            <wp:effectExtent l="0" t="0" r="9525" b="9525"/>
            <wp:docPr id="6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pic:cNvPicPr>
                      <a:picLocks noChangeAspect="1"/>
                    </pic:cNvPicPr>
                  </pic:nvPicPr>
                  <pic:blipFill>
                    <a:blip r:embed="rId44"/>
                    <a:stretch>
                      <a:fillRect/>
                    </a:stretch>
                  </pic:blipFill>
                  <pic:spPr>
                    <a:xfrm>
                      <a:off x="0" y="0"/>
                      <a:ext cx="5019675" cy="7096125"/>
                    </a:xfrm>
                    <a:prstGeom prst="rect">
                      <a:avLst/>
                    </a:prstGeom>
                    <a:noFill/>
                    <a:ln>
                      <a:noFill/>
                    </a:ln>
                  </pic:spPr>
                </pic:pic>
              </a:graphicData>
            </a:graphic>
          </wp:inline>
        </w:drawing>
      </w:r>
      <w:r>
        <w:drawing>
          <wp:inline distT="0" distB="0" distL="114300" distR="114300">
            <wp:extent cx="4962525" cy="6972300"/>
            <wp:effectExtent l="0" t="0" r="9525" b="0"/>
            <wp:docPr id="6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pic:cNvPicPr>
                      <a:picLocks noChangeAspect="1"/>
                    </pic:cNvPicPr>
                  </pic:nvPicPr>
                  <pic:blipFill>
                    <a:blip r:embed="rId45"/>
                    <a:stretch>
                      <a:fillRect/>
                    </a:stretch>
                  </pic:blipFill>
                  <pic:spPr>
                    <a:xfrm>
                      <a:off x="0" y="0"/>
                      <a:ext cx="4962525" cy="6972300"/>
                    </a:xfrm>
                    <a:prstGeom prst="rect">
                      <a:avLst/>
                    </a:prstGeom>
                    <a:noFill/>
                    <a:ln>
                      <a:noFill/>
                    </a:ln>
                  </pic:spPr>
                </pic:pic>
              </a:graphicData>
            </a:graphic>
          </wp:inline>
        </w:drawing>
      </w:r>
      <w:r>
        <w:drawing>
          <wp:inline distT="0" distB="0" distL="114300" distR="114300">
            <wp:extent cx="5010150" cy="6915150"/>
            <wp:effectExtent l="0" t="0" r="0" b="0"/>
            <wp:docPr id="6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1"/>
                    <pic:cNvPicPr>
                      <a:picLocks noChangeAspect="1"/>
                    </pic:cNvPicPr>
                  </pic:nvPicPr>
                  <pic:blipFill>
                    <a:blip r:embed="rId46"/>
                    <a:stretch>
                      <a:fillRect/>
                    </a:stretch>
                  </pic:blipFill>
                  <pic:spPr>
                    <a:xfrm>
                      <a:off x="0" y="0"/>
                      <a:ext cx="5010150" cy="6915150"/>
                    </a:xfrm>
                    <a:prstGeom prst="rect">
                      <a:avLst/>
                    </a:prstGeom>
                    <a:noFill/>
                    <a:ln>
                      <a:noFill/>
                    </a:ln>
                  </pic:spPr>
                </pic:pic>
              </a:graphicData>
            </a:graphic>
          </wp:inline>
        </w:drawing>
      </w:r>
      <w:r>
        <w:drawing>
          <wp:inline distT="0" distB="0" distL="114300" distR="114300">
            <wp:extent cx="5019675" cy="7077075"/>
            <wp:effectExtent l="0" t="0" r="9525" b="9525"/>
            <wp:docPr id="6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2"/>
                    <pic:cNvPicPr>
                      <a:picLocks noChangeAspect="1"/>
                    </pic:cNvPicPr>
                  </pic:nvPicPr>
                  <pic:blipFill>
                    <a:blip r:embed="rId47"/>
                    <a:stretch>
                      <a:fillRect/>
                    </a:stretch>
                  </pic:blipFill>
                  <pic:spPr>
                    <a:xfrm>
                      <a:off x="0" y="0"/>
                      <a:ext cx="5019675" cy="7077075"/>
                    </a:xfrm>
                    <a:prstGeom prst="rect">
                      <a:avLst/>
                    </a:prstGeom>
                    <a:noFill/>
                    <a:ln>
                      <a:noFill/>
                    </a:ln>
                  </pic:spPr>
                </pic:pic>
              </a:graphicData>
            </a:graphic>
          </wp:inline>
        </w:drawing>
      </w:r>
      <w:r>
        <w:drawing>
          <wp:inline distT="0" distB="0" distL="114300" distR="114300">
            <wp:extent cx="4991100" cy="6905625"/>
            <wp:effectExtent l="0" t="0" r="0" b="9525"/>
            <wp:docPr id="6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3"/>
                    <pic:cNvPicPr>
                      <a:picLocks noChangeAspect="1"/>
                    </pic:cNvPicPr>
                  </pic:nvPicPr>
                  <pic:blipFill>
                    <a:blip r:embed="rId48"/>
                    <a:stretch>
                      <a:fillRect/>
                    </a:stretch>
                  </pic:blipFill>
                  <pic:spPr>
                    <a:xfrm>
                      <a:off x="0" y="0"/>
                      <a:ext cx="4991100" cy="6905625"/>
                    </a:xfrm>
                    <a:prstGeom prst="rect">
                      <a:avLst/>
                    </a:prstGeom>
                    <a:noFill/>
                    <a:ln>
                      <a:noFill/>
                    </a:ln>
                  </pic:spPr>
                </pic:pic>
              </a:graphicData>
            </a:graphic>
          </wp:inline>
        </w:drawing>
      </w:r>
      <w:r>
        <w:drawing>
          <wp:inline distT="0" distB="0" distL="114300" distR="114300">
            <wp:extent cx="4943475" cy="7048500"/>
            <wp:effectExtent l="0" t="0" r="9525" b="0"/>
            <wp:docPr id="6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4"/>
                    <pic:cNvPicPr>
                      <a:picLocks noChangeAspect="1"/>
                    </pic:cNvPicPr>
                  </pic:nvPicPr>
                  <pic:blipFill>
                    <a:blip r:embed="rId49"/>
                    <a:stretch>
                      <a:fillRect/>
                    </a:stretch>
                  </pic:blipFill>
                  <pic:spPr>
                    <a:xfrm>
                      <a:off x="0" y="0"/>
                      <a:ext cx="4943475" cy="7048500"/>
                    </a:xfrm>
                    <a:prstGeom prst="rect">
                      <a:avLst/>
                    </a:prstGeom>
                    <a:noFill/>
                    <a:ln>
                      <a:noFill/>
                    </a:ln>
                  </pic:spPr>
                </pic:pic>
              </a:graphicData>
            </a:graphic>
          </wp:inline>
        </w:drawing>
      </w:r>
      <w:r>
        <w:drawing>
          <wp:inline distT="0" distB="0" distL="114300" distR="114300">
            <wp:extent cx="4981575" cy="6753225"/>
            <wp:effectExtent l="0" t="0" r="9525" b="9525"/>
            <wp:docPr id="7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5"/>
                    <pic:cNvPicPr>
                      <a:picLocks noChangeAspect="1"/>
                    </pic:cNvPicPr>
                  </pic:nvPicPr>
                  <pic:blipFill>
                    <a:blip r:embed="rId50"/>
                    <a:stretch>
                      <a:fillRect/>
                    </a:stretch>
                  </pic:blipFill>
                  <pic:spPr>
                    <a:xfrm>
                      <a:off x="0" y="0"/>
                      <a:ext cx="4981575" cy="6753225"/>
                    </a:xfrm>
                    <a:prstGeom prst="rect">
                      <a:avLst/>
                    </a:prstGeom>
                    <a:noFill/>
                    <a:ln>
                      <a:noFill/>
                    </a:ln>
                  </pic:spPr>
                </pic:pic>
              </a:graphicData>
            </a:graphic>
          </wp:inline>
        </w:drawing>
      </w:r>
      <w:r>
        <w:drawing>
          <wp:inline distT="0" distB="0" distL="114300" distR="114300">
            <wp:extent cx="4991100" cy="6848475"/>
            <wp:effectExtent l="0" t="0" r="0" b="9525"/>
            <wp:docPr id="7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6"/>
                    <pic:cNvPicPr>
                      <a:picLocks noChangeAspect="1"/>
                    </pic:cNvPicPr>
                  </pic:nvPicPr>
                  <pic:blipFill>
                    <a:blip r:embed="rId51"/>
                    <a:stretch>
                      <a:fillRect/>
                    </a:stretch>
                  </pic:blipFill>
                  <pic:spPr>
                    <a:xfrm>
                      <a:off x="0" y="0"/>
                      <a:ext cx="4991100" cy="6848475"/>
                    </a:xfrm>
                    <a:prstGeom prst="rect">
                      <a:avLst/>
                    </a:prstGeom>
                    <a:noFill/>
                    <a:ln>
                      <a:noFill/>
                    </a:ln>
                  </pic:spPr>
                </pic:pic>
              </a:graphicData>
            </a:graphic>
          </wp:inline>
        </w:drawing>
      </w:r>
      <w:r>
        <w:drawing>
          <wp:inline distT="0" distB="0" distL="114300" distR="114300">
            <wp:extent cx="5029200" cy="6915150"/>
            <wp:effectExtent l="0" t="0" r="0" b="0"/>
            <wp:docPr id="7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7"/>
                    <pic:cNvPicPr>
                      <a:picLocks noChangeAspect="1"/>
                    </pic:cNvPicPr>
                  </pic:nvPicPr>
                  <pic:blipFill>
                    <a:blip r:embed="rId52"/>
                    <a:stretch>
                      <a:fillRect/>
                    </a:stretch>
                  </pic:blipFill>
                  <pic:spPr>
                    <a:xfrm>
                      <a:off x="0" y="0"/>
                      <a:ext cx="5029200" cy="6915150"/>
                    </a:xfrm>
                    <a:prstGeom prst="rect">
                      <a:avLst/>
                    </a:prstGeom>
                    <a:noFill/>
                    <a:ln>
                      <a:noFill/>
                    </a:ln>
                  </pic:spPr>
                </pic:pic>
              </a:graphicData>
            </a:graphic>
          </wp:inline>
        </w:drawing>
      </w:r>
      <w:r>
        <w:drawing>
          <wp:inline distT="0" distB="0" distL="114300" distR="114300">
            <wp:extent cx="4895850" cy="6905625"/>
            <wp:effectExtent l="0" t="0" r="0" b="9525"/>
            <wp:docPr id="7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8"/>
                    <pic:cNvPicPr>
                      <a:picLocks noChangeAspect="1"/>
                    </pic:cNvPicPr>
                  </pic:nvPicPr>
                  <pic:blipFill>
                    <a:blip r:embed="rId53"/>
                    <a:stretch>
                      <a:fillRect/>
                    </a:stretch>
                  </pic:blipFill>
                  <pic:spPr>
                    <a:xfrm>
                      <a:off x="0" y="0"/>
                      <a:ext cx="4895850" cy="6905625"/>
                    </a:xfrm>
                    <a:prstGeom prst="rect">
                      <a:avLst/>
                    </a:prstGeom>
                    <a:noFill/>
                    <a:ln>
                      <a:noFill/>
                    </a:ln>
                  </pic:spPr>
                </pic:pic>
              </a:graphicData>
            </a:graphic>
          </wp:inline>
        </w:drawing>
      </w:r>
      <w:r>
        <w:drawing>
          <wp:inline distT="0" distB="0" distL="114300" distR="114300">
            <wp:extent cx="4991100" cy="7086600"/>
            <wp:effectExtent l="0" t="0" r="0" b="0"/>
            <wp:docPr id="7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9"/>
                    <pic:cNvPicPr>
                      <a:picLocks noChangeAspect="1"/>
                    </pic:cNvPicPr>
                  </pic:nvPicPr>
                  <pic:blipFill>
                    <a:blip r:embed="rId54"/>
                    <a:stretch>
                      <a:fillRect/>
                    </a:stretch>
                  </pic:blipFill>
                  <pic:spPr>
                    <a:xfrm>
                      <a:off x="0" y="0"/>
                      <a:ext cx="4991100" cy="7086600"/>
                    </a:xfrm>
                    <a:prstGeom prst="rect">
                      <a:avLst/>
                    </a:prstGeom>
                    <a:noFill/>
                    <a:ln>
                      <a:noFill/>
                    </a:ln>
                  </pic:spPr>
                </pic:pic>
              </a:graphicData>
            </a:graphic>
          </wp:inline>
        </w:drawing>
      </w:r>
      <w:r>
        <w:drawing>
          <wp:inline distT="0" distB="0" distL="114300" distR="114300">
            <wp:extent cx="4981575" cy="6762750"/>
            <wp:effectExtent l="0" t="0" r="9525" b="0"/>
            <wp:docPr id="7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0"/>
                    <pic:cNvPicPr>
                      <a:picLocks noChangeAspect="1"/>
                    </pic:cNvPicPr>
                  </pic:nvPicPr>
                  <pic:blipFill>
                    <a:blip r:embed="rId55"/>
                    <a:stretch>
                      <a:fillRect/>
                    </a:stretch>
                  </pic:blipFill>
                  <pic:spPr>
                    <a:xfrm>
                      <a:off x="0" y="0"/>
                      <a:ext cx="4981575" cy="6762750"/>
                    </a:xfrm>
                    <a:prstGeom prst="rect">
                      <a:avLst/>
                    </a:prstGeom>
                    <a:noFill/>
                    <a:ln>
                      <a:noFill/>
                    </a:ln>
                  </pic:spPr>
                </pic:pic>
              </a:graphicData>
            </a:graphic>
          </wp:inline>
        </w:drawing>
      </w:r>
      <w:r>
        <w:drawing>
          <wp:inline distT="0" distB="0" distL="114300" distR="114300">
            <wp:extent cx="4943475" cy="7058025"/>
            <wp:effectExtent l="0" t="0" r="9525" b="9525"/>
            <wp:docPr id="7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1"/>
                    <pic:cNvPicPr>
                      <a:picLocks noChangeAspect="1"/>
                    </pic:cNvPicPr>
                  </pic:nvPicPr>
                  <pic:blipFill>
                    <a:blip r:embed="rId56"/>
                    <a:stretch>
                      <a:fillRect/>
                    </a:stretch>
                  </pic:blipFill>
                  <pic:spPr>
                    <a:xfrm>
                      <a:off x="0" y="0"/>
                      <a:ext cx="4943475" cy="7058025"/>
                    </a:xfrm>
                    <a:prstGeom prst="rect">
                      <a:avLst/>
                    </a:prstGeom>
                    <a:noFill/>
                    <a:ln>
                      <a:noFill/>
                    </a:ln>
                  </pic:spPr>
                </pic:pic>
              </a:graphicData>
            </a:graphic>
          </wp:inline>
        </w:drawing>
      </w:r>
      <w:r>
        <w:drawing>
          <wp:inline distT="0" distB="0" distL="114300" distR="114300">
            <wp:extent cx="5057775" cy="6972300"/>
            <wp:effectExtent l="0" t="0" r="9525" b="0"/>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57"/>
                    <a:stretch>
                      <a:fillRect/>
                    </a:stretch>
                  </pic:blipFill>
                  <pic:spPr>
                    <a:xfrm>
                      <a:off x="0" y="0"/>
                      <a:ext cx="5057775" cy="6972300"/>
                    </a:xfrm>
                    <a:prstGeom prst="rect">
                      <a:avLst/>
                    </a:prstGeom>
                    <a:noFill/>
                    <a:ln>
                      <a:noFill/>
                    </a:ln>
                  </pic:spPr>
                </pic:pic>
              </a:graphicData>
            </a:graphic>
          </wp:inline>
        </w:drawing>
      </w:r>
      <w:r>
        <w:drawing>
          <wp:inline distT="0" distB="0" distL="114300" distR="114300">
            <wp:extent cx="5029200" cy="6943725"/>
            <wp:effectExtent l="0" t="0" r="0" b="9525"/>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58"/>
                    <a:stretch>
                      <a:fillRect/>
                    </a:stretch>
                  </pic:blipFill>
                  <pic:spPr>
                    <a:xfrm>
                      <a:off x="0" y="0"/>
                      <a:ext cx="5029200" cy="6943725"/>
                    </a:xfrm>
                    <a:prstGeom prst="rect">
                      <a:avLst/>
                    </a:prstGeom>
                    <a:noFill/>
                    <a:ln>
                      <a:noFill/>
                    </a:ln>
                  </pic:spPr>
                </pic:pic>
              </a:graphicData>
            </a:graphic>
          </wp:inline>
        </w:drawing>
      </w:r>
      <w:r>
        <w:drawing>
          <wp:inline distT="0" distB="0" distL="114300" distR="114300">
            <wp:extent cx="4953000" cy="6962775"/>
            <wp:effectExtent l="0" t="0" r="0" b="9525"/>
            <wp:docPr id="7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4"/>
                    <pic:cNvPicPr>
                      <a:picLocks noChangeAspect="1"/>
                    </pic:cNvPicPr>
                  </pic:nvPicPr>
                  <pic:blipFill>
                    <a:blip r:embed="rId59"/>
                    <a:stretch>
                      <a:fillRect/>
                    </a:stretch>
                  </pic:blipFill>
                  <pic:spPr>
                    <a:xfrm>
                      <a:off x="0" y="0"/>
                      <a:ext cx="4953000" cy="6962775"/>
                    </a:xfrm>
                    <a:prstGeom prst="rect">
                      <a:avLst/>
                    </a:prstGeom>
                    <a:noFill/>
                    <a:ln>
                      <a:noFill/>
                    </a:ln>
                  </pic:spPr>
                </pic:pic>
              </a:graphicData>
            </a:graphic>
          </wp:inline>
        </w:drawing>
      </w:r>
      <w:r>
        <w:drawing>
          <wp:inline distT="0" distB="0" distL="114300" distR="114300">
            <wp:extent cx="5029200" cy="6886575"/>
            <wp:effectExtent l="0" t="0" r="0" b="9525"/>
            <wp:docPr id="8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5"/>
                    <pic:cNvPicPr>
                      <a:picLocks noChangeAspect="1"/>
                    </pic:cNvPicPr>
                  </pic:nvPicPr>
                  <pic:blipFill>
                    <a:blip r:embed="rId60"/>
                    <a:stretch>
                      <a:fillRect/>
                    </a:stretch>
                  </pic:blipFill>
                  <pic:spPr>
                    <a:xfrm>
                      <a:off x="0" y="0"/>
                      <a:ext cx="5029200" cy="6886575"/>
                    </a:xfrm>
                    <a:prstGeom prst="rect">
                      <a:avLst/>
                    </a:prstGeom>
                    <a:noFill/>
                    <a:ln>
                      <a:noFill/>
                    </a:ln>
                  </pic:spPr>
                </pic:pic>
              </a:graphicData>
            </a:graphic>
          </wp:inline>
        </w:drawing>
      </w:r>
      <w:r>
        <w:drawing>
          <wp:inline distT="0" distB="0" distL="114300" distR="114300">
            <wp:extent cx="4962525" cy="7038975"/>
            <wp:effectExtent l="0" t="0" r="9525" b="9525"/>
            <wp:docPr id="8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6"/>
                    <pic:cNvPicPr>
                      <a:picLocks noChangeAspect="1"/>
                    </pic:cNvPicPr>
                  </pic:nvPicPr>
                  <pic:blipFill>
                    <a:blip r:embed="rId61"/>
                    <a:stretch>
                      <a:fillRect/>
                    </a:stretch>
                  </pic:blipFill>
                  <pic:spPr>
                    <a:xfrm>
                      <a:off x="0" y="0"/>
                      <a:ext cx="4962525" cy="7038975"/>
                    </a:xfrm>
                    <a:prstGeom prst="rect">
                      <a:avLst/>
                    </a:prstGeom>
                    <a:noFill/>
                    <a:ln>
                      <a:noFill/>
                    </a:ln>
                  </pic:spPr>
                </pic:pic>
              </a:graphicData>
            </a:graphic>
          </wp:inline>
        </w:drawing>
      </w:r>
      <w:r>
        <w:drawing>
          <wp:inline distT="0" distB="0" distL="114300" distR="114300">
            <wp:extent cx="4867275" cy="6743700"/>
            <wp:effectExtent l="0" t="0" r="9525" b="0"/>
            <wp:docPr id="8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7"/>
                    <pic:cNvPicPr>
                      <a:picLocks noChangeAspect="1"/>
                    </pic:cNvPicPr>
                  </pic:nvPicPr>
                  <pic:blipFill>
                    <a:blip r:embed="rId62"/>
                    <a:stretch>
                      <a:fillRect/>
                    </a:stretch>
                  </pic:blipFill>
                  <pic:spPr>
                    <a:xfrm>
                      <a:off x="0" y="0"/>
                      <a:ext cx="4867275" cy="6743700"/>
                    </a:xfrm>
                    <a:prstGeom prst="rect">
                      <a:avLst/>
                    </a:prstGeom>
                    <a:noFill/>
                    <a:ln>
                      <a:noFill/>
                    </a:ln>
                  </pic:spPr>
                </pic:pic>
              </a:graphicData>
            </a:graphic>
          </wp:inline>
        </w:drawing>
      </w:r>
      <w:r>
        <w:drawing>
          <wp:inline distT="0" distB="0" distL="114300" distR="114300">
            <wp:extent cx="4924425" cy="6886575"/>
            <wp:effectExtent l="0" t="0" r="9525" b="9525"/>
            <wp:docPr id="8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8"/>
                    <pic:cNvPicPr>
                      <a:picLocks noChangeAspect="1"/>
                    </pic:cNvPicPr>
                  </pic:nvPicPr>
                  <pic:blipFill>
                    <a:blip r:embed="rId63"/>
                    <a:stretch>
                      <a:fillRect/>
                    </a:stretch>
                  </pic:blipFill>
                  <pic:spPr>
                    <a:xfrm>
                      <a:off x="0" y="0"/>
                      <a:ext cx="4924425" cy="6886575"/>
                    </a:xfrm>
                    <a:prstGeom prst="rect">
                      <a:avLst/>
                    </a:prstGeom>
                    <a:noFill/>
                    <a:ln>
                      <a:noFill/>
                    </a:ln>
                  </pic:spPr>
                </pic:pic>
              </a:graphicData>
            </a:graphic>
          </wp:inline>
        </w:drawing>
      </w:r>
      <w:r>
        <w:drawing>
          <wp:inline distT="0" distB="0" distL="114300" distR="114300">
            <wp:extent cx="4981575" cy="7048500"/>
            <wp:effectExtent l="0" t="0" r="9525" b="0"/>
            <wp:docPr id="8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9"/>
                    <pic:cNvPicPr>
                      <a:picLocks noChangeAspect="1"/>
                    </pic:cNvPicPr>
                  </pic:nvPicPr>
                  <pic:blipFill>
                    <a:blip r:embed="rId64"/>
                    <a:stretch>
                      <a:fillRect/>
                    </a:stretch>
                  </pic:blipFill>
                  <pic:spPr>
                    <a:xfrm>
                      <a:off x="0" y="0"/>
                      <a:ext cx="4981575" cy="7048500"/>
                    </a:xfrm>
                    <a:prstGeom prst="rect">
                      <a:avLst/>
                    </a:prstGeom>
                    <a:noFill/>
                    <a:ln>
                      <a:noFill/>
                    </a:ln>
                  </pic:spPr>
                </pic:pic>
              </a:graphicData>
            </a:graphic>
          </wp:inline>
        </w:drawing>
      </w:r>
    </w:p>
    <w:p>
      <w: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default"/>
          <w:lang w:val="en-US" w:eastAsia="zh-CN"/>
        </w:rPr>
      </w:pPr>
      <w:bookmarkStart w:id="94" w:name="_Toc32721"/>
      <w:r>
        <w:rPr>
          <w:rFonts w:hint="eastAsia"/>
          <w:lang w:val="en-US" w:eastAsia="zh-CN"/>
        </w:rPr>
        <w:t>附件四：验收意见</w:t>
      </w:r>
      <w:bookmarkEnd w:id="9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lang w:val="en-US" w:eastAsia="zh-CN"/>
        </w:rPr>
      </w:pPr>
      <w:r>
        <w:drawing>
          <wp:inline distT="0" distB="0" distL="114300" distR="114300">
            <wp:extent cx="4476750" cy="6705600"/>
            <wp:effectExtent l="0" t="0" r="0" b="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65"/>
                    <a:stretch>
                      <a:fillRect/>
                    </a:stretch>
                  </pic:blipFill>
                  <pic:spPr>
                    <a:xfrm>
                      <a:off x="0" y="0"/>
                      <a:ext cx="4476750" cy="6705600"/>
                    </a:xfrm>
                    <a:prstGeom prst="rect">
                      <a:avLst/>
                    </a:prstGeom>
                    <a:noFill/>
                    <a:ln>
                      <a:noFill/>
                    </a:ln>
                  </pic:spPr>
                </pic:pic>
              </a:graphicData>
            </a:graphic>
          </wp:inline>
        </w:drawing>
      </w:r>
      <w:r>
        <w:drawing>
          <wp:inline distT="0" distB="0" distL="114300" distR="114300">
            <wp:extent cx="4600575" cy="7058025"/>
            <wp:effectExtent l="0" t="0" r="9525" b="9525"/>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66"/>
                    <a:stretch>
                      <a:fillRect/>
                    </a:stretch>
                  </pic:blipFill>
                  <pic:spPr>
                    <a:xfrm>
                      <a:off x="0" y="0"/>
                      <a:ext cx="4600575" cy="7058025"/>
                    </a:xfrm>
                    <a:prstGeom prst="rect">
                      <a:avLst/>
                    </a:prstGeom>
                    <a:noFill/>
                    <a:ln>
                      <a:noFill/>
                    </a:ln>
                  </pic:spPr>
                </pic:pic>
              </a:graphicData>
            </a:graphic>
          </wp:inline>
        </w:drawing>
      </w:r>
      <w:r>
        <w:drawing>
          <wp:inline distT="0" distB="0" distL="114300" distR="114300">
            <wp:extent cx="4933950" cy="6496050"/>
            <wp:effectExtent l="0" t="0" r="0" b="0"/>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67"/>
                    <a:stretch>
                      <a:fillRect/>
                    </a:stretch>
                  </pic:blipFill>
                  <pic:spPr>
                    <a:xfrm>
                      <a:off x="0" y="0"/>
                      <a:ext cx="4933950" cy="6496050"/>
                    </a:xfrm>
                    <a:prstGeom prst="rect">
                      <a:avLst/>
                    </a:prstGeom>
                    <a:noFill/>
                    <a:ln>
                      <a:noFill/>
                    </a:ln>
                  </pic:spPr>
                </pic:pic>
              </a:graphicData>
            </a:graphic>
          </wp:inline>
        </w:drawing>
      </w:r>
    </w:p>
    <w:sectPr>
      <w:pgSz w:w="11906" w:h="16838"/>
      <w:pgMar w:top="1440" w:right="1800" w:bottom="1440" w:left="1800" w:header="850"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MingLiU">
    <w:panose1 w:val="02020509000000000000"/>
    <w:charset w:val="88"/>
    <w:family w:val="auto"/>
    <w:pitch w:val="default"/>
    <w:sig w:usb0="A00002FF" w:usb1="28CFFCFA" w:usb2="00000016" w:usb3="00000000" w:csb0="0010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 共 </w:t>
                          </w:r>
                          <w:r>
                            <w:rPr>
                              <w:rFonts w:hint="eastAsia"/>
                              <w:lang w:val="en-US" w:eastAsia="zh-CN"/>
                            </w:rPr>
                            <w:t>113</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 共 </w:t>
                    </w:r>
                    <w:r>
                      <w:rPr>
                        <w:rFonts w:hint="eastAsia"/>
                        <w:lang w:val="en-US" w:eastAsia="zh-CN"/>
                      </w:rPr>
                      <w:t>113</w:t>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4" w:space="1"/>
      </w:pBdr>
      <w:jc w:val="center"/>
    </w:pPr>
    <w:r>
      <w:rPr>
        <w:rFonts w:hint="eastAsia" w:ascii="Times New Roman" w:hAnsi="Times New Roman" w:eastAsia="宋体" w:cs="Times New Roman"/>
        <w:sz w:val="18"/>
        <w:szCs w:val="18"/>
        <w:lang w:val="en-US" w:eastAsia="zh-CN"/>
      </w:rPr>
      <w:t>白金大道提升改造二期工程（近期）建设工程项目竣工环境保护验收调查报告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B31472"/>
    <w:multiLevelType w:val="singleLevel"/>
    <w:tmpl w:val="88B31472"/>
    <w:lvl w:ilvl="0" w:tentative="0">
      <w:start w:val="1"/>
      <w:numFmt w:val="decimal"/>
      <w:suff w:val="nothing"/>
      <w:lvlText w:val="（%1）"/>
      <w:lvlJc w:val="left"/>
    </w:lvl>
  </w:abstractNum>
  <w:abstractNum w:abstractNumId="1">
    <w:nsid w:val="977FCFCB"/>
    <w:multiLevelType w:val="singleLevel"/>
    <w:tmpl w:val="977FCFCB"/>
    <w:lvl w:ilvl="0" w:tentative="0">
      <w:start w:val="1"/>
      <w:numFmt w:val="decimal"/>
      <w:suff w:val="nothing"/>
      <w:lvlText w:val="（%1）"/>
      <w:lvlJc w:val="left"/>
    </w:lvl>
  </w:abstractNum>
  <w:abstractNum w:abstractNumId="2">
    <w:nsid w:val="BC2ED5BA"/>
    <w:multiLevelType w:val="singleLevel"/>
    <w:tmpl w:val="BC2ED5BA"/>
    <w:lvl w:ilvl="0" w:tentative="0">
      <w:start w:val="1"/>
      <w:numFmt w:val="decimal"/>
      <w:suff w:val="nothing"/>
      <w:lvlText w:val="（%1）"/>
      <w:lvlJc w:val="left"/>
    </w:lvl>
  </w:abstractNum>
  <w:abstractNum w:abstractNumId="3">
    <w:nsid w:val="CB72DAB9"/>
    <w:multiLevelType w:val="singleLevel"/>
    <w:tmpl w:val="CB72DAB9"/>
    <w:lvl w:ilvl="0" w:tentative="0">
      <w:start w:val="1"/>
      <w:numFmt w:val="decimal"/>
      <w:suff w:val="nothing"/>
      <w:lvlText w:val="（%1）"/>
      <w:lvlJc w:val="left"/>
    </w:lvl>
  </w:abstractNum>
  <w:abstractNum w:abstractNumId="4">
    <w:nsid w:val="D690AF29"/>
    <w:multiLevelType w:val="singleLevel"/>
    <w:tmpl w:val="D690AF29"/>
    <w:lvl w:ilvl="0" w:tentative="0">
      <w:start w:val="1"/>
      <w:numFmt w:val="lowerLetter"/>
      <w:suff w:val="nothing"/>
      <w:lvlText w:val="%1、"/>
      <w:lvlJc w:val="left"/>
    </w:lvl>
  </w:abstractNum>
  <w:abstractNum w:abstractNumId="5">
    <w:nsid w:val="D85C04E6"/>
    <w:multiLevelType w:val="singleLevel"/>
    <w:tmpl w:val="D85C04E6"/>
    <w:lvl w:ilvl="0" w:tentative="0">
      <w:start w:val="1"/>
      <w:numFmt w:val="decimal"/>
      <w:suff w:val="nothing"/>
      <w:lvlText w:val="（%1）"/>
      <w:lvlJc w:val="left"/>
    </w:lvl>
  </w:abstractNum>
  <w:abstractNum w:abstractNumId="6">
    <w:nsid w:val="D954F3EC"/>
    <w:multiLevelType w:val="singleLevel"/>
    <w:tmpl w:val="D954F3EC"/>
    <w:lvl w:ilvl="0" w:tentative="0">
      <w:start w:val="1"/>
      <w:numFmt w:val="decimal"/>
      <w:suff w:val="nothing"/>
      <w:lvlText w:val="（%1）"/>
      <w:lvlJc w:val="left"/>
    </w:lvl>
  </w:abstractNum>
  <w:abstractNum w:abstractNumId="7">
    <w:nsid w:val="DCEE3E4B"/>
    <w:multiLevelType w:val="singleLevel"/>
    <w:tmpl w:val="DCEE3E4B"/>
    <w:lvl w:ilvl="0" w:tentative="0">
      <w:start w:val="1"/>
      <w:numFmt w:val="decimal"/>
      <w:suff w:val="nothing"/>
      <w:lvlText w:val="（%1）"/>
      <w:lvlJc w:val="left"/>
    </w:lvl>
  </w:abstractNum>
  <w:abstractNum w:abstractNumId="8">
    <w:nsid w:val="E5D22ED9"/>
    <w:multiLevelType w:val="singleLevel"/>
    <w:tmpl w:val="E5D22ED9"/>
    <w:lvl w:ilvl="0" w:tentative="0">
      <w:start w:val="1"/>
      <w:numFmt w:val="lowerLetter"/>
      <w:suff w:val="nothing"/>
      <w:lvlText w:val="%1、"/>
      <w:lvlJc w:val="left"/>
    </w:lvl>
  </w:abstractNum>
  <w:abstractNum w:abstractNumId="9">
    <w:nsid w:val="E70FB870"/>
    <w:multiLevelType w:val="singleLevel"/>
    <w:tmpl w:val="E70FB870"/>
    <w:lvl w:ilvl="0" w:tentative="0">
      <w:start w:val="1"/>
      <w:numFmt w:val="lowerLetter"/>
      <w:suff w:val="nothing"/>
      <w:lvlText w:val="%1、"/>
      <w:lvlJc w:val="left"/>
    </w:lvl>
  </w:abstractNum>
  <w:abstractNum w:abstractNumId="10">
    <w:nsid w:val="E7839E30"/>
    <w:multiLevelType w:val="singleLevel"/>
    <w:tmpl w:val="E7839E30"/>
    <w:lvl w:ilvl="0" w:tentative="0">
      <w:start w:val="1"/>
      <w:numFmt w:val="decimal"/>
      <w:suff w:val="nothing"/>
      <w:lvlText w:val="（%1）"/>
      <w:lvlJc w:val="left"/>
    </w:lvl>
  </w:abstractNum>
  <w:abstractNum w:abstractNumId="11">
    <w:nsid w:val="EEDA5947"/>
    <w:multiLevelType w:val="singleLevel"/>
    <w:tmpl w:val="EEDA5947"/>
    <w:lvl w:ilvl="0" w:tentative="0">
      <w:start w:val="1"/>
      <w:numFmt w:val="decimal"/>
      <w:suff w:val="nothing"/>
      <w:lvlText w:val="（%1）"/>
      <w:lvlJc w:val="left"/>
    </w:lvl>
  </w:abstractNum>
  <w:abstractNum w:abstractNumId="12">
    <w:nsid w:val="F47DCC90"/>
    <w:multiLevelType w:val="singleLevel"/>
    <w:tmpl w:val="F47DCC90"/>
    <w:lvl w:ilvl="0" w:tentative="0">
      <w:start w:val="1"/>
      <w:numFmt w:val="lowerLetter"/>
      <w:suff w:val="nothing"/>
      <w:lvlText w:val="%1、"/>
      <w:lvlJc w:val="left"/>
    </w:lvl>
  </w:abstractNum>
  <w:abstractNum w:abstractNumId="13">
    <w:nsid w:val="01696CC6"/>
    <w:multiLevelType w:val="singleLevel"/>
    <w:tmpl w:val="01696CC6"/>
    <w:lvl w:ilvl="0" w:tentative="0">
      <w:start w:val="1"/>
      <w:numFmt w:val="decimal"/>
      <w:suff w:val="nothing"/>
      <w:lvlText w:val="（%1）"/>
      <w:lvlJc w:val="left"/>
    </w:lvl>
  </w:abstractNum>
  <w:abstractNum w:abstractNumId="14">
    <w:nsid w:val="02461E7D"/>
    <w:multiLevelType w:val="singleLevel"/>
    <w:tmpl w:val="02461E7D"/>
    <w:lvl w:ilvl="0" w:tentative="0">
      <w:start w:val="1"/>
      <w:numFmt w:val="decimal"/>
      <w:suff w:val="nothing"/>
      <w:lvlText w:val="（%1）"/>
      <w:lvlJc w:val="left"/>
    </w:lvl>
  </w:abstractNum>
  <w:abstractNum w:abstractNumId="15">
    <w:nsid w:val="038AA07A"/>
    <w:multiLevelType w:val="singleLevel"/>
    <w:tmpl w:val="038AA07A"/>
    <w:lvl w:ilvl="0" w:tentative="0">
      <w:start w:val="1"/>
      <w:numFmt w:val="decimal"/>
      <w:suff w:val="nothing"/>
      <w:lvlText w:val="（%1）"/>
      <w:lvlJc w:val="left"/>
    </w:lvl>
  </w:abstractNum>
  <w:abstractNum w:abstractNumId="16">
    <w:nsid w:val="0FF0F667"/>
    <w:multiLevelType w:val="singleLevel"/>
    <w:tmpl w:val="0FF0F667"/>
    <w:lvl w:ilvl="0" w:tentative="0">
      <w:start w:val="1"/>
      <w:numFmt w:val="decimal"/>
      <w:suff w:val="nothing"/>
      <w:lvlText w:val="（%1）"/>
      <w:lvlJc w:val="left"/>
    </w:lvl>
  </w:abstractNum>
  <w:abstractNum w:abstractNumId="17">
    <w:nsid w:val="116D01DE"/>
    <w:multiLevelType w:val="singleLevel"/>
    <w:tmpl w:val="116D01DE"/>
    <w:lvl w:ilvl="0" w:tentative="0">
      <w:start w:val="1"/>
      <w:numFmt w:val="decimal"/>
      <w:suff w:val="nothing"/>
      <w:lvlText w:val="（%1）"/>
      <w:lvlJc w:val="left"/>
    </w:lvl>
  </w:abstractNum>
  <w:abstractNum w:abstractNumId="18">
    <w:nsid w:val="1C734FDC"/>
    <w:multiLevelType w:val="singleLevel"/>
    <w:tmpl w:val="1C734FDC"/>
    <w:lvl w:ilvl="0" w:tentative="0">
      <w:start w:val="1"/>
      <w:numFmt w:val="decimal"/>
      <w:suff w:val="nothing"/>
      <w:lvlText w:val="（%1）"/>
      <w:lvlJc w:val="left"/>
    </w:lvl>
  </w:abstractNum>
  <w:abstractNum w:abstractNumId="19">
    <w:nsid w:val="3F6D92FD"/>
    <w:multiLevelType w:val="singleLevel"/>
    <w:tmpl w:val="3F6D92FD"/>
    <w:lvl w:ilvl="0" w:tentative="0">
      <w:start w:val="1"/>
      <w:numFmt w:val="decimal"/>
      <w:suff w:val="nothing"/>
      <w:lvlText w:val="（%1）"/>
      <w:lvlJc w:val="left"/>
    </w:lvl>
  </w:abstractNum>
  <w:abstractNum w:abstractNumId="20">
    <w:nsid w:val="4168A59C"/>
    <w:multiLevelType w:val="singleLevel"/>
    <w:tmpl w:val="4168A59C"/>
    <w:lvl w:ilvl="0" w:tentative="0">
      <w:start w:val="1"/>
      <w:numFmt w:val="decimal"/>
      <w:suff w:val="nothing"/>
      <w:lvlText w:val="（%1）"/>
      <w:lvlJc w:val="left"/>
    </w:lvl>
  </w:abstractNum>
  <w:abstractNum w:abstractNumId="21">
    <w:nsid w:val="516F452E"/>
    <w:multiLevelType w:val="multilevel"/>
    <w:tmpl w:val="516F452E"/>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F348103"/>
    <w:multiLevelType w:val="singleLevel"/>
    <w:tmpl w:val="5F348103"/>
    <w:lvl w:ilvl="0" w:tentative="0">
      <w:start w:val="1"/>
      <w:numFmt w:val="decimal"/>
      <w:suff w:val="nothing"/>
      <w:lvlText w:val="（%1）"/>
      <w:lvlJc w:val="left"/>
    </w:lvl>
  </w:abstractNum>
  <w:abstractNum w:abstractNumId="23">
    <w:nsid w:val="62484DDB"/>
    <w:multiLevelType w:val="singleLevel"/>
    <w:tmpl w:val="62484DDB"/>
    <w:lvl w:ilvl="0" w:tentative="0">
      <w:start w:val="1"/>
      <w:numFmt w:val="lowerLetter"/>
      <w:suff w:val="nothing"/>
      <w:lvlText w:val="%1、"/>
      <w:lvlJc w:val="left"/>
    </w:lvl>
  </w:abstractNum>
  <w:abstractNum w:abstractNumId="24">
    <w:nsid w:val="76F1276C"/>
    <w:multiLevelType w:val="singleLevel"/>
    <w:tmpl w:val="76F1276C"/>
    <w:lvl w:ilvl="0" w:tentative="0">
      <w:start w:val="1"/>
      <w:numFmt w:val="lowerLetter"/>
      <w:suff w:val="nothing"/>
      <w:lvlText w:val="%1、"/>
      <w:lvlJc w:val="left"/>
    </w:lvl>
  </w:abstractNum>
  <w:abstractNum w:abstractNumId="25">
    <w:nsid w:val="78525629"/>
    <w:multiLevelType w:val="singleLevel"/>
    <w:tmpl w:val="78525629"/>
    <w:lvl w:ilvl="0" w:tentative="0">
      <w:start w:val="1"/>
      <w:numFmt w:val="decimal"/>
      <w:suff w:val="nothing"/>
      <w:lvlText w:val="（%1）"/>
      <w:lvlJc w:val="left"/>
    </w:lvl>
  </w:abstractNum>
  <w:num w:numId="1">
    <w:abstractNumId w:val="2"/>
  </w:num>
  <w:num w:numId="2">
    <w:abstractNumId w:val="20"/>
  </w:num>
  <w:num w:numId="3">
    <w:abstractNumId w:val="7"/>
  </w:num>
  <w:num w:numId="4">
    <w:abstractNumId w:val="5"/>
  </w:num>
  <w:num w:numId="5">
    <w:abstractNumId w:val="19"/>
  </w:num>
  <w:num w:numId="6">
    <w:abstractNumId w:val="16"/>
  </w:num>
  <w:num w:numId="7">
    <w:abstractNumId w:val="21"/>
  </w:num>
  <w:num w:numId="8">
    <w:abstractNumId w:val="6"/>
  </w:num>
  <w:num w:numId="9">
    <w:abstractNumId w:val="13"/>
  </w:num>
  <w:num w:numId="10">
    <w:abstractNumId w:val="17"/>
  </w:num>
  <w:num w:numId="11">
    <w:abstractNumId w:val="25"/>
  </w:num>
  <w:num w:numId="12">
    <w:abstractNumId w:val="3"/>
  </w:num>
  <w:num w:numId="13">
    <w:abstractNumId w:val="23"/>
  </w:num>
  <w:num w:numId="14">
    <w:abstractNumId w:val="12"/>
  </w:num>
  <w:num w:numId="15">
    <w:abstractNumId w:val="24"/>
  </w:num>
  <w:num w:numId="16">
    <w:abstractNumId w:val="4"/>
  </w:num>
  <w:num w:numId="17">
    <w:abstractNumId w:val="9"/>
  </w:num>
  <w:num w:numId="18">
    <w:abstractNumId w:val="8"/>
  </w:num>
  <w:num w:numId="19">
    <w:abstractNumId w:val="1"/>
  </w:num>
  <w:num w:numId="20">
    <w:abstractNumId w:val="22"/>
  </w:num>
  <w:num w:numId="21">
    <w:abstractNumId w:val="10"/>
  </w:num>
  <w:num w:numId="22">
    <w:abstractNumId w:val="11"/>
  </w:num>
  <w:num w:numId="23">
    <w:abstractNumId w:val="18"/>
  </w:num>
  <w:num w:numId="24">
    <w:abstractNumId w:val="14"/>
  </w:num>
  <w:num w:numId="25">
    <w:abstractNumId w:val="15"/>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634D3C"/>
    <w:rsid w:val="08AD32B0"/>
    <w:rsid w:val="0B4367D9"/>
    <w:rsid w:val="0DB012BD"/>
    <w:rsid w:val="0E657CCB"/>
    <w:rsid w:val="124B0BC6"/>
    <w:rsid w:val="12B64C8B"/>
    <w:rsid w:val="17C10ED7"/>
    <w:rsid w:val="1D10313D"/>
    <w:rsid w:val="254A619A"/>
    <w:rsid w:val="2F890CCE"/>
    <w:rsid w:val="32EC6656"/>
    <w:rsid w:val="3507436A"/>
    <w:rsid w:val="36E027A1"/>
    <w:rsid w:val="37634D3C"/>
    <w:rsid w:val="39022A5D"/>
    <w:rsid w:val="395513AB"/>
    <w:rsid w:val="3C377774"/>
    <w:rsid w:val="43E74455"/>
    <w:rsid w:val="44822EE0"/>
    <w:rsid w:val="44A12A90"/>
    <w:rsid w:val="47883AB7"/>
    <w:rsid w:val="47BF0951"/>
    <w:rsid w:val="47C12099"/>
    <w:rsid w:val="484F3B09"/>
    <w:rsid w:val="4EB11F17"/>
    <w:rsid w:val="5014056C"/>
    <w:rsid w:val="5B3648B4"/>
    <w:rsid w:val="5D730E2A"/>
    <w:rsid w:val="5E242803"/>
    <w:rsid w:val="6275397A"/>
    <w:rsid w:val="631009EE"/>
    <w:rsid w:val="682D30C7"/>
    <w:rsid w:val="719A46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after="120" w:afterLines="0" w:afterAutospacing="0"/>
    </w:pPr>
  </w:style>
  <w:style w:type="paragraph" w:styleId="4">
    <w:name w:val="toc 3"/>
    <w:basedOn w:val="1"/>
    <w:next w:val="1"/>
    <w:qFormat/>
    <w:uiPriority w:val="0"/>
    <w:pPr>
      <w:ind w:left="840" w:leftChars="4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WPSOffice手动目录 1"/>
    <w:qFormat/>
    <w:uiPriority w:val="0"/>
    <w:pPr>
      <w:ind w:leftChars="0"/>
    </w:pPr>
    <w:rPr>
      <w:rFonts w:asciiTheme="minorHAnsi" w:hAnsiTheme="minorHAnsi" w:eastAsiaTheme="minorHAnsi" w:cstheme="minorBidi"/>
      <w:sz w:val="20"/>
      <w:szCs w:val="20"/>
    </w:rPr>
  </w:style>
  <w:style w:type="paragraph" w:customStyle="1" w:styleId="14">
    <w:name w:val="WPSOffice手动目录 2"/>
    <w:qFormat/>
    <w:uiPriority w:val="0"/>
    <w:pPr>
      <w:ind w:leftChars="200"/>
    </w:pPr>
    <w:rPr>
      <w:rFonts w:asciiTheme="minorHAnsi" w:hAnsiTheme="minorHAnsi" w:eastAsiaTheme="minorHAnsi" w:cstheme="minorBidi"/>
      <w:sz w:val="20"/>
      <w:szCs w:val="20"/>
    </w:rPr>
  </w:style>
  <w:style w:type="paragraph" w:customStyle="1" w:styleId="15">
    <w:name w:val="WPSOffice手动目录 3"/>
    <w:qFormat/>
    <w:uiPriority w:val="0"/>
    <w:pPr>
      <w:ind w:leftChars="400"/>
    </w:pPr>
    <w:rPr>
      <w:rFonts w:asciiTheme="minorHAnsi" w:hAnsiTheme="minorHAnsi" w:eastAsiaTheme="minorHAnsi" w:cstheme="minorBidi"/>
      <w:sz w:val="20"/>
      <w:szCs w:val="20"/>
    </w:rPr>
  </w:style>
  <w:style w:type="paragraph" w:customStyle="1" w:styleId="16">
    <w:name w:val="Table Paragraph"/>
    <w:basedOn w:val="1"/>
    <w:qFormat/>
    <w:uiPriority w:val="1"/>
    <w:pPr>
      <w:jc w:val="center"/>
    </w:pPr>
    <w:rPr>
      <w:rFonts w:ascii="Times New Roman" w:hAnsi="Times New Roman" w:eastAsia="Times New Roman" w:cs="Times New Roman"/>
      <w:lang w:val="zh-CN" w:eastAsia="zh-CN" w:bidi="zh-CN"/>
    </w:rPr>
  </w:style>
  <w:style w:type="character" w:customStyle="1" w:styleId="17">
    <w:name w:val="font41"/>
    <w:basedOn w:val="12"/>
    <w:qFormat/>
    <w:uiPriority w:val="0"/>
    <w:rPr>
      <w:rFonts w:hint="eastAsia" w:ascii="MingLiU" w:hAnsi="MingLiU" w:eastAsia="MingLiU" w:cs="MingLiU"/>
      <w:color w:val="000000"/>
      <w:sz w:val="22"/>
      <w:szCs w:val="22"/>
      <w:u w:val="none"/>
    </w:rPr>
  </w:style>
  <w:style w:type="character" w:customStyle="1" w:styleId="18">
    <w:name w:val="font31"/>
    <w:basedOn w:val="12"/>
    <w:qFormat/>
    <w:uiPriority w:val="0"/>
    <w:rPr>
      <w:rFonts w:hint="default" w:ascii="Times New Roman" w:hAnsi="Times New Roman" w:cs="Times New Roman"/>
      <w:b/>
      <w:color w:val="000000"/>
      <w:sz w:val="22"/>
      <w:szCs w:val="22"/>
      <w:u w:val="none"/>
    </w:rPr>
  </w:style>
  <w:style w:type="character" w:customStyle="1" w:styleId="19">
    <w:name w:val="font01"/>
    <w:basedOn w:val="12"/>
    <w:qFormat/>
    <w:uiPriority w:val="0"/>
    <w:rPr>
      <w:rFonts w:hint="default" w:ascii="Times New Roman" w:hAnsi="Times New Roman" w:cs="Times New Roman"/>
      <w:color w:val="000000"/>
      <w:sz w:val="24"/>
      <w:szCs w:val="24"/>
      <w:u w:val="none"/>
    </w:rPr>
  </w:style>
  <w:style w:type="character" w:customStyle="1" w:styleId="20">
    <w:name w:val="font21"/>
    <w:basedOn w:val="12"/>
    <w:qFormat/>
    <w:uiPriority w:val="0"/>
    <w:rPr>
      <w:rFonts w:hint="default" w:ascii="Arial" w:hAnsi="Arial" w:cs="Arial"/>
      <w:i/>
      <w:color w:val="000000"/>
      <w:sz w:val="20"/>
      <w:szCs w:val="20"/>
      <w:u w:val="none"/>
    </w:rPr>
  </w:style>
  <w:style w:type="character" w:customStyle="1" w:styleId="21">
    <w:name w:val="font11"/>
    <w:basedOn w:val="12"/>
    <w:qFormat/>
    <w:uiPriority w:val="0"/>
    <w:rPr>
      <w:rFonts w:hint="default" w:ascii="Times New Roman" w:hAnsi="Times New Roman" w:cs="Times New Roman"/>
      <w:b/>
      <w:color w:val="000000"/>
      <w:sz w:val="18"/>
      <w:szCs w:val="18"/>
      <w:u w:val="none"/>
    </w:rPr>
  </w:style>
  <w:style w:type="character" w:customStyle="1" w:styleId="22">
    <w:name w:val="font61"/>
    <w:basedOn w:val="12"/>
    <w:qFormat/>
    <w:uiPriority w:val="0"/>
    <w:rPr>
      <w:rFonts w:hint="eastAsia" w:ascii="MingLiU" w:hAnsi="MingLiU" w:eastAsia="MingLiU" w:cs="MingLiU"/>
      <w:color w:val="000000"/>
      <w:sz w:val="14"/>
      <w:szCs w:val="14"/>
      <w:u w:val="none"/>
    </w:rPr>
  </w:style>
  <w:style w:type="character" w:customStyle="1" w:styleId="23">
    <w:name w:val="font51"/>
    <w:basedOn w:val="12"/>
    <w:qFormat/>
    <w:uiPriority w:val="0"/>
    <w:rPr>
      <w:rFonts w:hint="default" w:ascii="Arial" w:hAnsi="Arial" w:cs="Arial"/>
      <w:b/>
      <w:color w:val="000000"/>
      <w:sz w:val="14"/>
      <w:szCs w:val="1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0" Type="http://schemas.openxmlformats.org/officeDocument/2006/relationships/fontTable" Target="fontTable.xml"/><Relationship Id="rId7" Type="http://schemas.openxmlformats.org/officeDocument/2006/relationships/image" Target="media/image2.jpeg"/><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2020-07-27T06:37:00Z</dcterms:created>
  <dc:creator>爱乐人行素</dc:creator>
  <cp:lastModifiedBy>爱乐人行素</cp:lastModifiedBy>
  <dcterms:modified xsi:type="dcterms:W3CDTF">2020-09-23T01:48:35Z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