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hint="eastAsia" w:ascii="华文新魏" w:eastAsia="华文新魏"/>
          <w:color w:val="000000"/>
          <w:sz w:val="48"/>
          <w:szCs w:val="48"/>
          <w:lang w:eastAsia="zh-CN"/>
        </w:rPr>
      </w:pPr>
      <w:r>
        <w:rPr>
          <w:rFonts w:hint="eastAsia" w:ascii="华文新魏" w:eastAsia="华文新魏"/>
          <w:b/>
          <w:color w:val="000000"/>
          <w:sz w:val="48"/>
          <w:szCs w:val="48"/>
          <w:lang w:eastAsia="zh-CN"/>
        </w:rPr>
        <w:t>镇宁自治县RLH可生物降解塑料项目建设</w:t>
      </w:r>
      <w:r>
        <w:rPr>
          <w:rFonts w:hint="eastAsia" w:ascii="华文新魏" w:eastAsia="华文新魏"/>
          <w:b/>
          <w:color w:val="000000"/>
          <w:sz w:val="48"/>
          <w:szCs w:val="48"/>
        </w:rPr>
        <w:t>项目竣工环境保护验收监测</w:t>
      </w:r>
      <w:r>
        <w:rPr>
          <w:rFonts w:hint="eastAsia" w:ascii="华文新魏" w:eastAsia="华文新魏"/>
          <w:b/>
          <w:color w:val="000000"/>
          <w:sz w:val="48"/>
          <w:szCs w:val="48"/>
          <w:lang w:eastAsia="zh-CN"/>
        </w:rPr>
        <w:t>报告表</w:t>
      </w:r>
    </w:p>
    <w:p>
      <w:pPr>
        <w:spacing w:line="360" w:lineRule="auto"/>
        <w:jc w:val="center"/>
        <w:rPr>
          <w:rFonts w:hint="eastAsia" w:ascii="仿宋_GB2312" w:eastAsia="仿宋_GB2312"/>
          <w:color w:val="000000"/>
          <w:sz w:val="28"/>
          <w:lang w:eastAsia="zh-CN"/>
        </w:rPr>
      </w:pPr>
    </w:p>
    <w:p>
      <w:pPr>
        <w:jc w:val="center"/>
        <w:rPr>
          <w:rFonts w:hint="eastAsia" w:ascii="仿宋_GB2312" w:eastAsia="仿宋_GB2312"/>
          <w:color w:val="000000"/>
          <w:sz w:val="28"/>
        </w:rPr>
      </w:pPr>
    </w:p>
    <w:p>
      <w:pPr>
        <w:jc w:val="center"/>
        <w:rPr>
          <w:rFonts w:hint="eastAsia" w:ascii="仿宋_GB2312" w:eastAsia="仿宋_GB2312"/>
          <w:color w:val="000000"/>
          <w:sz w:val="28"/>
        </w:rPr>
      </w:pPr>
    </w:p>
    <w:p>
      <w:pPr>
        <w:jc w:val="center"/>
        <w:rPr>
          <w:rFonts w:ascii="仿宋_GB2312" w:eastAsia="仿宋_GB2312"/>
          <w:color w:val="000000"/>
          <w:sz w:val="28"/>
        </w:rPr>
      </w:pP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华文新魏" w:eastAsia="华文新魏"/>
          <w:color w:val="000000"/>
          <w:sz w:val="28"/>
          <w:szCs w:val="28"/>
        </w:rPr>
      </w:pPr>
    </w:p>
    <w:p>
      <w:pPr>
        <w:keepNext w:val="0"/>
        <w:keepLines w:val="0"/>
        <w:pageBreakBefore w:val="0"/>
        <w:widowControl/>
        <w:kinsoku/>
        <w:wordWrap/>
        <w:overflowPunct/>
        <w:topLinePunct w:val="0"/>
        <w:autoSpaceDE/>
        <w:autoSpaceDN/>
        <w:bidi w:val="0"/>
        <w:adjustRightInd w:val="0"/>
        <w:snapToGrid w:val="0"/>
        <w:spacing w:after="0" w:line="480" w:lineRule="auto"/>
        <w:ind w:firstLine="840" w:firstLineChars="300"/>
        <w:textAlignment w:val="auto"/>
        <w:rPr>
          <w:rFonts w:hint="eastAsia" w:ascii="华文新魏" w:eastAsia="华文新魏"/>
          <w:color w:val="000000"/>
          <w:sz w:val="28"/>
          <w:szCs w:val="28"/>
        </w:rPr>
      </w:pPr>
    </w:p>
    <w:p>
      <w:pPr>
        <w:keepNext w:val="0"/>
        <w:keepLines w:val="0"/>
        <w:pageBreakBefore w:val="0"/>
        <w:widowControl/>
        <w:kinsoku/>
        <w:wordWrap/>
        <w:overflowPunct/>
        <w:topLinePunct w:val="0"/>
        <w:autoSpaceDE/>
        <w:autoSpaceDN/>
        <w:bidi w:val="0"/>
        <w:adjustRightInd w:val="0"/>
        <w:snapToGrid w:val="0"/>
        <w:spacing w:after="0" w:line="480" w:lineRule="auto"/>
        <w:ind w:firstLine="840" w:firstLineChars="300"/>
        <w:textAlignment w:val="auto"/>
        <w:rPr>
          <w:rFonts w:hint="eastAsia" w:ascii="华文新魏" w:eastAsia="华文新魏"/>
          <w:color w:val="000000"/>
          <w:sz w:val="28"/>
          <w:szCs w:val="28"/>
          <w:lang w:eastAsia="zh-CN"/>
        </w:rPr>
      </w:pPr>
      <w:r>
        <w:rPr>
          <w:rFonts w:hint="eastAsia" w:ascii="华文新魏" w:eastAsia="华文新魏"/>
          <w:color w:val="000000"/>
          <w:sz w:val="28"/>
          <w:szCs w:val="28"/>
        </w:rPr>
        <w:t>建设单位</w:t>
      </w:r>
      <w:r>
        <w:rPr>
          <w:rFonts w:hint="eastAsia" w:ascii="华文新魏" w:eastAsia="华文新魏"/>
          <w:color w:val="000000"/>
          <w:sz w:val="28"/>
          <w:szCs w:val="28"/>
          <w:lang w:eastAsia="zh-CN"/>
        </w:rPr>
        <w:t>：安顺瑞力恒塑业发展有限公司</w:t>
      </w:r>
    </w:p>
    <w:p>
      <w:pPr>
        <w:keepNext w:val="0"/>
        <w:keepLines w:val="0"/>
        <w:pageBreakBefore w:val="0"/>
        <w:widowControl/>
        <w:kinsoku/>
        <w:wordWrap/>
        <w:overflowPunct/>
        <w:topLinePunct w:val="0"/>
        <w:autoSpaceDE/>
        <w:autoSpaceDN/>
        <w:bidi w:val="0"/>
        <w:adjustRightInd w:val="0"/>
        <w:snapToGrid w:val="0"/>
        <w:spacing w:after="0" w:line="480" w:lineRule="auto"/>
        <w:ind w:firstLine="840" w:firstLineChars="300"/>
        <w:textAlignment w:val="auto"/>
        <w:rPr>
          <w:rFonts w:hint="eastAsia" w:ascii="华文新魏" w:eastAsia="华文新魏"/>
          <w:color w:val="000000"/>
          <w:sz w:val="28"/>
          <w:szCs w:val="28"/>
        </w:rPr>
      </w:pPr>
    </w:p>
    <w:p>
      <w:pPr>
        <w:keepNext w:val="0"/>
        <w:keepLines w:val="0"/>
        <w:pageBreakBefore w:val="0"/>
        <w:widowControl/>
        <w:kinsoku/>
        <w:wordWrap/>
        <w:overflowPunct/>
        <w:topLinePunct w:val="0"/>
        <w:autoSpaceDE/>
        <w:autoSpaceDN/>
        <w:bidi w:val="0"/>
        <w:adjustRightInd w:val="0"/>
        <w:snapToGrid w:val="0"/>
        <w:spacing w:after="0" w:line="480" w:lineRule="auto"/>
        <w:ind w:firstLine="840" w:firstLineChars="300"/>
        <w:textAlignment w:val="auto"/>
        <w:rPr>
          <w:rFonts w:hint="eastAsia" w:ascii="华文新魏" w:eastAsia="华文新魏"/>
          <w:color w:val="000000"/>
          <w:sz w:val="28"/>
          <w:szCs w:val="28"/>
          <w:lang w:eastAsia="zh-CN"/>
        </w:rPr>
      </w:pPr>
      <w:r>
        <w:rPr>
          <w:rFonts w:hint="eastAsia" w:ascii="华文新魏" w:eastAsia="华文新魏"/>
          <w:color w:val="000000"/>
          <w:sz w:val="28"/>
          <w:szCs w:val="28"/>
        </w:rPr>
        <w:t>编制单位：</w:t>
      </w:r>
      <w:r>
        <w:rPr>
          <w:rFonts w:hint="eastAsia" w:ascii="华文新魏" w:eastAsia="华文新魏"/>
          <w:color w:val="000000"/>
          <w:sz w:val="28"/>
          <w:szCs w:val="28"/>
          <w:lang w:eastAsia="zh-CN"/>
        </w:rPr>
        <w:t>安顺瑞力恒塑业发展有限公司</w:t>
      </w:r>
    </w:p>
    <w:p>
      <w:pPr>
        <w:rPr>
          <w:rFonts w:hint="eastAsia" w:ascii="仿宋_GB2312" w:eastAsia="仿宋_GB2312"/>
          <w:color w:val="000000"/>
          <w:sz w:val="28"/>
        </w:rPr>
      </w:pPr>
    </w:p>
    <w:p>
      <w:pPr>
        <w:rPr>
          <w:rFonts w:hint="eastAsia" w:ascii="华文新魏" w:eastAsia="华文新魏"/>
          <w:color w:val="000000"/>
          <w:sz w:val="28"/>
          <w:szCs w:val="28"/>
        </w:rPr>
      </w:pPr>
    </w:p>
    <w:p>
      <w:pPr>
        <w:jc w:val="center"/>
        <w:rPr>
          <w:rFonts w:hint="default" w:ascii="Times New Roman" w:hAnsi="Times New Roman" w:eastAsia="华文新魏" w:cs="Times New Roman"/>
          <w:color w:val="000000"/>
          <w:sz w:val="28"/>
          <w:szCs w:val="28"/>
        </w:rPr>
      </w:pPr>
      <w:r>
        <w:rPr>
          <w:rFonts w:hint="default" w:ascii="Times New Roman" w:hAnsi="Times New Roman" w:eastAsia="华文新魏" w:cs="Times New Roman"/>
          <w:b/>
          <w:color w:val="000000"/>
          <w:sz w:val="28"/>
          <w:szCs w:val="28"/>
          <w:lang w:val="en-US" w:eastAsia="zh-CN"/>
        </w:rPr>
        <w:t>2020</w:t>
      </w:r>
      <w:r>
        <w:rPr>
          <w:rFonts w:hint="default" w:ascii="Times New Roman" w:hAnsi="Times New Roman" w:eastAsia="华文新魏" w:cs="Times New Roman"/>
          <w:color w:val="000000"/>
          <w:sz w:val="28"/>
          <w:szCs w:val="28"/>
        </w:rPr>
        <w:t>年</w:t>
      </w:r>
      <w:r>
        <w:rPr>
          <w:rFonts w:hint="default" w:ascii="Times New Roman" w:hAnsi="Times New Roman" w:eastAsia="华文新魏" w:cs="Times New Roman"/>
          <w:b/>
          <w:color w:val="000000"/>
          <w:sz w:val="28"/>
          <w:szCs w:val="28"/>
          <w:lang w:val="en-US" w:eastAsia="zh-CN"/>
        </w:rPr>
        <w:t>0</w:t>
      </w:r>
      <w:r>
        <w:rPr>
          <w:rFonts w:hint="eastAsia" w:ascii="Times New Roman" w:hAnsi="Times New Roman" w:eastAsia="华文新魏" w:cs="Times New Roman"/>
          <w:b/>
          <w:color w:val="000000"/>
          <w:sz w:val="28"/>
          <w:szCs w:val="28"/>
          <w:lang w:val="en-US" w:eastAsia="zh-CN"/>
        </w:rPr>
        <w:t>7</w:t>
      </w:r>
      <w:r>
        <w:rPr>
          <w:rFonts w:hint="default" w:ascii="Times New Roman" w:hAnsi="Times New Roman" w:eastAsia="华文新魏" w:cs="Times New Roman"/>
          <w:color w:val="000000"/>
          <w:sz w:val="28"/>
          <w:szCs w:val="28"/>
        </w:rPr>
        <w:t>月</w:t>
      </w:r>
    </w:p>
    <w:p>
      <w:pPr>
        <w:rPr>
          <w:rFonts w:ascii="仿宋_GB2312" w:eastAsia="仿宋_GB2312"/>
          <w:color w:val="000000"/>
          <w:sz w:val="32"/>
        </w:rPr>
      </w:pPr>
      <w:r>
        <w:rPr>
          <w:rFonts w:ascii="仿宋_GB2312" w:eastAsia="仿宋_GB2312"/>
          <w:color w:val="000000"/>
          <w:sz w:val="32"/>
        </w:rPr>
        <w:br w:type="page"/>
      </w:r>
    </w:p>
    <w:p>
      <w:pPr>
        <w:spacing w:line="360" w:lineRule="auto"/>
        <w:rPr>
          <w:rFonts w:hint="eastAsia" w:ascii="仿宋_GB2312" w:eastAsia="仿宋_GB2312"/>
          <w:b/>
          <w:color w:val="000000"/>
          <w:sz w:val="28"/>
          <w:lang w:eastAsia="zh-CN"/>
        </w:rPr>
      </w:pPr>
    </w:p>
    <w:p>
      <w:pPr>
        <w:spacing w:line="360" w:lineRule="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建设单位</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u w:val="none"/>
          <w:lang w:eastAsia="zh-CN"/>
        </w:rPr>
        <w:t>安顺瑞力恒塑业发展有限公司（盖章）</w:t>
      </w:r>
    </w:p>
    <w:p>
      <w:pPr>
        <w:spacing w:line="360" w:lineRule="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法人代表：王静</w:t>
      </w:r>
    </w:p>
    <w:p>
      <w:pPr>
        <w:spacing w:line="360" w:lineRule="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联</w:t>
      </w:r>
      <w:r>
        <w:rPr>
          <w:rFonts w:hint="default" w:ascii="Times New Roman" w:hAnsi="Times New Roman" w:eastAsia="仿宋_GB2312" w:cs="Times New Roman"/>
          <w:color w:val="000000"/>
          <w:sz w:val="28"/>
          <w:szCs w:val="28"/>
          <w:lang w:val="en-US" w:eastAsia="zh-CN"/>
        </w:rPr>
        <w:t xml:space="preserve"> </w:t>
      </w:r>
      <w:r>
        <w:rPr>
          <w:rFonts w:hint="default" w:ascii="Times New Roman" w:hAnsi="Times New Roman" w:eastAsia="仿宋_GB2312" w:cs="Times New Roman"/>
          <w:color w:val="000000"/>
          <w:sz w:val="28"/>
          <w:szCs w:val="28"/>
          <w:lang w:eastAsia="zh-CN"/>
        </w:rPr>
        <w:t>系</w:t>
      </w:r>
      <w:r>
        <w:rPr>
          <w:rFonts w:hint="default" w:ascii="Times New Roman" w:hAnsi="Times New Roman" w:eastAsia="仿宋_GB2312" w:cs="Times New Roman"/>
          <w:color w:val="000000"/>
          <w:sz w:val="28"/>
          <w:szCs w:val="28"/>
          <w:lang w:val="en-US" w:eastAsia="zh-CN"/>
        </w:rPr>
        <w:t xml:space="preserve"> </w:t>
      </w:r>
      <w:r>
        <w:rPr>
          <w:rFonts w:hint="default" w:ascii="Times New Roman" w:hAnsi="Times New Roman" w:eastAsia="仿宋_GB2312" w:cs="Times New Roman"/>
          <w:color w:val="000000"/>
          <w:sz w:val="28"/>
          <w:szCs w:val="28"/>
          <w:lang w:eastAsia="zh-CN"/>
        </w:rPr>
        <w:t>人：</w:t>
      </w:r>
      <w:r>
        <w:rPr>
          <w:rFonts w:hint="default" w:ascii="Times New Roman" w:hAnsi="Times New Roman" w:eastAsia="仿宋_GB2312" w:cs="Times New Roman"/>
          <w:color w:val="000000"/>
          <w:sz w:val="28"/>
          <w:szCs w:val="28"/>
        </w:rPr>
        <w:t>陈治超</w:t>
      </w:r>
    </w:p>
    <w:p>
      <w:pPr>
        <w:spacing w:line="360" w:lineRule="auto"/>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电</w:t>
      </w:r>
      <w:r>
        <w:rPr>
          <w:rFonts w:hint="default" w:ascii="Times New Roman" w:hAnsi="Times New Roman" w:eastAsia="仿宋_GB2312" w:cs="Times New Roman"/>
          <w:color w:val="000000"/>
          <w:sz w:val="28"/>
          <w:szCs w:val="28"/>
          <w:lang w:val="en-US" w:eastAsia="zh-CN"/>
        </w:rPr>
        <w:t xml:space="preserve">    </w:t>
      </w:r>
      <w:r>
        <w:rPr>
          <w:rFonts w:hint="default" w:ascii="Times New Roman" w:hAnsi="Times New Roman" w:eastAsia="仿宋_GB2312" w:cs="Times New Roman"/>
          <w:color w:val="000000"/>
          <w:sz w:val="28"/>
          <w:szCs w:val="28"/>
        </w:rPr>
        <w:t>话</w:t>
      </w:r>
      <w:r>
        <w:rPr>
          <w:rFonts w:hint="default" w:ascii="Times New Roman" w:hAnsi="Times New Roman" w:eastAsia="仿宋_GB2312" w:cs="Times New Roman"/>
          <w:color w:val="000000"/>
          <w:sz w:val="28"/>
          <w:szCs w:val="28"/>
          <w:lang w:eastAsia="zh-CN"/>
        </w:rPr>
        <w:t>：</w:t>
      </w:r>
      <w:r>
        <w:rPr>
          <w:rFonts w:hint="default" w:ascii="Times New Roman" w:hAnsi="Times New Roman" w:cs="Times New Roman"/>
          <w:sz w:val="28"/>
          <w:szCs w:val="28"/>
        </w:rPr>
        <w:t>13385138923</w:t>
      </w:r>
    </w:p>
    <w:p>
      <w:pPr>
        <w:spacing w:line="360" w:lineRule="auto"/>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邮</w:t>
      </w:r>
      <w:r>
        <w:rPr>
          <w:rFonts w:hint="default" w:ascii="Times New Roman" w:hAnsi="Times New Roman" w:eastAsia="仿宋_GB2312" w:cs="Times New Roman"/>
          <w:color w:val="000000"/>
          <w:sz w:val="28"/>
          <w:szCs w:val="28"/>
          <w:lang w:val="en-US" w:eastAsia="zh-CN"/>
        </w:rPr>
        <w:t xml:space="preserve">    </w:t>
      </w:r>
      <w:r>
        <w:rPr>
          <w:rFonts w:hint="default" w:ascii="Times New Roman" w:hAnsi="Times New Roman" w:eastAsia="仿宋_GB2312" w:cs="Times New Roman"/>
          <w:color w:val="000000"/>
          <w:sz w:val="28"/>
          <w:szCs w:val="28"/>
        </w:rPr>
        <w:t>编</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lang w:val="en-US" w:eastAsia="zh-CN"/>
        </w:rPr>
        <w:t>5</w:t>
      </w:r>
      <w:r>
        <w:rPr>
          <w:rFonts w:hint="eastAsia" w:ascii="Times New Roman" w:hAnsi="Times New Roman" w:eastAsia="仿宋_GB2312" w:cs="Times New Roman"/>
          <w:color w:val="000000"/>
          <w:sz w:val="28"/>
          <w:szCs w:val="28"/>
          <w:lang w:val="en-US" w:eastAsia="zh-CN"/>
        </w:rPr>
        <w:t>61200</w:t>
      </w:r>
    </w:p>
    <w:p>
      <w:pPr>
        <w:spacing w:line="360" w:lineRule="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rPr>
        <w:t>传</w:t>
      </w:r>
      <w:r>
        <w:rPr>
          <w:rFonts w:hint="default" w:ascii="Times New Roman" w:hAnsi="Times New Roman" w:eastAsia="仿宋_GB2312" w:cs="Times New Roman"/>
          <w:color w:val="000000"/>
          <w:sz w:val="28"/>
          <w:szCs w:val="28"/>
          <w:lang w:val="en-US" w:eastAsia="zh-CN"/>
        </w:rPr>
        <w:t xml:space="preserve">    </w:t>
      </w:r>
      <w:r>
        <w:rPr>
          <w:rFonts w:hint="default" w:ascii="Times New Roman" w:hAnsi="Times New Roman" w:eastAsia="仿宋_GB2312" w:cs="Times New Roman"/>
          <w:color w:val="000000"/>
          <w:sz w:val="28"/>
          <w:szCs w:val="28"/>
        </w:rPr>
        <w:t>真</w:t>
      </w:r>
      <w:r>
        <w:rPr>
          <w:rFonts w:hint="default" w:ascii="Times New Roman" w:hAnsi="Times New Roman" w:eastAsia="仿宋_GB2312" w:cs="Times New Roman"/>
          <w:color w:val="000000"/>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after="200" w:line="360" w:lineRule="auto"/>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rPr>
        <w:t>地</w:t>
      </w:r>
      <w:r>
        <w:rPr>
          <w:rFonts w:hint="default" w:ascii="Times New Roman" w:hAnsi="Times New Roman" w:eastAsia="仿宋_GB2312" w:cs="Times New Roman"/>
          <w:color w:val="000000"/>
          <w:sz w:val="28"/>
          <w:szCs w:val="28"/>
          <w:lang w:val="en-US" w:eastAsia="zh-CN"/>
        </w:rPr>
        <w:t xml:space="preserve">    </w:t>
      </w:r>
      <w:r>
        <w:rPr>
          <w:rFonts w:hint="default" w:ascii="Times New Roman" w:hAnsi="Times New Roman" w:eastAsia="仿宋_GB2312" w:cs="Times New Roman"/>
          <w:color w:val="000000"/>
          <w:sz w:val="28"/>
          <w:szCs w:val="28"/>
        </w:rPr>
        <w:t>址</w:t>
      </w:r>
      <w:r>
        <w:rPr>
          <w:rFonts w:hint="default" w:ascii="Times New Roman" w:hAnsi="Times New Roman" w:eastAsia="仿宋_GB2312" w:cs="Times New Roman"/>
          <w:color w:val="000000"/>
          <w:sz w:val="28"/>
          <w:szCs w:val="28"/>
          <w:lang w:eastAsia="zh-CN"/>
        </w:rPr>
        <w:t>：</w:t>
      </w:r>
      <w:r>
        <w:rPr>
          <w:rFonts w:hint="eastAsia" w:ascii="仿宋" w:hAnsi="仿宋" w:eastAsia="仿宋" w:cs="仿宋"/>
          <w:sz w:val="28"/>
          <w:szCs w:val="28"/>
        </w:rPr>
        <w:t>贵州省安顺市镇宁布依族苗族自治县环翠街道刘关村日用快消品产业园</w:t>
      </w:r>
    </w:p>
    <w:p>
      <w:pPr>
        <w:spacing w:line="360" w:lineRule="auto"/>
        <w:rPr>
          <w:rFonts w:hint="eastAsia" w:ascii="Times New Roman" w:hAnsi="Times New Roman" w:eastAsia="仿宋_GB2312" w:cs="Times New Roman"/>
          <w:color w:val="000000"/>
          <w:sz w:val="28"/>
          <w:lang w:eastAsia="zh-CN"/>
        </w:rPr>
      </w:pPr>
    </w:p>
    <w:p>
      <w:pP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br w:type="page"/>
      </w:r>
    </w:p>
    <w:sdt>
      <w:sdtPr>
        <w:rPr>
          <w:rFonts w:ascii="宋体" w:hAnsi="宋体" w:eastAsia="宋体" w:cstheme="minorBidi"/>
          <w:sz w:val="21"/>
          <w:szCs w:val="22"/>
          <w:lang w:val="en-US" w:eastAsia="zh-CN" w:bidi="ar-SA"/>
        </w:rPr>
        <w:id w:val="147465714"/>
        <w15:color w:val="DBDBDB"/>
        <w:docPartObj>
          <w:docPartGallery w:val="Table of Contents"/>
          <w:docPartUnique/>
        </w:docPartObj>
      </w:sdtPr>
      <w:sdtEndPr>
        <w:rPr>
          <w:rFonts w:hint="default" w:ascii="Tahoma" w:hAnsi="Tahoma" w:eastAsia="微软雅黑" w:cstheme="minorBidi"/>
          <w:sz w:val="22"/>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middleDot" w:pos="8306"/>
            </w:tabs>
          </w:pPr>
          <w:r>
            <w:rPr>
              <w:rFonts w:hint="default"/>
              <w:sz w:val="28"/>
              <w:szCs w:val="28"/>
            </w:rPr>
            <w:fldChar w:fldCharType="begin"/>
          </w:r>
          <w:r>
            <w:rPr>
              <w:rFonts w:hint="default"/>
              <w:sz w:val="28"/>
              <w:szCs w:val="28"/>
            </w:rPr>
            <w:instrText xml:space="preserve">TOC \o "1-1" \h \u </w:instrText>
          </w:r>
          <w:r>
            <w:rPr>
              <w:rFonts w:hint="default"/>
              <w:sz w:val="28"/>
              <w:szCs w:val="28"/>
            </w:rPr>
            <w:fldChar w:fldCharType="separate"/>
          </w:r>
          <w:r>
            <w:rPr>
              <w:rFonts w:hint="default"/>
              <w:szCs w:val="28"/>
            </w:rPr>
            <w:fldChar w:fldCharType="begin"/>
          </w:r>
          <w:r>
            <w:rPr>
              <w:rFonts w:hint="default"/>
              <w:szCs w:val="28"/>
            </w:rPr>
            <w:instrText xml:space="preserve"> HYPERLINK \l _Toc16126 </w:instrText>
          </w:r>
          <w:r>
            <w:rPr>
              <w:rFonts w:hint="default"/>
              <w:szCs w:val="28"/>
            </w:rPr>
            <w:fldChar w:fldCharType="separate"/>
          </w:r>
          <w:r>
            <w:rPr>
              <w:rFonts w:hAnsi="Arial" w:eastAsia="仿宋_GB2312"/>
              <w:szCs w:val="21"/>
            </w:rPr>
            <w:t>表一</w:t>
          </w:r>
          <w:r>
            <w:rPr>
              <w:rFonts w:hint="eastAsia" w:hAnsi="Arial" w:eastAsia="仿宋_GB2312"/>
              <w:szCs w:val="21"/>
              <w:lang w:eastAsia="zh-CN"/>
            </w:rPr>
            <w:t>：项目基本情况</w:t>
          </w:r>
          <w:r>
            <w:tab/>
          </w:r>
          <w:r>
            <w:fldChar w:fldCharType="begin"/>
          </w:r>
          <w:r>
            <w:instrText xml:space="preserve"> PAGEREF _Toc16126 </w:instrText>
          </w:r>
          <w:r>
            <w:fldChar w:fldCharType="separate"/>
          </w:r>
          <w:r>
            <w:t>1</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_Toc6950 </w:instrText>
          </w:r>
          <w:r>
            <w:rPr>
              <w:rFonts w:hint="default"/>
              <w:szCs w:val="28"/>
            </w:rPr>
            <w:fldChar w:fldCharType="separate"/>
          </w:r>
          <w:r>
            <w:rPr>
              <w:rFonts w:eastAsia="仿宋_GB2312"/>
              <w:szCs w:val="21"/>
            </w:rPr>
            <w:t>表二</w:t>
          </w:r>
          <w:r>
            <w:rPr>
              <w:rFonts w:hint="eastAsia" w:eastAsia="仿宋_GB2312"/>
              <w:szCs w:val="21"/>
              <w:lang w:eastAsia="zh-CN"/>
            </w:rPr>
            <w:t>：项目工程概况</w:t>
          </w:r>
          <w:r>
            <w:tab/>
          </w:r>
          <w:r>
            <w:fldChar w:fldCharType="begin"/>
          </w:r>
          <w:r>
            <w:instrText xml:space="preserve"> PAGEREF _Toc6950 </w:instrText>
          </w:r>
          <w:r>
            <w:fldChar w:fldCharType="separate"/>
          </w:r>
          <w:r>
            <w:t>3</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_Toc8932 </w:instrText>
          </w:r>
          <w:r>
            <w:rPr>
              <w:rFonts w:hint="default"/>
              <w:szCs w:val="28"/>
            </w:rPr>
            <w:fldChar w:fldCharType="separate"/>
          </w:r>
          <w:r>
            <w:rPr>
              <w:rFonts w:eastAsia="仿宋_GB2312"/>
              <w:szCs w:val="21"/>
            </w:rPr>
            <w:t>表</w:t>
          </w:r>
          <w:r>
            <w:rPr>
              <w:rFonts w:hint="eastAsia" w:eastAsia="仿宋_GB2312"/>
              <w:szCs w:val="21"/>
            </w:rPr>
            <w:t>三</w:t>
          </w:r>
          <w:r>
            <w:rPr>
              <w:rFonts w:hint="eastAsia" w:eastAsia="仿宋_GB2312"/>
              <w:szCs w:val="21"/>
              <w:lang w:eastAsia="zh-CN"/>
            </w:rPr>
            <w:t>：主要污染物及处理</w:t>
          </w:r>
          <w:r>
            <w:tab/>
          </w:r>
          <w:r>
            <w:fldChar w:fldCharType="begin"/>
          </w:r>
          <w:r>
            <w:instrText xml:space="preserve"> PAGEREF _Toc8932 </w:instrText>
          </w:r>
          <w:r>
            <w:fldChar w:fldCharType="separate"/>
          </w:r>
          <w:r>
            <w:t>9</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_Toc27255 </w:instrText>
          </w:r>
          <w:r>
            <w:rPr>
              <w:rFonts w:hint="default"/>
              <w:szCs w:val="28"/>
            </w:rPr>
            <w:fldChar w:fldCharType="separate"/>
          </w:r>
          <w:r>
            <w:rPr>
              <w:rFonts w:eastAsia="仿宋_GB2312"/>
              <w:szCs w:val="21"/>
            </w:rPr>
            <w:t>表</w:t>
          </w:r>
          <w:r>
            <w:rPr>
              <w:rFonts w:hint="eastAsia" w:eastAsia="仿宋_GB2312"/>
              <w:szCs w:val="21"/>
            </w:rPr>
            <w:t>四</w:t>
          </w:r>
          <w:r>
            <w:rPr>
              <w:rFonts w:hint="eastAsia" w:eastAsia="仿宋_GB2312"/>
              <w:szCs w:val="21"/>
              <w:lang w:eastAsia="zh-CN"/>
            </w:rPr>
            <w:t>：环境影响评价报告回顾</w:t>
          </w:r>
          <w:r>
            <w:tab/>
          </w:r>
          <w:r>
            <w:fldChar w:fldCharType="begin"/>
          </w:r>
          <w:r>
            <w:instrText xml:space="preserve"> PAGEREF _Toc27255 </w:instrText>
          </w:r>
          <w:r>
            <w:fldChar w:fldCharType="separate"/>
          </w:r>
          <w:r>
            <w:t>10</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_Toc7429 </w:instrText>
          </w:r>
          <w:r>
            <w:rPr>
              <w:rFonts w:hint="default"/>
              <w:szCs w:val="28"/>
            </w:rPr>
            <w:fldChar w:fldCharType="separate"/>
          </w:r>
          <w:r>
            <w:rPr>
              <w:rFonts w:hint="eastAsia" w:eastAsia="仿宋_GB2312"/>
              <w:szCs w:val="21"/>
              <w:lang w:eastAsia="zh-CN"/>
            </w:rPr>
            <w:t>表五：验收监测内容</w:t>
          </w:r>
          <w:r>
            <w:tab/>
          </w:r>
          <w:r>
            <w:fldChar w:fldCharType="begin"/>
          </w:r>
          <w:r>
            <w:instrText xml:space="preserve"> PAGEREF _Toc7429 </w:instrText>
          </w:r>
          <w:r>
            <w:fldChar w:fldCharType="separate"/>
          </w:r>
          <w:r>
            <w:t>16</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_Toc14456 </w:instrText>
          </w:r>
          <w:r>
            <w:rPr>
              <w:rFonts w:hint="default"/>
              <w:szCs w:val="28"/>
            </w:rPr>
            <w:fldChar w:fldCharType="separate"/>
          </w:r>
          <w:r>
            <w:rPr>
              <w:rFonts w:hint="eastAsia" w:eastAsia="仿宋_GB2312"/>
              <w:szCs w:val="21"/>
              <w:lang w:eastAsia="zh-CN"/>
            </w:rPr>
            <w:t>表</w:t>
          </w:r>
          <w:r>
            <w:rPr>
              <w:rFonts w:hint="eastAsia" w:eastAsia="仿宋_GB2312"/>
              <w:szCs w:val="21"/>
              <w:lang w:val="en-US" w:eastAsia="zh-CN"/>
            </w:rPr>
            <w:t>六：监测结果</w:t>
          </w:r>
          <w:r>
            <w:tab/>
          </w:r>
          <w:r>
            <w:fldChar w:fldCharType="begin"/>
          </w:r>
          <w:r>
            <w:instrText xml:space="preserve"> PAGEREF _Toc14456 </w:instrText>
          </w:r>
          <w:r>
            <w:fldChar w:fldCharType="separate"/>
          </w:r>
          <w:r>
            <w:t>18</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_Toc8188 </w:instrText>
          </w:r>
          <w:r>
            <w:rPr>
              <w:rFonts w:hint="default"/>
              <w:szCs w:val="28"/>
            </w:rPr>
            <w:fldChar w:fldCharType="separate"/>
          </w:r>
          <w:r>
            <w:rPr>
              <w:rFonts w:hint="eastAsia" w:eastAsia="仿宋_GB2312"/>
              <w:szCs w:val="21"/>
              <w:lang w:eastAsia="zh-CN"/>
            </w:rPr>
            <w:t>表七：验收结论及建议</w:t>
          </w:r>
          <w:r>
            <w:tab/>
          </w:r>
          <w:r>
            <w:fldChar w:fldCharType="begin"/>
          </w:r>
          <w:r>
            <w:instrText xml:space="preserve"> PAGEREF _Toc8188 </w:instrText>
          </w:r>
          <w:r>
            <w:fldChar w:fldCharType="separate"/>
          </w:r>
          <w:r>
            <w:t>21</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_Toc581 </w:instrText>
          </w:r>
          <w:r>
            <w:rPr>
              <w:rFonts w:hint="default"/>
              <w:szCs w:val="28"/>
            </w:rPr>
            <w:fldChar w:fldCharType="separate"/>
          </w:r>
          <w:r>
            <w:rPr>
              <w:rFonts w:hint="eastAsia" w:ascii="宋体" w:hAnsi="宋体" w:eastAsia="宋体" w:cs="宋体"/>
              <w:szCs w:val="24"/>
              <w:lang w:eastAsia="zh-CN"/>
            </w:rPr>
            <w:t>附表一：营运期环评及批复要求落实情况一览表</w:t>
          </w:r>
          <w:r>
            <w:tab/>
          </w:r>
          <w:r>
            <w:fldChar w:fldCharType="begin"/>
          </w:r>
          <w:r>
            <w:instrText xml:space="preserve"> PAGEREF _Toc581 </w:instrText>
          </w:r>
          <w:r>
            <w:fldChar w:fldCharType="separate"/>
          </w:r>
          <w:r>
            <w:t>22</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_Toc32159 </w:instrText>
          </w:r>
          <w:r>
            <w:rPr>
              <w:rFonts w:hint="default"/>
              <w:szCs w:val="28"/>
            </w:rPr>
            <w:fldChar w:fldCharType="separate"/>
          </w:r>
          <w:r>
            <w:rPr>
              <w:rFonts w:hint="eastAsia" w:ascii="宋体" w:hAnsi="宋体" w:eastAsia="宋体" w:cs="宋体"/>
              <w:szCs w:val="24"/>
              <w:lang w:eastAsia="zh-CN"/>
            </w:rPr>
            <w:t>附表二：“三同时”验收登记表</w:t>
          </w:r>
          <w:r>
            <w:tab/>
          </w:r>
          <w:r>
            <w:fldChar w:fldCharType="begin"/>
          </w:r>
          <w:r>
            <w:instrText xml:space="preserve"> PAGEREF _Toc32159 </w:instrText>
          </w:r>
          <w:r>
            <w:fldChar w:fldCharType="separate"/>
          </w:r>
          <w:r>
            <w:t>23</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_Toc7904 </w:instrText>
          </w:r>
          <w:r>
            <w:rPr>
              <w:rFonts w:hint="default"/>
              <w:szCs w:val="28"/>
            </w:rPr>
            <w:fldChar w:fldCharType="separate"/>
          </w:r>
          <w:r>
            <w:rPr>
              <w:rFonts w:hint="eastAsia" w:ascii="宋体" w:hAnsi="宋体" w:eastAsia="宋体" w:cs="宋体"/>
              <w:szCs w:val="24"/>
              <w:lang w:eastAsia="zh-CN"/>
            </w:rPr>
            <w:t>附图一：地理位置图</w:t>
          </w:r>
          <w:r>
            <w:tab/>
          </w:r>
          <w:r>
            <w:fldChar w:fldCharType="begin"/>
          </w:r>
          <w:r>
            <w:instrText xml:space="preserve"> PAGEREF _Toc7904 </w:instrText>
          </w:r>
          <w:r>
            <w:fldChar w:fldCharType="separate"/>
          </w:r>
          <w:r>
            <w:t>24</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_Toc21345 </w:instrText>
          </w:r>
          <w:r>
            <w:rPr>
              <w:rFonts w:hint="default"/>
              <w:szCs w:val="28"/>
            </w:rPr>
            <w:fldChar w:fldCharType="separate"/>
          </w:r>
          <w:r>
            <w:rPr>
              <w:rFonts w:hint="eastAsia" w:ascii="宋体" w:hAnsi="宋体" w:eastAsia="宋体" w:cs="宋体"/>
              <w:szCs w:val="24"/>
              <w:lang w:eastAsia="zh-CN"/>
            </w:rPr>
            <w:t>附图二：平面布局图</w:t>
          </w:r>
          <w:r>
            <w:tab/>
          </w:r>
          <w:r>
            <w:fldChar w:fldCharType="begin"/>
          </w:r>
          <w:r>
            <w:instrText xml:space="preserve"> PAGEREF _Toc21345 </w:instrText>
          </w:r>
          <w:r>
            <w:fldChar w:fldCharType="separate"/>
          </w:r>
          <w:r>
            <w:t>25</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_Toc13954 </w:instrText>
          </w:r>
          <w:r>
            <w:rPr>
              <w:rFonts w:hint="default"/>
              <w:szCs w:val="28"/>
            </w:rPr>
            <w:fldChar w:fldCharType="separate"/>
          </w:r>
          <w:r>
            <w:rPr>
              <w:rFonts w:hint="eastAsia" w:ascii="宋体" w:hAnsi="宋体" w:eastAsia="宋体" w:cs="宋体"/>
              <w:szCs w:val="24"/>
              <w:lang w:val="en-US" w:eastAsia="zh-CN"/>
            </w:rPr>
            <w:t>附图三 现场监测照片</w:t>
          </w:r>
          <w:r>
            <w:tab/>
          </w:r>
          <w:r>
            <w:fldChar w:fldCharType="begin"/>
          </w:r>
          <w:r>
            <w:instrText xml:space="preserve"> PAGEREF _Toc13954 </w:instrText>
          </w:r>
          <w:r>
            <w:fldChar w:fldCharType="separate"/>
          </w:r>
          <w:r>
            <w:t>26</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_Toc28386 </w:instrText>
          </w:r>
          <w:r>
            <w:rPr>
              <w:rFonts w:hint="default"/>
              <w:szCs w:val="28"/>
            </w:rPr>
            <w:fldChar w:fldCharType="separate"/>
          </w:r>
          <w:r>
            <w:rPr>
              <w:rFonts w:hint="eastAsia" w:ascii="宋体" w:hAnsi="宋体" w:eastAsia="宋体" w:cs="宋体"/>
              <w:szCs w:val="24"/>
              <w:lang w:eastAsia="zh-CN"/>
            </w:rPr>
            <w:t>附件一：环评批复</w:t>
          </w:r>
          <w:r>
            <w:tab/>
          </w:r>
          <w:r>
            <w:fldChar w:fldCharType="begin"/>
          </w:r>
          <w:r>
            <w:instrText xml:space="preserve"> PAGEREF _Toc28386 </w:instrText>
          </w:r>
          <w:r>
            <w:fldChar w:fldCharType="separate"/>
          </w:r>
          <w:r>
            <w:t>28</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_Toc13680 </w:instrText>
          </w:r>
          <w:r>
            <w:rPr>
              <w:rFonts w:hint="default"/>
              <w:szCs w:val="28"/>
            </w:rPr>
            <w:fldChar w:fldCharType="separate"/>
          </w:r>
          <w:r>
            <w:rPr>
              <w:rFonts w:hint="default" w:ascii="宋体" w:hAnsi="宋体" w:eastAsia="宋体" w:cs="宋体"/>
              <w:szCs w:val="24"/>
              <w:lang w:eastAsia="zh-CN"/>
            </w:rPr>
            <w:t>附件</w:t>
          </w:r>
          <w:r>
            <w:rPr>
              <w:rFonts w:hint="eastAsia" w:ascii="宋体" w:hAnsi="宋体" w:eastAsia="宋体" w:cs="宋体"/>
              <w:szCs w:val="24"/>
              <w:lang w:eastAsia="zh-CN"/>
            </w:rPr>
            <w:t>三</w:t>
          </w:r>
          <w:r>
            <w:rPr>
              <w:rFonts w:hint="default" w:ascii="宋体" w:hAnsi="宋体" w:eastAsia="宋体" w:cs="宋体"/>
              <w:szCs w:val="24"/>
              <w:lang w:val="en-US" w:eastAsia="zh-CN"/>
            </w:rPr>
            <w:t xml:space="preserve"> 验收监测数据报告</w:t>
          </w:r>
          <w:r>
            <w:tab/>
          </w:r>
          <w:r>
            <w:fldChar w:fldCharType="begin"/>
          </w:r>
          <w:r>
            <w:instrText xml:space="preserve"> PAGEREF _Toc13680 </w:instrText>
          </w:r>
          <w:r>
            <w:fldChar w:fldCharType="separate"/>
          </w:r>
          <w:r>
            <w:t>32</w:t>
          </w:r>
          <w:r>
            <w:fldChar w:fldCharType="end"/>
          </w:r>
          <w:r>
            <w:rPr>
              <w:rFonts w:hint="default"/>
              <w:szCs w:val="28"/>
            </w:rPr>
            <w:fldChar w:fldCharType="end"/>
          </w:r>
        </w:p>
        <w:p>
          <w:pPr>
            <w:pStyle w:val="9"/>
            <w:tabs>
              <w:tab w:val="right" w:leader="middleDot" w:pos="8306"/>
            </w:tabs>
          </w:pPr>
          <w:r>
            <w:rPr>
              <w:rFonts w:hint="default"/>
              <w:szCs w:val="28"/>
            </w:rPr>
            <w:fldChar w:fldCharType="begin"/>
          </w:r>
          <w:r>
            <w:rPr>
              <w:rFonts w:hint="default"/>
              <w:szCs w:val="28"/>
            </w:rPr>
            <w:instrText xml:space="preserve"> HYPERLINK \l _Toc5098 </w:instrText>
          </w:r>
          <w:r>
            <w:rPr>
              <w:rFonts w:hint="default"/>
              <w:szCs w:val="28"/>
            </w:rPr>
            <w:fldChar w:fldCharType="separate"/>
          </w:r>
          <w:r>
            <w:rPr>
              <w:rFonts w:hint="eastAsia" w:ascii="宋体" w:hAnsi="宋体" w:eastAsia="宋体" w:cs="宋体"/>
              <w:szCs w:val="24"/>
              <w:lang w:val="en-US" w:eastAsia="zh-CN"/>
            </w:rPr>
            <w:t>附件四 验收专家意见</w:t>
          </w:r>
          <w:r>
            <w:tab/>
          </w:r>
          <w:r>
            <w:fldChar w:fldCharType="begin"/>
          </w:r>
          <w:r>
            <w:instrText xml:space="preserve"> PAGEREF _Toc5098 </w:instrText>
          </w:r>
          <w:r>
            <w:fldChar w:fldCharType="separate"/>
          </w:r>
          <w:r>
            <w:t>41</w:t>
          </w:r>
          <w:r>
            <w:fldChar w:fldCharType="end"/>
          </w:r>
          <w:r>
            <w:rPr>
              <w:rFonts w:hint="default"/>
              <w:szCs w:val="28"/>
            </w:rPr>
            <w:fldChar w:fldCharType="end"/>
          </w:r>
        </w:p>
        <w:p>
          <w:pPr>
            <w:pStyle w:val="2"/>
            <w:keepNext w:val="0"/>
            <w:keepLines w:val="0"/>
            <w:pageBreakBefore w:val="0"/>
            <w:widowControl/>
            <w:kinsoku/>
            <w:wordWrap/>
            <w:overflowPunct/>
            <w:topLinePunct w:val="0"/>
            <w:autoSpaceDE/>
            <w:autoSpaceDN/>
            <w:bidi w:val="0"/>
            <w:spacing w:line="360" w:lineRule="auto"/>
            <w:textAlignment w:val="auto"/>
            <w:outlineLvl w:val="9"/>
            <w:rPr>
              <w:rFonts w:hint="default"/>
            </w:rPr>
            <w:sectPr>
              <w:footerReference r:id="rId3" w:type="default"/>
              <w:pgSz w:w="11906" w:h="16838"/>
              <w:pgMar w:top="1440" w:right="1800" w:bottom="1440" w:left="1800" w:header="708" w:footer="708" w:gutter="0"/>
              <w:pgNumType w:fmt="decimal"/>
              <w:cols w:space="720" w:num="1"/>
              <w:docGrid w:linePitch="360" w:charSpace="0"/>
            </w:sectPr>
          </w:pPr>
          <w:r>
            <w:rPr>
              <w:rFonts w:hint="default"/>
              <w:szCs w:val="28"/>
            </w:rPr>
            <w:fldChar w:fldCharType="end"/>
          </w:r>
        </w:p>
      </w:sdtContent>
    </w:sdt>
    <w:p>
      <w:pPr>
        <w:spacing w:after="0" w:afterLines="0" w:line="360" w:lineRule="auto"/>
        <w:outlineLvl w:val="0"/>
        <w:rPr>
          <w:rFonts w:hint="eastAsia" w:eastAsia="仿宋_GB2312"/>
          <w:b/>
          <w:color w:val="000000"/>
          <w:sz w:val="21"/>
          <w:szCs w:val="21"/>
          <w:lang w:eastAsia="zh-CN"/>
        </w:rPr>
      </w:pPr>
      <w:bookmarkStart w:id="0" w:name="_Toc16126"/>
      <w:r>
        <w:rPr>
          <w:rFonts w:hAnsi="Arial" w:eastAsia="仿宋_GB2312"/>
          <w:b/>
          <w:color w:val="000000"/>
          <w:sz w:val="21"/>
          <w:szCs w:val="21"/>
        </w:rPr>
        <w:t>表一</w:t>
      </w:r>
      <w:r>
        <w:rPr>
          <w:rFonts w:hint="eastAsia" w:hAnsi="Arial" w:eastAsia="仿宋_GB2312"/>
          <w:b/>
          <w:color w:val="000000"/>
          <w:sz w:val="21"/>
          <w:szCs w:val="21"/>
          <w:lang w:eastAsia="zh-CN"/>
        </w:rPr>
        <w:t>：项目基本情况</w:t>
      </w:r>
      <w:bookmarkEnd w:id="0"/>
    </w:p>
    <w:tbl>
      <w:tblPr>
        <w:tblStyle w:val="11"/>
        <w:tblW w:w="90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477"/>
        <w:gridCol w:w="2283"/>
        <w:gridCol w:w="1899"/>
        <w:gridCol w:w="988"/>
        <w:gridCol w:w="765"/>
        <w:gridCol w:w="11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建设项目名称</w:t>
            </w:r>
          </w:p>
        </w:tc>
        <w:tc>
          <w:tcPr>
            <w:tcW w:w="7083" w:type="dxa"/>
            <w:gridSpan w:val="5"/>
            <w:noWrap w:val="0"/>
            <w:vAlign w:val="center"/>
          </w:tcPr>
          <w:p>
            <w:pPr>
              <w:spacing w:after="0" w:afterLines="0"/>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en-US" w:eastAsia="zh-CN"/>
              </w:rPr>
              <w:t>镇宁自治县RLH可生物降解塑料项目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建设单位名称</w:t>
            </w:r>
          </w:p>
        </w:tc>
        <w:tc>
          <w:tcPr>
            <w:tcW w:w="7083" w:type="dxa"/>
            <w:gridSpan w:val="5"/>
            <w:noWrap w:val="0"/>
            <w:vAlign w:val="center"/>
          </w:tcPr>
          <w:p>
            <w:pPr>
              <w:spacing w:after="0" w:afterLines="0"/>
              <w:rPr>
                <w:rFonts w:ascii="宋体" w:hAnsi="宋体" w:eastAsia="宋体"/>
                <w:color w:val="000000"/>
                <w:sz w:val="21"/>
                <w:szCs w:val="21"/>
              </w:rPr>
            </w:pPr>
            <w:r>
              <w:rPr>
                <w:rFonts w:hint="eastAsia" w:ascii="宋体" w:hAnsi="宋体" w:eastAsia="宋体"/>
                <w:color w:val="000000"/>
                <w:sz w:val="21"/>
                <w:szCs w:val="21"/>
                <w:lang w:eastAsia="zh-CN"/>
              </w:rPr>
              <w:t>安顺瑞力恒塑业发展有限公司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建设项目性质</w:t>
            </w:r>
          </w:p>
        </w:tc>
        <w:tc>
          <w:tcPr>
            <w:tcW w:w="7083" w:type="dxa"/>
            <w:gridSpan w:val="5"/>
            <w:noWrap w:val="0"/>
            <w:vAlign w:val="center"/>
          </w:tcPr>
          <w:p>
            <w:pPr>
              <w:spacing w:after="0" w:afterLines="0"/>
              <w:jc w:val="both"/>
              <w:rPr>
                <w:rFonts w:ascii="宋体" w:hAnsi="宋体" w:eastAsia="宋体"/>
                <w:color w:val="000000"/>
                <w:sz w:val="21"/>
                <w:szCs w:val="21"/>
              </w:rPr>
            </w:pPr>
            <w:r>
              <w:rPr>
                <w:rFonts w:ascii="宋体" w:hAnsi="宋体" w:eastAsia="宋体"/>
                <w:color w:val="000000"/>
                <w:sz w:val="21"/>
                <w:szCs w:val="21"/>
              </w:rPr>
              <w:sym w:font="Wingdings" w:char="00FE"/>
            </w:r>
            <w:r>
              <w:rPr>
                <w:rFonts w:ascii="宋体" w:hAnsi="宋体" w:eastAsia="宋体"/>
                <w:color w:val="000000"/>
                <w:sz w:val="21"/>
                <w:szCs w:val="21"/>
              </w:rPr>
              <w:t xml:space="preserve">新建  </w:t>
            </w:r>
            <w:r>
              <w:rPr>
                <w:rFonts w:ascii="宋体" w:hAnsi="宋体" w:eastAsia="宋体"/>
                <w:color w:val="000000"/>
                <w:sz w:val="21"/>
                <w:szCs w:val="21"/>
              </w:rPr>
              <w:sym w:font="Wingdings" w:char="00A8"/>
            </w:r>
            <w:r>
              <w:rPr>
                <w:rFonts w:ascii="宋体" w:hAnsi="宋体" w:eastAsia="宋体"/>
                <w:color w:val="000000"/>
                <w:sz w:val="21"/>
                <w:szCs w:val="21"/>
              </w:rPr>
              <w:t xml:space="preserve">改扩建  </w:t>
            </w:r>
            <w:r>
              <w:rPr>
                <w:rFonts w:ascii="宋体" w:hAnsi="宋体" w:eastAsia="宋体"/>
                <w:color w:val="000000"/>
                <w:sz w:val="21"/>
                <w:szCs w:val="21"/>
              </w:rPr>
              <w:sym w:font="Wingdings" w:char="00A8"/>
            </w:r>
            <w:r>
              <w:rPr>
                <w:rFonts w:ascii="宋体" w:hAnsi="宋体" w:eastAsia="宋体"/>
                <w:color w:val="000000"/>
                <w:sz w:val="21"/>
                <w:szCs w:val="21"/>
              </w:rPr>
              <w:t xml:space="preserve">技改  </w:t>
            </w:r>
            <w:r>
              <w:rPr>
                <w:rFonts w:ascii="宋体" w:hAnsi="宋体" w:eastAsia="宋体"/>
                <w:color w:val="000000"/>
                <w:sz w:val="21"/>
                <w:szCs w:val="21"/>
              </w:rPr>
              <w:sym w:font="Wingdings" w:char="00A8"/>
            </w:r>
            <w:r>
              <w:rPr>
                <w:rFonts w:ascii="宋体" w:hAnsi="宋体" w:eastAsia="宋体"/>
                <w:color w:val="000000"/>
                <w:sz w:val="21"/>
                <w:szCs w:val="21"/>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建设地点</w:t>
            </w:r>
          </w:p>
        </w:tc>
        <w:tc>
          <w:tcPr>
            <w:tcW w:w="7083" w:type="dxa"/>
            <w:gridSpan w:val="5"/>
            <w:noWrap w:val="0"/>
            <w:vAlign w:val="center"/>
          </w:tcPr>
          <w:p>
            <w:pPr>
              <w:spacing w:after="0" w:afterLines="0"/>
              <w:jc w:val="left"/>
              <w:rPr>
                <w:rFonts w:ascii="宋体" w:hAnsi="宋体" w:eastAsia="宋体"/>
                <w:color w:val="000000"/>
                <w:sz w:val="21"/>
                <w:szCs w:val="21"/>
              </w:rPr>
            </w:pPr>
            <w:r>
              <w:rPr>
                <w:rFonts w:hint="eastAsia" w:ascii="宋体" w:hAnsi="宋体" w:eastAsia="宋体"/>
                <w:color w:val="000000"/>
                <w:sz w:val="21"/>
                <w:szCs w:val="21"/>
                <w:lang w:eastAsia="zh-CN"/>
              </w:rPr>
              <w:t>贵州省安顺市镇宁布依族苗族自治县环翠街道刘关村日用快消品产业园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主要产品名称</w:t>
            </w:r>
          </w:p>
        </w:tc>
        <w:tc>
          <w:tcPr>
            <w:tcW w:w="7083" w:type="dxa"/>
            <w:gridSpan w:val="5"/>
            <w:noWrap w:val="0"/>
            <w:vAlign w:val="center"/>
          </w:tcPr>
          <w:p>
            <w:pPr>
              <w:spacing w:after="0" w:afterLines="0"/>
              <w:jc w:val="both"/>
              <w:rPr>
                <w:rFonts w:ascii="宋体" w:hAnsi="宋体" w:eastAsia="宋体"/>
                <w:color w:val="000000"/>
                <w:sz w:val="21"/>
                <w:szCs w:val="21"/>
              </w:rPr>
            </w:pPr>
            <w:r>
              <w:rPr>
                <w:rFonts w:hint="eastAsia" w:ascii="宋体" w:hAnsi="宋体" w:eastAsia="宋体"/>
                <w:color w:val="000000"/>
                <w:sz w:val="21"/>
                <w:szCs w:val="21"/>
                <w:lang w:eastAsia="zh-CN"/>
              </w:rPr>
              <w:t>生活用可降解塑料袋、工业包装可降解塑料袋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设计生产能力</w:t>
            </w:r>
          </w:p>
        </w:tc>
        <w:tc>
          <w:tcPr>
            <w:tcW w:w="7083" w:type="dxa"/>
            <w:gridSpan w:val="5"/>
            <w:noWrap w:val="0"/>
            <w:vAlign w:val="center"/>
          </w:tcPr>
          <w:p>
            <w:pPr>
              <w:spacing w:after="0" w:afterLines="0"/>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eastAsia="zh-CN"/>
              </w:rPr>
              <w:t>生活用可降解塑料袋</w:t>
            </w:r>
            <w:r>
              <w:rPr>
                <w:rFonts w:hint="eastAsia" w:ascii="Times New Roman" w:hAnsi="Times New Roman" w:eastAsia="宋体" w:cs="Times New Roman"/>
                <w:color w:val="000000"/>
                <w:sz w:val="21"/>
                <w:szCs w:val="21"/>
                <w:lang w:val="en-US" w:eastAsia="zh-CN"/>
              </w:rPr>
              <w:t>2400</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/a</w:t>
            </w:r>
            <w:r>
              <w:rPr>
                <w:rFonts w:hint="default" w:ascii="Times New Roman" w:hAnsi="Times New Roman" w:eastAsia="宋体" w:cs="Times New Roman"/>
                <w:color w:val="000000"/>
                <w:sz w:val="21"/>
                <w:szCs w:val="21"/>
                <w:lang w:eastAsia="zh-CN"/>
              </w:rPr>
              <w:t>、工业包装可降解塑料袋</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00t</w:t>
            </w:r>
            <w:r>
              <w:rPr>
                <w:rFonts w:hint="eastAsia" w:ascii="Times New Roman" w:hAnsi="Times New Roman" w:eastAsia="宋体" w:cs="Times New Roman"/>
                <w:color w:val="000000"/>
                <w:sz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实际生产能力</w:t>
            </w:r>
          </w:p>
        </w:tc>
        <w:tc>
          <w:tcPr>
            <w:tcW w:w="7083" w:type="dxa"/>
            <w:gridSpan w:val="5"/>
            <w:noWrap w:val="0"/>
            <w:vAlign w:val="center"/>
          </w:tcPr>
          <w:p>
            <w:pPr>
              <w:spacing w:after="0" w:afterLines="0"/>
              <w:jc w:val="both"/>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生活用可降解塑料袋</w:t>
            </w:r>
            <w:r>
              <w:rPr>
                <w:rFonts w:hint="eastAsia" w:ascii="Times New Roman" w:hAnsi="Times New Roman" w:eastAsia="宋体" w:cs="Times New Roman"/>
                <w:color w:val="000000"/>
                <w:sz w:val="21"/>
                <w:szCs w:val="21"/>
                <w:lang w:val="en-US" w:eastAsia="zh-CN"/>
              </w:rPr>
              <w:t>2400</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/a</w:t>
            </w:r>
            <w:r>
              <w:rPr>
                <w:rFonts w:hint="default" w:ascii="Times New Roman" w:hAnsi="Times New Roman" w:eastAsia="宋体" w:cs="Times New Roman"/>
                <w:color w:val="000000"/>
                <w:sz w:val="21"/>
                <w:szCs w:val="21"/>
                <w:lang w:eastAsia="zh-CN"/>
              </w:rPr>
              <w:t>、工业包装可降解塑料袋</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00t</w:t>
            </w:r>
            <w:r>
              <w:rPr>
                <w:rFonts w:hint="eastAsia" w:ascii="Times New Roman" w:hAnsi="Times New Roman" w:eastAsia="宋体" w:cs="Times New Roman"/>
                <w:color w:val="000000"/>
                <w:sz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建设项目环评时间</w:t>
            </w:r>
          </w:p>
        </w:tc>
        <w:tc>
          <w:tcPr>
            <w:tcW w:w="2283" w:type="dxa"/>
            <w:noWrap w:val="0"/>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w:t>
            </w:r>
            <w:r>
              <w:rPr>
                <w:rFonts w:hint="eastAsia"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lang w:val="en-US" w:eastAsia="zh-CN"/>
              </w:rPr>
              <w:t>年0</w:t>
            </w:r>
            <w:r>
              <w:rPr>
                <w:rFonts w:hint="eastAsia" w:ascii="Times New Roman" w:hAnsi="Times New Roman" w:eastAsia="宋体" w:cs="Times New Roman"/>
                <w:color w:val="000000"/>
                <w:sz w:val="21"/>
                <w:szCs w:val="21"/>
                <w:lang w:val="en-US" w:eastAsia="zh-CN"/>
              </w:rPr>
              <w:t>8</w:t>
            </w:r>
            <w:r>
              <w:rPr>
                <w:rFonts w:hint="default" w:ascii="Times New Roman" w:hAnsi="Times New Roman" w:eastAsia="宋体" w:cs="Times New Roman"/>
                <w:color w:val="000000"/>
                <w:sz w:val="21"/>
                <w:szCs w:val="21"/>
                <w:lang w:val="en-US" w:eastAsia="zh-CN"/>
              </w:rPr>
              <w:t>月</w:t>
            </w:r>
          </w:p>
        </w:tc>
        <w:tc>
          <w:tcPr>
            <w:tcW w:w="1899" w:type="dxa"/>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开工建设时间</w:t>
            </w:r>
          </w:p>
        </w:tc>
        <w:tc>
          <w:tcPr>
            <w:tcW w:w="2901" w:type="dxa"/>
            <w:gridSpan w:val="3"/>
            <w:noWrap w:val="0"/>
            <w:vAlign w:val="center"/>
          </w:tcPr>
          <w:p>
            <w:pPr>
              <w:spacing w:after="0" w:afterLines="0"/>
              <w:jc w:val="center"/>
              <w:rPr>
                <w:rFonts w:ascii="宋体" w:hAnsi="宋体" w:eastAsia="宋体"/>
                <w:color w:val="000000"/>
                <w:sz w:val="21"/>
                <w:szCs w:val="21"/>
              </w:rPr>
            </w:pPr>
            <w:r>
              <w:rPr>
                <w:rFonts w:hint="default" w:ascii="Times New Roman" w:hAnsi="Times New Roman" w:eastAsia="宋体" w:cs="Times New Roman"/>
                <w:color w:val="000000"/>
                <w:sz w:val="21"/>
                <w:szCs w:val="21"/>
                <w:lang w:val="en-US" w:eastAsia="zh-CN"/>
              </w:rPr>
              <w:t>201</w:t>
            </w:r>
            <w:r>
              <w:rPr>
                <w:rFonts w:hint="eastAsia"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lang w:val="en-US" w:eastAsia="zh-CN"/>
              </w:rPr>
              <w:t>年0</w:t>
            </w:r>
            <w:r>
              <w:rPr>
                <w:rFonts w:hint="eastAsia" w:ascii="Times New Roman" w:hAnsi="Times New Roman" w:eastAsia="宋体" w:cs="Times New Roman"/>
                <w:color w:val="000000"/>
                <w:sz w:val="21"/>
                <w:szCs w:val="21"/>
                <w:lang w:val="en-US" w:eastAsia="zh-CN"/>
              </w:rPr>
              <w:t>8</w:t>
            </w:r>
            <w:r>
              <w:rPr>
                <w:rFonts w:hint="default" w:ascii="Times New Roman" w:hAnsi="Times New Roman" w:eastAsia="宋体" w:cs="Times New Roman"/>
                <w:color w:val="000000"/>
                <w:sz w:val="21"/>
                <w:szCs w:val="21"/>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rPr>
              <w:t>调试</w:t>
            </w:r>
            <w:r>
              <w:rPr>
                <w:rFonts w:ascii="宋体" w:hAnsi="宋体" w:eastAsia="宋体"/>
                <w:color w:val="000000"/>
                <w:sz w:val="21"/>
                <w:szCs w:val="21"/>
              </w:rPr>
              <w:t>时间</w:t>
            </w:r>
          </w:p>
        </w:tc>
        <w:tc>
          <w:tcPr>
            <w:tcW w:w="2283" w:type="dxa"/>
            <w:noWrap w:val="0"/>
            <w:vAlign w:val="center"/>
          </w:tcPr>
          <w:p>
            <w:pPr>
              <w:spacing w:after="0" w:afterLines="0"/>
              <w:jc w:val="center"/>
              <w:rPr>
                <w:rFonts w:ascii="宋体" w:hAnsi="宋体" w:eastAsia="宋体"/>
                <w:color w:val="000000"/>
                <w:sz w:val="21"/>
                <w:szCs w:val="21"/>
              </w:rPr>
            </w:pPr>
            <w:r>
              <w:rPr>
                <w:rFonts w:hint="default" w:ascii="Times New Roman" w:hAnsi="Times New Roman" w:eastAsia="宋体" w:cs="Times New Roman"/>
                <w:color w:val="000000"/>
                <w:sz w:val="21"/>
                <w:szCs w:val="21"/>
                <w:lang w:val="en-US" w:eastAsia="zh-CN"/>
              </w:rPr>
              <w:t>201</w:t>
            </w:r>
            <w:r>
              <w:rPr>
                <w:rFonts w:hint="eastAsia"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lang w:val="en-US" w:eastAsia="zh-CN"/>
              </w:rPr>
              <w:t>年</w:t>
            </w:r>
            <w:r>
              <w:rPr>
                <w:rFonts w:hint="eastAsia" w:ascii="Times New Roman" w:hAnsi="Times New Roman" w:eastAsia="宋体" w:cs="Times New Roman"/>
                <w:color w:val="000000"/>
                <w:sz w:val="21"/>
                <w:szCs w:val="21"/>
                <w:lang w:val="en-US" w:eastAsia="zh-CN"/>
              </w:rPr>
              <w:t>12</w:t>
            </w:r>
            <w:r>
              <w:rPr>
                <w:rFonts w:hint="default" w:ascii="Times New Roman" w:hAnsi="Times New Roman" w:eastAsia="宋体" w:cs="Times New Roman"/>
                <w:color w:val="000000"/>
                <w:sz w:val="21"/>
                <w:szCs w:val="21"/>
                <w:lang w:val="en-US" w:eastAsia="zh-CN"/>
              </w:rPr>
              <w:t>月</w:t>
            </w:r>
          </w:p>
        </w:tc>
        <w:tc>
          <w:tcPr>
            <w:tcW w:w="1899" w:type="dxa"/>
            <w:noWrap w:val="0"/>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rPr>
              <w:t>验收</w:t>
            </w:r>
            <w:r>
              <w:rPr>
                <w:rFonts w:ascii="宋体" w:hAnsi="宋体" w:eastAsia="宋体"/>
                <w:color w:val="000000"/>
                <w:sz w:val="21"/>
                <w:szCs w:val="21"/>
              </w:rPr>
              <w:t>现场监测时间</w:t>
            </w:r>
          </w:p>
        </w:tc>
        <w:tc>
          <w:tcPr>
            <w:tcW w:w="2901" w:type="dxa"/>
            <w:gridSpan w:val="3"/>
            <w:noWrap w:val="0"/>
            <w:vAlign w:val="center"/>
          </w:tcPr>
          <w:p>
            <w:pPr>
              <w:spacing w:after="0" w:afterLines="0"/>
              <w:jc w:val="center"/>
              <w:rPr>
                <w:rFonts w:hint="default" w:ascii="宋体" w:hAnsi="宋体" w:eastAsia="宋体"/>
                <w:color w:val="000000"/>
                <w:sz w:val="21"/>
                <w:szCs w:val="21"/>
                <w:lang w:val="en-US" w:eastAsia="zh-CN"/>
              </w:rPr>
            </w:pPr>
            <w:r>
              <w:rPr>
                <w:rFonts w:hint="default" w:ascii="Times New Roman" w:hAnsi="Times New Roman" w:eastAsia="宋体" w:cs="Times New Roman"/>
                <w:color w:val="000000"/>
                <w:sz w:val="21"/>
                <w:szCs w:val="21"/>
                <w:lang w:val="en-US" w:eastAsia="zh-CN"/>
              </w:rPr>
              <w:t>20</w:t>
            </w:r>
            <w:r>
              <w:rPr>
                <w:rFonts w:hint="eastAsia" w:ascii="Times New Roman" w:hAnsi="Times New Roman" w:eastAsia="宋体" w:cs="Times New Roman"/>
                <w:color w:val="000000"/>
                <w:sz w:val="21"/>
                <w:szCs w:val="21"/>
                <w:lang w:val="en-US" w:eastAsia="zh-CN"/>
              </w:rPr>
              <w:t>20</w:t>
            </w:r>
            <w:r>
              <w:rPr>
                <w:rFonts w:hint="default" w:ascii="Times New Roman" w:hAnsi="Times New Roman" w:eastAsia="宋体" w:cs="Times New Roman"/>
                <w:color w:val="000000"/>
                <w:sz w:val="21"/>
                <w:szCs w:val="21"/>
                <w:lang w:val="en-US" w:eastAsia="zh-CN"/>
              </w:rPr>
              <w:t>年</w:t>
            </w:r>
            <w:r>
              <w:rPr>
                <w:rFonts w:hint="eastAsia" w:ascii="Times New Roman" w:hAnsi="Times New Roman" w:eastAsia="宋体" w:cs="Times New Roman"/>
                <w:color w:val="000000"/>
                <w:sz w:val="21"/>
                <w:szCs w:val="21"/>
                <w:lang w:val="en-US" w:eastAsia="zh-CN"/>
              </w:rPr>
              <w:t>01</w:t>
            </w:r>
            <w:r>
              <w:rPr>
                <w:rFonts w:hint="default" w:ascii="Times New Roman" w:hAnsi="Times New Roman" w:eastAsia="宋体" w:cs="Times New Roman"/>
                <w:color w:val="000000"/>
                <w:sz w:val="21"/>
                <w:szCs w:val="21"/>
                <w:lang w:val="en-US" w:eastAsia="zh-CN"/>
              </w:rPr>
              <w:t>月</w:t>
            </w:r>
            <w:r>
              <w:rPr>
                <w:rFonts w:hint="eastAsia" w:ascii="Times New Roman" w:hAnsi="Times New Roman" w:eastAsia="宋体" w:cs="Times New Roman"/>
                <w:color w:val="000000"/>
                <w:sz w:val="21"/>
                <w:szCs w:val="21"/>
                <w:lang w:val="en-US" w:eastAsia="zh-CN"/>
              </w:rPr>
              <w:t>14日~15日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环评报告表</w:t>
            </w:r>
          </w:p>
          <w:p>
            <w:pPr>
              <w:spacing w:after="0" w:afterLines="0"/>
              <w:jc w:val="center"/>
              <w:rPr>
                <w:rFonts w:ascii="宋体" w:hAnsi="宋体" w:eastAsia="宋体"/>
                <w:color w:val="000000"/>
                <w:sz w:val="21"/>
                <w:szCs w:val="21"/>
              </w:rPr>
            </w:pPr>
            <w:r>
              <w:rPr>
                <w:rFonts w:ascii="宋体" w:hAnsi="宋体" w:eastAsia="宋体"/>
                <w:color w:val="000000"/>
                <w:sz w:val="21"/>
                <w:szCs w:val="21"/>
              </w:rPr>
              <w:t>审批部门</w:t>
            </w:r>
          </w:p>
        </w:tc>
        <w:tc>
          <w:tcPr>
            <w:tcW w:w="2283" w:type="dxa"/>
            <w:noWrap w:val="0"/>
            <w:vAlign w:val="center"/>
          </w:tcPr>
          <w:p>
            <w:pPr>
              <w:spacing w:after="0" w:afterLine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安顺市生态环境局</w:t>
            </w:r>
          </w:p>
        </w:tc>
        <w:tc>
          <w:tcPr>
            <w:tcW w:w="1899" w:type="dxa"/>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环评报告表</w:t>
            </w:r>
          </w:p>
          <w:p>
            <w:pPr>
              <w:spacing w:after="0" w:afterLines="0"/>
              <w:jc w:val="center"/>
              <w:rPr>
                <w:rFonts w:ascii="宋体" w:hAnsi="宋体" w:eastAsia="宋体"/>
                <w:color w:val="000000"/>
                <w:sz w:val="21"/>
                <w:szCs w:val="21"/>
              </w:rPr>
            </w:pPr>
            <w:r>
              <w:rPr>
                <w:rFonts w:ascii="宋体" w:hAnsi="宋体" w:eastAsia="宋体"/>
                <w:color w:val="000000"/>
                <w:sz w:val="21"/>
                <w:szCs w:val="21"/>
              </w:rPr>
              <w:t>编制单位</w:t>
            </w:r>
          </w:p>
        </w:tc>
        <w:tc>
          <w:tcPr>
            <w:tcW w:w="2901" w:type="dxa"/>
            <w:gridSpan w:val="3"/>
            <w:noWrap w:val="0"/>
            <w:vAlign w:val="center"/>
          </w:tcPr>
          <w:p>
            <w:pPr>
              <w:spacing w:after="0" w:afterLines="0"/>
              <w:jc w:val="center"/>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贵州怡宁环保技术咨询有限公司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环保设施设计单位</w:t>
            </w:r>
          </w:p>
        </w:tc>
        <w:tc>
          <w:tcPr>
            <w:tcW w:w="2283" w:type="dxa"/>
            <w:noWrap w:val="0"/>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lang w:eastAsia="zh-CN"/>
              </w:rPr>
              <w:t>安顺瑞力恒塑业发展有限公司</w:t>
            </w:r>
          </w:p>
        </w:tc>
        <w:tc>
          <w:tcPr>
            <w:tcW w:w="1899" w:type="dxa"/>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环保设施施工单位</w:t>
            </w:r>
          </w:p>
        </w:tc>
        <w:tc>
          <w:tcPr>
            <w:tcW w:w="2901" w:type="dxa"/>
            <w:gridSpan w:val="3"/>
            <w:noWrap w:val="0"/>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lang w:eastAsia="zh-CN"/>
              </w:rPr>
              <w:t>安顺瑞力恒塑业发展有限公司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1954" w:type="dxa"/>
            <w:gridSpan w:val="2"/>
            <w:noWrap w:val="0"/>
            <w:vAlign w:val="center"/>
          </w:tcPr>
          <w:p>
            <w:pPr>
              <w:spacing w:after="0" w:afterLines="0"/>
              <w:jc w:val="center"/>
              <w:rPr>
                <w:rFonts w:hint="eastAsia" w:ascii="宋体" w:hAnsi="宋体" w:eastAsia="宋体"/>
                <w:color w:val="000000"/>
                <w:sz w:val="21"/>
                <w:szCs w:val="21"/>
                <w:lang w:eastAsia="zh-CN"/>
              </w:rPr>
            </w:pPr>
            <w:r>
              <w:rPr>
                <w:rFonts w:ascii="宋体" w:hAnsi="宋体" w:eastAsia="宋体"/>
                <w:color w:val="000000"/>
                <w:sz w:val="21"/>
                <w:szCs w:val="21"/>
              </w:rPr>
              <w:t>投资总概算</w:t>
            </w:r>
            <w:r>
              <w:rPr>
                <w:rFonts w:hint="eastAsia" w:ascii="宋体" w:hAnsi="宋体" w:eastAsia="宋体"/>
                <w:color w:val="000000"/>
                <w:sz w:val="21"/>
                <w:szCs w:val="21"/>
                <w:lang w:eastAsia="zh-CN"/>
              </w:rPr>
              <w:t>（</w:t>
            </w:r>
            <w:r>
              <w:rPr>
                <w:rFonts w:hint="default" w:ascii="Times New Roman" w:hAnsi="Times New Roman" w:eastAsia="宋体" w:cs="Times New Roman"/>
                <w:color w:val="000000"/>
                <w:sz w:val="21"/>
                <w:szCs w:val="21"/>
                <w:lang w:val="en-US" w:eastAsia="zh-CN"/>
              </w:rPr>
              <w:t>万元</w:t>
            </w:r>
            <w:r>
              <w:rPr>
                <w:rFonts w:hint="eastAsia" w:ascii="宋体" w:hAnsi="宋体" w:eastAsia="宋体"/>
                <w:color w:val="000000"/>
                <w:sz w:val="21"/>
                <w:szCs w:val="21"/>
                <w:lang w:eastAsia="zh-CN"/>
              </w:rPr>
              <w:t>）</w:t>
            </w:r>
          </w:p>
        </w:tc>
        <w:tc>
          <w:tcPr>
            <w:tcW w:w="2283" w:type="dxa"/>
            <w:noWrap w:val="0"/>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2190</w:t>
            </w:r>
          </w:p>
        </w:tc>
        <w:tc>
          <w:tcPr>
            <w:tcW w:w="1899" w:type="dxa"/>
            <w:noWrap w:val="0"/>
            <w:vAlign w:val="center"/>
          </w:tcPr>
          <w:p>
            <w:pPr>
              <w:spacing w:after="0" w:afterLines="0"/>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环保投资总概算</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万元</w:t>
            </w:r>
            <w:r>
              <w:rPr>
                <w:rFonts w:hint="eastAsia" w:ascii="Times New Roman" w:hAnsi="Times New Roman" w:eastAsia="宋体" w:cs="Times New Roman"/>
                <w:color w:val="000000"/>
                <w:sz w:val="21"/>
                <w:szCs w:val="21"/>
                <w:lang w:eastAsia="zh-CN"/>
              </w:rPr>
              <w:t>）</w:t>
            </w:r>
          </w:p>
        </w:tc>
        <w:tc>
          <w:tcPr>
            <w:tcW w:w="988" w:type="dxa"/>
            <w:noWrap w:val="0"/>
            <w:vAlign w:val="center"/>
          </w:tcPr>
          <w:p>
            <w:pPr>
              <w:spacing w:after="0" w:afterLine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43.1</w:t>
            </w:r>
          </w:p>
        </w:tc>
        <w:tc>
          <w:tcPr>
            <w:tcW w:w="765" w:type="dxa"/>
            <w:noWrap w:val="0"/>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比例</w:t>
            </w:r>
          </w:p>
        </w:tc>
        <w:tc>
          <w:tcPr>
            <w:tcW w:w="1148" w:type="dxa"/>
            <w:noWrap w:val="0"/>
            <w:vAlign w:val="center"/>
          </w:tcPr>
          <w:p>
            <w:pPr>
              <w:spacing w:after="0" w:afterLine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1.97</w:t>
            </w:r>
            <w:r>
              <w:rPr>
                <w:rFonts w:hint="default" w:ascii="Times New Roman" w:hAnsi="Times New Roman" w:eastAsia="宋体"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1954" w:type="dxa"/>
            <w:gridSpan w:val="2"/>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实际总概算</w:t>
            </w:r>
            <w:r>
              <w:rPr>
                <w:rFonts w:hint="eastAsia" w:ascii="宋体" w:hAnsi="宋体" w:eastAsia="宋体"/>
                <w:color w:val="000000"/>
                <w:sz w:val="21"/>
                <w:szCs w:val="21"/>
                <w:lang w:eastAsia="zh-CN"/>
              </w:rPr>
              <w:t>（</w:t>
            </w:r>
            <w:r>
              <w:rPr>
                <w:rFonts w:hint="default" w:ascii="Times New Roman" w:hAnsi="Times New Roman" w:eastAsia="宋体" w:cs="Times New Roman"/>
                <w:color w:val="000000"/>
                <w:sz w:val="21"/>
                <w:szCs w:val="21"/>
                <w:lang w:val="en-US" w:eastAsia="zh-CN"/>
              </w:rPr>
              <w:t>万元</w:t>
            </w:r>
            <w:r>
              <w:rPr>
                <w:rFonts w:hint="eastAsia" w:ascii="宋体" w:hAnsi="宋体" w:eastAsia="宋体"/>
                <w:color w:val="000000"/>
                <w:sz w:val="21"/>
                <w:szCs w:val="21"/>
                <w:lang w:eastAsia="zh-CN"/>
              </w:rPr>
              <w:t>）</w:t>
            </w:r>
          </w:p>
        </w:tc>
        <w:tc>
          <w:tcPr>
            <w:tcW w:w="2283" w:type="dxa"/>
            <w:noWrap w:val="0"/>
            <w:vAlign w:val="center"/>
          </w:tcPr>
          <w:p>
            <w:pPr>
              <w:spacing w:after="0" w:afterLine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2190</w:t>
            </w:r>
          </w:p>
        </w:tc>
        <w:tc>
          <w:tcPr>
            <w:tcW w:w="1899" w:type="dxa"/>
            <w:noWrap w:val="0"/>
            <w:vAlign w:val="center"/>
          </w:tcPr>
          <w:p>
            <w:pPr>
              <w:spacing w:after="0" w:afterLine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环保投资</w:t>
            </w:r>
            <w:r>
              <w:rPr>
                <w:rFonts w:hint="eastAsia" w:ascii="宋体" w:hAnsi="宋体" w:eastAsia="宋体"/>
                <w:color w:val="000000"/>
                <w:sz w:val="21"/>
                <w:szCs w:val="21"/>
                <w:lang w:eastAsia="zh-CN"/>
              </w:rPr>
              <w:t>（</w:t>
            </w:r>
            <w:r>
              <w:rPr>
                <w:rFonts w:hint="default" w:ascii="Times New Roman" w:hAnsi="Times New Roman" w:eastAsia="宋体" w:cs="Times New Roman"/>
                <w:color w:val="000000"/>
                <w:sz w:val="21"/>
                <w:szCs w:val="21"/>
                <w:lang w:val="en-US" w:eastAsia="zh-CN"/>
              </w:rPr>
              <w:t>万元</w:t>
            </w:r>
            <w:r>
              <w:rPr>
                <w:rFonts w:hint="eastAsia" w:ascii="宋体" w:hAnsi="宋体" w:eastAsia="宋体"/>
                <w:color w:val="000000"/>
                <w:sz w:val="21"/>
                <w:szCs w:val="21"/>
                <w:lang w:eastAsia="zh-CN"/>
              </w:rPr>
              <w:t>）</w:t>
            </w:r>
          </w:p>
        </w:tc>
        <w:tc>
          <w:tcPr>
            <w:tcW w:w="988" w:type="dxa"/>
            <w:noWrap w:val="0"/>
            <w:vAlign w:val="center"/>
          </w:tcPr>
          <w:p>
            <w:pPr>
              <w:spacing w:after="0" w:afterLines="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43.1</w:t>
            </w:r>
          </w:p>
        </w:tc>
        <w:tc>
          <w:tcPr>
            <w:tcW w:w="765" w:type="dxa"/>
            <w:noWrap w:val="0"/>
            <w:vAlign w:val="center"/>
          </w:tcPr>
          <w:p>
            <w:pPr>
              <w:spacing w:after="0" w:afterLine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比例</w:t>
            </w:r>
          </w:p>
        </w:tc>
        <w:tc>
          <w:tcPr>
            <w:tcW w:w="1148" w:type="dxa"/>
            <w:noWrap w:val="0"/>
            <w:vAlign w:val="center"/>
          </w:tcPr>
          <w:p>
            <w:pPr>
              <w:spacing w:after="0" w:afterLines="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1.97</w:t>
            </w:r>
            <w:r>
              <w:rPr>
                <w:rFonts w:hint="default" w:ascii="Times New Roman" w:hAnsi="Times New Roman" w:eastAsia="宋体"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08" w:hRule="atLeast"/>
          <w:jc w:val="center"/>
        </w:trPr>
        <w:tc>
          <w:tcPr>
            <w:tcW w:w="1954" w:type="dxa"/>
            <w:gridSpan w:val="2"/>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验收监测依据</w:t>
            </w:r>
          </w:p>
        </w:tc>
        <w:tc>
          <w:tcPr>
            <w:tcW w:w="7083" w:type="dxa"/>
            <w:gridSpan w:val="5"/>
            <w:noWrap w:val="0"/>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afterLines="0" w:line="312"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《国务院关于修改&lt;建设项目环境保护管理条例&gt;的决定》（国务院682号），2017年07月16日</w:t>
            </w:r>
            <w:r>
              <w:rPr>
                <w:rFonts w:hint="eastAsia" w:ascii="Times New Roman" w:hAnsi="Times New Roman" w:eastAsia="宋体" w:cs="Times New Roman"/>
                <w:color w:val="000000"/>
                <w:sz w:val="24"/>
                <w:szCs w:val="24"/>
                <w:lang w:val="en-US"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after="0" w:afterLines="0" w:line="312"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《建设项目竣工环境保护验收暂行办法》（国环规环评（2017）4号），2017年11月20号；</w:t>
            </w:r>
          </w:p>
          <w:p>
            <w:pPr>
              <w:keepNext w:val="0"/>
              <w:keepLines w:val="0"/>
              <w:pageBreakBefore w:val="0"/>
              <w:widowControl/>
              <w:numPr>
                <w:ilvl w:val="0"/>
                <w:numId w:val="1"/>
              </w:numPr>
              <w:kinsoku/>
              <w:wordWrap/>
              <w:overflowPunct/>
              <w:topLinePunct w:val="0"/>
              <w:autoSpaceDE/>
              <w:autoSpaceDN/>
              <w:bidi w:val="0"/>
              <w:adjustRightInd w:val="0"/>
              <w:snapToGrid w:val="0"/>
              <w:spacing w:after="0" w:afterLines="0" w:line="312"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生态环境部关于发布《</w:t>
            </w:r>
            <w:r>
              <w:rPr>
                <w:rFonts w:ascii="宋体" w:hAnsi="宋体" w:eastAsia="宋体" w:cs="宋体"/>
                <w:sz w:val="24"/>
                <w:szCs w:val="24"/>
              </w:rPr>
              <w:t>建设项目竣工环境保护验收技术指南污染影响类</w:t>
            </w:r>
            <w:r>
              <w:rPr>
                <w:rFonts w:hint="eastAsia" w:ascii="Times New Roman" w:hAnsi="Times New Roman" w:eastAsia="宋体" w:cs="Times New Roman"/>
                <w:color w:val="000000"/>
                <w:sz w:val="24"/>
                <w:szCs w:val="24"/>
                <w:lang w:val="en-US" w:eastAsia="zh-CN"/>
              </w:rPr>
              <w:t>》的公告，</w:t>
            </w:r>
            <w:r>
              <w:rPr>
                <w:rFonts w:hint="default" w:ascii="Times New Roman" w:hAnsi="Times New Roman" w:eastAsia="宋体" w:cs="Times New Roman"/>
                <w:sz w:val="24"/>
                <w:szCs w:val="24"/>
              </w:rPr>
              <w:t>公告2018年第9号，20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8年05月15日</w:t>
            </w:r>
          </w:p>
          <w:p>
            <w:pPr>
              <w:keepNext w:val="0"/>
              <w:keepLines w:val="0"/>
              <w:pageBreakBefore w:val="0"/>
              <w:widowControl/>
              <w:numPr>
                <w:ilvl w:val="0"/>
                <w:numId w:val="1"/>
              </w:numPr>
              <w:kinsoku/>
              <w:wordWrap/>
              <w:overflowPunct/>
              <w:topLinePunct w:val="0"/>
              <w:autoSpaceDE/>
              <w:autoSpaceDN/>
              <w:bidi w:val="0"/>
              <w:adjustRightInd w:val="0"/>
              <w:snapToGrid w:val="0"/>
              <w:spacing w:after="0" w:afterLines="0" w:line="312"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sz w:val="24"/>
                <w:szCs w:val="24"/>
                <w:lang w:val="en-US" w:eastAsia="zh-CN"/>
              </w:rPr>
              <w:t>镇宁自治县RLH可生物降解塑料项目</w:t>
            </w:r>
            <w:r>
              <w:rPr>
                <w:rFonts w:hint="eastAsia" w:ascii="Times New Roman" w:hAnsi="Times New Roman" w:eastAsia="宋体" w:cs="Times New Roman"/>
                <w:color w:val="000000"/>
                <w:sz w:val="24"/>
                <w:szCs w:val="24"/>
                <w:lang w:val="en-US" w:eastAsia="zh-CN"/>
              </w:rPr>
              <w:t>建设项目环境影响报告表》，</w:t>
            </w:r>
            <w:r>
              <w:rPr>
                <w:rFonts w:hint="eastAsia" w:ascii="宋体" w:hAnsi="宋体" w:eastAsia="宋体"/>
                <w:color w:val="000000"/>
                <w:sz w:val="24"/>
                <w:szCs w:val="24"/>
                <w:lang w:eastAsia="zh-CN"/>
              </w:rPr>
              <w:t>贵州怡宁环保技术咨询有限公司，</w:t>
            </w:r>
            <w:r>
              <w:rPr>
                <w:rFonts w:hint="default" w:ascii="Times New Roman" w:hAnsi="Times New Roman" w:eastAsia="宋体" w:cs="Times New Roman"/>
                <w:color w:val="000000"/>
                <w:sz w:val="24"/>
                <w:szCs w:val="24"/>
                <w:lang w:val="en-US" w:eastAsia="zh-CN"/>
              </w:rPr>
              <w:t>2018年0</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after="0" w:afterLines="0" w:line="312"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r>
              <w:rPr>
                <w:rFonts w:hint="eastAsia" w:ascii="宋体" w:hAnsi="宋体" w:eastAsia="宋体"/>
                <w:color w:val="000000"/>
                <w:sz w:val="24"/>
                <w:szCs w:val="24"/>
                <w:lang w:val="en-US" w:eastAsia="zh-CN"/>
              </w:rPr>
              <w:t>安顺市生态环境局</w:t>
            </w:r>
            <w:r>
              <w:rPr>
                <w:rFonts w:hint="eastAsia" w:ascii="Times New Roman" w:hAnsi="Times New Roman" w:eastAsia="宋体" w:cs="Times New Roman"/>
                <w:color w:val="000000"/>
                <w:sz w:val="24"/>
                <w:szCs w:val="24"/>
                <w:lang w:val="en-US" w:eastAsia="zh-CN"/>
              </w:rPr>
              <w:t>关于对</w:t>
            </w:r>
            <w:r>
              <w:rPr>
                <w:rFonts w:hint="default" w:ascii="Times New Roman" w:hAnsi="Times New Roman" w:eastAsia="宋体" w:cs="Times New Roman"/>
                <w:sz w:val="24"/>
                <w:szCs w:val="24"/>
                <w:lang w:val="en-US" w:eastAsia="zh-CN"/>
              </w:rPr>
              <w:t>镇宁自治县RLH可生物降解塑料项目</w:t>
            </w:r>
            <w:r>
              <w:rPr>
                <w:rFonts w:hint="eastAsia" w:ascii="Times New Roman" w:hAnsi="Times New Roman" w:eastAsia="宋体" w:cs="Times New Roman"/>
                <w:color w:val="000000"/>
                <w:sz w:val="24"/>
                <w:szCs w:val="24"/>
                <w:lang w:val="en-US" w:eastAsia="zh-CN"/>
              </w:rPr>
              <w:t>建设项目环境影响报告表的批复》安环表批复[2019]48号，安顺市生态环境局，2019年09月18日；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74" w:hRule="atLeast"/>
          <w:jc w:val="center"/>
        </w:trPr>
        <w:tc>
          <w:tcPr>
            <w:tcW w:w="1477"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验收监测评价标准、标号、级别、限值</w:t>
            </w:r>
          </w:p>
        </w:tc>
        <w:tc>
          <w:tcPr>
            <w:tcW w:w="7560" w:type="dxa"/>
            <w:gridSpan w:val="6"/>
            <w:noWrap w:val="0"/>
            <w:vAlign w:val="top"/>
          </w:tcPr>
          <w:p>
            <w:pPr>
              <w:keepNext w:val="0"/>
              <w:keepLines w:val="0"/>
              <w:pageBreakBefore w:val="0"/>
              <w:widowControl/>
              <w:numPr>
                <w:ilvl w:val="0"/>
                <w:numId w:val="2"/>
              </w:numPr>
              <w:kinsoku/>
              <w:wordWrap/>
              <w:overflowPunct/>
              <w:topLinePunct w:val="0"/>
              <w:autoSpaceDE/>
              <w:autoSpaceDN/>
              <w:bidi w:val="0"/>
              <w:adjustRightInd w:val="0"/>
              <w:snapToGrid w:val="0"/>
              <w:spacing w:before="361" w:beforeLines="100" w:after="0" w:afterLines="0" w:line="360" w:lineRule="auto"/>
              <w:ind w:firstLine="480" w:firstLineChars="200"/>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lang w:val="en-US" w:eastAsia="zh-CN"/>
              </w:rPr>
              <w:t>废水：本项目污水执行《污水综合排放标准》（GB 8978-1996）三级标准，具体详见表1-1。</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lang w:val="en-US" w:eastAsia="zh-CN"/>
              </w:rPr>
              <w:t>表1-1 废水污染物指标及限值</w:t>
            </w:r>
          </w:p>
          <w:tbl>
            <w:tblPr>
              <w:tblStyle w:val="12"/>
              <w:tblW w:w="6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7"/>
              <w:gridCol w:w="1157"/>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156" w:type="dxa"/>
                  <w:vAlign w:val="center"/>
                </w:tcPr>
                <w:p>
                  <w:pPr>
                    <w:widowControl w:val="0"/>
                    <w:numPr>
                      <w:ilvl w:val="0"/>
                      <w:numId w:val="0"/>
                    </w:numPr>
                    <w:adjustRightInd w:val="0"/>
                    <w:snapToGrid w:val="0"/>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指标</w:t>
                  </w:r>
                </w:p>
              </w:tc>
              <w:tc>
                <w:tcPr>
                  <w:tcW w:w="1156"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pH（无量纲）</w:t>
                  </w:r>
                </w:p>
              </w:tc>
              <w:tc>
                <w:tcPr>
                  <w:tcW w:w="1156"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SS</w:t>
                  </w:r>
                </w:p>
              </w:tc>
              <w:tc>
                <w:tcPr>
                  <w:tcW w:w="1157"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BOD</w:t>
                  </w:r>
                  <w:r>
                    <w:rPr>
                      <w:rFonts w:hint="default" w:ascii="Times New Roman" w:hAnsi="Times New Roman" w:eastAsia="宋体" w:cs="Times New Roman"/>
                      <w:color w:val="000000"/>
                      <w:sz w:val="24"/>
                      <w:szCs w:val="24"/>
                      <w:vertAlign w:val="subscript"/>
                      <w:lang w:val="en-US" w:eastAsia="zh-CN"/>
                    </w:rPr>
                    <w:t>5</w:t>
                  </w:r>
                </w:p>
              </w:tc>
              <w:tc>
                <w:tcPr>
                  <w:tcW w:w="1157"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COD</w:t>
                  </w:r>
                </w:p>
              </w:tc>
              <w:tc>
                <w:tcPr>
                  <w:tcW w:w="1157"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156"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限值（mg/L）</w:t>
                  </w:r>
                </w:p>
              </w:tc>
              <w:tc>
                <w:tcPr>
                  <w:tcW w:w="1156"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6~9</w:t>
                  </w:r>
                </w:p>
              </w:tc>
              <w:tc>
                <w:tcPr>
                  <w:tcW w:w="1156"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400</w:t>
                  </w:r>
                </w:p>
              </w:tc>
              <w:tc>
                <w:tcPr>
                  <w:tcW w:w="1157"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300</w:t>
                  </w:r>
                </w:p>
              </w:tc>
              <w:tc>
                <w:tcPr>
                  <w:tcW w:w="1157"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500</w:t>
                  </w:r>
                </w:p>
              </w:tc>
              <w:tc>
                <w:tcPr>
                  <w:tcW w:w="1157" w:type="dxa"/>
                  <w:vAlign w:val="center"/>
                </w:tcPr>
                <w:p>
                  <w:pPr>
                    <w:widowControl w:val="0"/>
                    <w:numPr>
                      <w:ilvl w:val="0"/>
                      <w:numId w:val="0"/>
                    </w:numPr>
                    <w:spacing w:after="0" w:afterLines="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textAlignment w:val="auto"/>
              <w:rPr>
                <w:rFonts w:hint="default" w:ascii="Times New Roman" w:hAnsi="Times New Roman" w:eastAsia="宋体" w:cs="Times New Roman"/>
                <w:color w:val="000000"/>
                <w:sz w:val="24"/>
                <w:szCs w:val="24"/>
                <w:lang w:val="en-US" w:eastAsia="zh-CN"/>
              </w:rPr>
            </w:pPr>
          </w:p>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废气：本项目大气污染物主要为非甲烷总烃，执行《挥发性有机物无组织排放控制标准》（GB37822-2019）表A.1规定限值，具体详见表1-2。</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lang w:val="en-US" w:eastAsia="zh-CN"/>
              </w:rPr>
              <w:t>表1-2 大气污染物排放限值</w:t>
            </w:r>
          </w:p>
          <w:tbl>
            <w:tblPr>
              <w:tblStyle w:val="12"/>
              <w:tblW w:w="6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2329"/>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328"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类  型</w:t>
                  </w:r>
                </w:p>
              </w:tc>
              <w:tc>
                <w:tcPr>
                  <w:tcW w:w="2329"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项  目</w:t>
                  </w:r>
                </w:p>
              </w:tc>
              <w:tc>
                <w:tcPr>
                  <w:tcW w:w="2321"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标准限值（mg/m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2328"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无组织废气</w:t>
                  </w:r>
                </w:p>
              </w:tc>
              <w:tc>
                <w:tcPr>
                  <w:tcW w:w="2329"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非甲烷总烃</w:t>
                  </w:r>
                </w:p>
              </w:tc>
              <w:tc>
                <w:tcPr>
                  <w:tcW w:w="2321"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10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jc w:val="center"/>
              <w:textAlignment w:val="auto"/>
              <w:rPr>
                <w:rFonts w:hint="default" w:ascii="Times New Roman" w:hAnsi="Times New Roman" w:eastAsia="宋体" w:cs="Times New Roman"/>
                <w:color w:val="000000"/>
                <w:sz w:val="24"/>
                <w:szCs w:val="24"/>
                <w:lang w:val="en-US" w:eastAsia="zh-CN"/>
              </w:rPr>
            </w:pPr>
          </w:p>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360" w:lineRule="auto"/>
              <w:ind w:left="0" w:leftChars="0"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噪声：本项目噪声按《工业企业厂界环境噪声排放标准》（GB 12348-2008）3类标准执行，具体详见表1-3</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表1-3 厂界噪声排放限值</w:t>
            </w:r>
          </w:p>
          <w:tbl>
            <w:tblPr>
              <w:tblStyle w:val="12"/>
              <w:tblW w:w="7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2380"/>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379"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时段</w:t>
                  </w:r>
                </w:p>
              </w:tc>
              <w:tc>
                <w:tcPr>
                  <w:tcW w:w="23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昼间</w:t>
                  </w:r>
                </w:p>
              </w:tc>
              <w:tc>
                <w:tcPr>
                  <w:tcW w:w="2379"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379"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限值（dB）</w:t>
                  </w:r>
                </w:p>
              </w:tc>
              <w:tc>
                <w:tcPr>
                  <w:tcW w:w="23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65</w:t>
                  </w:r>
                </w:p>
              </w:tc>
              <w:tc>
                <w:tcPr>
                  <w:tcW w:w="2379"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55</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Chars="200"/>
              <w:textAlignment w:val="auto"/>
              <w:rPr>
                <w:rFonts w:hint="default" w:ascii="Times New Roman" w:hAnsi="Times New Roman" w:eastAsia="宋体" w:cs="Times New Roman"/>
                <w:color w:val="00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Chars="0"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4、固废：一般</w:t>
            </w:r>
            <w:r>
              <w:rPr>
                <w:rFonts w:hint="default" w:ascii="Times New Roman" w:hAnsi="Times New Roman" w:eastAsia="宋体" w:cs="Times New Roman"/>
                <w:sz w:val="24"/>
                <w:szCs w:val="24"/>
              </w:rPr>
              <w:t>固体废物执行《一般工业固体废物贮存、处置场污染控制标准》(GB18599-2001)及2013修改单</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危废执行《危险废物贮存污染控制标准》(GB18597-2001)及2013年修改单。</w:t>
            </w:r>
          </w:p>
        </w:tc>
      </w:tr>
    </w:tbl>
    <w:p>
      <w:pPr>
        <w:spacing w:after="0" w:afterLines="0" w:line="360" w:lineRule="auto"/>
        <w:outlineLvl w:val="0"/>
        <w:rPr>
          <w:rFonts w:hint="eastAsia" w:eastAsia="仿宋_GB2312"/>
          <w:b/>
          <w:color w:val="000000"/>
          <w:sz w:val="21"/>
          <w:szCs w:val="21"/>
          <w:lang w:eastAsia="zh-CN"/>
        </w:rPr>
      </w:pPr>
      <w:r>
        <w:rPr>
          <w:rFonts w:eastAsia="仿宋_GB2312"/>
          <w:color w:val="000000"/>
          <w:sz w:val="21"/>
          <w:szCs w:val="21"/>
        </w:rPr>
        <w:br w:type="page"/>
      </w:r>
      <w:bookmarkStart w:id="1" w:name="_Toc6950"/>
      <w:r>
        <w:rPr>
          <w:rFonts w:eastAsia="仿宋_GB2312"/>
          <w:b/>
          <w:color w:val="000000"/>
          <w:sz w:val="21"/>
          <w:szCs w:val="21"/>
        </w:rPr>
        <w:t>表二</w:t>
      </w:r>
      <w:r>
        <w:rPr>
          <w:rFonts w:hint="eastAsia" w:eastAsia="仿宋_GB2312"/>
          <w:b/>
          <w:color w:val="000000"/>
          <w:sz w:val="21"/>
          <w:szCs w:val="21"/>
          <w:lang w:eastAsia="zh-CN"/>
        </w:rPr>
        <w:t>：项目工程概况</w:t>
      </w:r>
      <w:bookmarkEnd w:id="1"/>
    </w:p>
    <w:tbl>
      <w:tblPr>
        <w:tblStyle w:val="11"/>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6"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000000"/>
                <w:sz w:val="24"/>
                <w:szCs w:val="24"/>
              </w:rPr>
            </w:pPr>
            <w:r>
              <w:rPr>
                <w:rFonts w:hint="eastAsia" w:ascii="宋体" w:hAnsi="宋体" w:eastAsia="宋体"/>
                <w:color w:val="000000"/>
                <w:sz w:val="24"/>
                <w:szCs w:val="24"/>
              </w:rPr>
              <w:t>工程建设内容：</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Chars="0" w:firstLine="480" w:firstLineChars="200"/>
              <w:textAlignment w:val="auto"/>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镇宁自治县RLH可生物降解塑料项目由安顺瑞力恒塑业发展有限公司投资建设。项目地位于贵州省安顺市镇宁布依族苗族自治县环翠街道刘关村日用快消品产业园，属于新建项目。</w:t>
            </w:r>
          </w:p>
          <w:p>
            <w:pPr>
              <w:pStyle w:val="4"/>
              <w:keepNext/>
              <w:keepLines/>
              <w:pageBreakBefore w:val="0"/>
              <w:widowControl/>
              <w:kinsoku/>
              <w:wordWrap/>
              <w:overflowPunct/>
              <w:topLinePunct w:val="0"/>
              <w:autoSpaceDE/>
              <w:autoSpaceDN/>
              <w:bidi w:val="0"/>
              <w:adjustRightInd w:val="0"/>
              <w:snapToGrid w:val="0"/>
              <w:spacing w:before="0" w:beforeLines="0" w:after="0" w:line="360" w:lineRule="auto"/>
              <w:ind w:firstLine="480" w:firstLineChars="200"/>
              <w:textAlignment w:val="auto"/>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本项目租赁租赁贵州汇景纸业有限公司两栋相邻单层钢结构标准厂房，用地性质为工业用地，地理位置为：经度105.736389°，纬度26.082109°(地理位置见图2-11)，总建筑面积约为10000m</w:t>
            </w:r>
            <w:r>
              <w:rPr>
                <w:rFonts w:hint="eastAsia" w:ascii="Times New Roman" w:hAnsi="Times New Roman" w:eastAsia="宋体" w:cs="Times New Roman"/>
                <w:b w:val="0"/>
                <w:bCs/>
                <w:color w:val="000000"/>
                <w:sz w:val="24"/>
                <w:szCs w:val="24"/>
                <w:vertAlign w:val="superscript"/>
                <w:lang w:val="en-US" w:eastAsia="zh-CN"/>
              </w:rPr>
              <w:t>2</w:t>
            </w:r>
            <w:r>
              <w:rPr>
                <w:rFonts w:hint="eastAsia" w:ascii="Times New Roman" w:hAnsi="Times New Roman" w:eastAsia="宋体" w:cs="Times New Roman"/>
                <w:b w:val="0"/>
                <w:bCs/>
                <w:color w:val="000000"/>
                <w:sz w:val="24"/>
                <w:szCs w:val="24"/>
                <w:lang w:val="en-US" w:eastAsia="zh-CN"/>
              </w:rPr>
              <w:t>，分两期建设，建设内容相似，一期厂房建筑面积约4860m</w:t>
            </w:r>
            <w:r>
              <w:rPr>
                <w:rFonts w:hint="eastAsia" w:ascii="Times New Roman" w:hAnsi="Times New Roman" w:eastAsia="宋体" w:cs="Times New Roman"/>
                <w:b w:val="0"/>
                <w:bCs/>
                <w:color w:val="000000"/>
                <w:sz w:val="24"/>
                <w:szCs w:val="24"/>
                <w:vertAlign w:val="superscript"/>
                <w:lang w:val="en-US" w:eastAsia="zh-CN"/>
              </w:rPr>
              <w:t>2</w:t>
            </w:r>
            <w:r>
              <w:rPr>
                <w:rFonts w:hint="eastAsia" w:ascii="Times New Roman" w:hAnsi="Times New Roman" w:eastAsia="宋体" w:cs="Times New Roman"/>
                <w:b w:val="0"/>
                <w:bCs/>
                <w:color w:val="000000"/>
                <w:sz w:val="24"/>
                <w:szCs w:val="24"/>
                <w:lang w:val="en-US" w:eastAsia="zh-CN"/>
              </w:rPr>
              <w:t>，二期厂房建筑面积5140m</w:t>
            </w:r>
            <w:r>
              <w:rPr>
                <w:rFonts w:hint="eastAsia" w:ascii="Times New Roman" w:hAnsi="Times New Roman" w:eastAsia="宋体" w:cs="Times New Roman"/>
                <w:b w:val="0"/>
                <w:bCs/>
                <w:color w:val="000000"/>
                <w:sz w:val="24"/>
                <w:szCs w:val="24"/>
                <w:vertAlign w:val="superscript"/>
                <w:lang w:val="en-US" w:eastAsia="zh-CN"/>
              </w:rPr>
              <w:t>2</w:t>
            </w:r>
            <w:r>
              <w:rPr>
                <w:rFonts w:hint="eastAsia" w:ascii="Times New Roman" w:hAnsi="Times New Roman" w:eastAsia="宋体" w:cs="Times New Roman"/>
                <w:b w:val="0"/>
                <w:bCs/>
                <w:color w:val="000000"/>
                <w:sz w:val="24"/>
                <w:szCs w:val="24"/>
                <w:lang w:val="en-US" w:eastAsia="zh-CN"/>
              </w:rPr>
              <w:t>，主要包括生产车间、原料仓库、成品仓库等，同时本项目租用贵州汇景纸业有限公司办公楼办公，项目组成详见表2-1</w:t>
            </w:r>
            <w:r>
              <w:rPr>
                <w:rFonts w:hint="default" w:ascii="Times New Roman" w:hAnsi="Times New Roman" w:eastAsia="宋体" w:cs="Times New Roman"/>
                <w:b w:val="0"/>
                <w:bCs/>
                <w:color w:val="00000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表2-1 项目建设内容一览表</w:t>
            </w:r>
          </w:p>
          <w:tbl>
            <w:tblPr>
              <w:tblStyle w:val="11"/>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390"/>
              <w:gridCol w:w="1224"/>
              <w:gridCol w:w="4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53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工程类别</w:t>
                  </w:r>
                </w:p>
              </w:tc>
              <w:tc>
                <w:tcPr>
                  <w:tcW w:w="1390"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建设内容</w:t>
                  </w:r>
                </w:p>
              </w:tc>
              <w:tc>
                <w:tcPr>
                  <w:tcW w:w="122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占地面积</w:t>
                  </w:r>
                </w:p>
              </w:tc>
              <w:tc>
                <w:tcPr>
                  <w:tcW w:w="4551"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153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13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生产车间</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10000m</w:t>
                  </w:r>
                  <w:r>
                    <w:rPr>
                      <w:rFonts w:hint="default" w:ascii="Times New Roman" w:hAnsi="Times New Roman" w:eastAsia="宋体" w:cs="Times New Roman"/>
                      <w:sz w:val="21"/>
                      <w:szCs w:val="21"/>
                      <w:vertAlign w:val="superscript"/>
                    </w:rPr>
                    <w:t>2</w:t>
                  </w:r>
                </w:p>
              </w:tc>
              <w:tc>
                <w:tcPr>
                  <w:tcW w:w="455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租赁汇景纸业2栋钢结构标准厂房，内设原料仓库、成品仓库、搅拌造粒区、吹膜、印刷、制袋一体化生产线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53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配套工程</w:t>
                  </w:r>
                </w:p>
              </w:tc>
              <w:tc>
                <w:tcPr>
                  <w:tcW w:w="13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办公生活区</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200m</w:t>
                  </w:r>
                  <w:r>
                    <w:rPr>
                      <w:rFonts w:hint="default" w:ascii="Times New Roman" w:hAnsi="Times New Roman" w:eastAsia="宋体" w:cs="Times New Roman"/>
                      <w:sz w:val="21"/>
                      <w:szCs w:val="21"/>
                      <w:vertAlign w:val="superscript"/>
                    </w:rPr>
                    <w:t>2</w:t>
                  </w:r>
                </w:p>
              </w:tc>
              <w:tc>
                <w:tcPr>
                  <w:tcW w:w="455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租用镇宁贵州汇景纸业有限公司办公楼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53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3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tc>
              <w:tc>
                <w:tcPr>
                  <w:tcW w:w="577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由园区配套电网供电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53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3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tc>
              <w:tc>
                <w:tcPr>
                  <w:tcW w:w="577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由园区自来水管网供应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53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13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577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吹膜、印刷、边角料造粒废气通过“集气罩+UV光解+活性炭吸附”设施处理达标后，经由15m高排气筒排放，一二期共用。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53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3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577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厂内实施已实施雨污分流，项目无生产废水排放，生活污水与地面清洁废水经三级化粪池预处理后排入园区污水管网，最终进入镇宁县污水处理厂，一期建设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53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39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577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产区内设垃圾桶若干，职工生活垃圾依托产业园垃圾池，由环卫部门统一清运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3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39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577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切袋边角料全部用作造粒原料，回用于生产过程，一期建设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3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39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577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厂内设危废暂存间1个，10m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，用于暂存废油墨空桶、废活性炭、废机油、废润滑油等危险废物，一期建设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53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3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577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选用低噪声设备，对高噪声设备进行基础减振，密闭、隔声，加强设施运行维护管理</w:t>
                  </w:r>
                </w:p>
              </w:tc>
            </w:tr>
          </w:tbl>
          <w:p>
            <w:pPr>
              <w:pageBreakBefore w:val="0"/>
              <w:widowControl w:val="0"/>
              <w:kinsoku/>
              <w:wordWrap/>
              <w:overflowPunct/>
              <w:topLinePunct w:val="0"/>
              <w:autoSpaceDE/>
              <w:autoSpaceDN/>
              <w:bidi w:val="0"/>
              <w:adjustRightInd w:val="0"/>
              <w:snapToGrid w:val="0"/>
              <w:spacing w:line="1" w:lineRule="exact"/>
              <w:textAlignment w:val="auto"/>
            </w:pPr>
          </w:p>
          <w:p>
            <w:pPr>
              <w:pStyle w:val="19"/>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本项目两期工作人员共46人，其中管理人员8人，均不在厂区食宿。</w:t>
            </w:r>
          </w:p>
          <w:p>
            <w:pPr>
              <w:pStyle w:val="19"/>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本项目全年运营300天，两班制，每班12小时。</w:t>
            </w:r>
          </w:p>
          <w:p>
            <w:pPr>
              <w:pStyle w:val="19"/>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t>本次验收范围为本项目</w:t>
            </w:r>
          </w:p>
          <w:p>
            <w:pPr>
              <w:keepNext/>
              <w:keepLines/>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outlineLvl w:val="9"/>
              <w:rPr>
                <w:rFonts w:hint="eastAsia" w:ascii="Times New Roman" w:hAnsi="Times New Roman" w:eastAsia="宋体" w:cs="Times New Roman"/>
                <w:b w:val="0"/>
                <w:bCs/>
                <w:color w:val="000000"/>
                <w:sz w:val="24"/>
                <w:szCs w:val="24"/>
                <w:lang w:val="en-US" w:eastAsia="zh-CN"/>
              </w:rPr>
            </w:pPr>
            <w:r>
              <w:drawing>
                <wp:inline distT="0" distB="0" distL="114300" distR="114300">
                  <wp:extent cx="5586730" cy="3910965"/>
                  <wp:effectExtent l="0" t="0" r="13970" b="133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8"/>
                          <a:stretch>
                            <a:fillRect/>
                          </a:stretch>
                        </pic:blipFill>
                        <pic:spPr>
                          <a:xfrm>
                            <a:off x="0" y="0"/>
                            <a:ext cx="5586730" cy="3910965"/>
                          </a:xfrm>
                          <a:prstGeom prst="rect">
                            <a:avLst/>
                          </a:prstGeom>
                          <a:noFill/>
                          <a:ln>
                            <a:noFill/>
                          </a:ln>
                        </pic:spPr>
                      </pic:pic>
                    </a:graphicData>
                  </a:graphic>
                </wp:inline>
              </w:drawing>
            </w:r>
            <w:r>
              <w:rPr>
                <w:rFonts w:hint="default" w:ascii="Times New Roman" w:hAnsi="Times New Roman" w:eastAsia="宋体" w:cs="Times New Roman"/>
                <w:color w:val="000000"/>
                <w:sz w:val="21"/>
                <w:szCs w:val="21"/>
                <w:lang w:eastAsia="zh-CN"/>
              </w:rPr>
              <w:t>图</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1 项</w:t>
            </w:r>
            <w:r>
              <w:rPr>
                <w:rFonts w:hint="eastAsia" w:ascii="宋体" w:hAnsi="宋体" w:eastAsia="宋体"/>
                <w:color w:val="000000"/>
                <w:sz w:val="21"/>
                <w:szCs w:val="21"/>
                <w:lang w:val="en-US" w:eastAsia="zh-CN"/>
              </w:rPr>
              <w:t>目地理位置图</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本项目项目主要设备详见表</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-2。</w:t>
            </w:r>
          </w:p>
          <w:p>
            <w:pPr>
              <w:pStyle w:val="20"/>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kern w:val="0"/>
                <w:sz w:val="21"/>
                <w:szCs w:val="21"/>
              </w:rPr>
            </w:pPr>
            <w:r>
              <w:rPr>
                <w:rFonts w:hint="default" w:ascii="Times New Roman" w:hAnsi="Times New Roman" w:eastAsia="宋体" w:cs="Times New Roman"/>
                <w:b w:val="0"/>
                <w:bCs/>
                <w:kern w:val="0"/>
                <w:sz w:val="21"/>
                <w:szCs w:val="21"/>
              </w:rPr>
              <w:t>表</w:t>
            </w:r>
            <w:r>
              <w:rPr>
                <w:rFonts w:hint="eastAsia" w:ascii="Times New Roman" w:hAnsi="Times New Roman" w:eastAsia="宋体" w:cs="Times New Roman"/>
                <w:b w:val="0"/>
                <w:bCs/>
                <w:kern w:val="0"/>
                <w:sz w:val="21"/>
                <w:szCs w:val="21"/>
                <w:lang w:val="en-US" w:eastAsia="zh-CN"/>
              </w:rPr>
              <w:t>2</w:t>
            </w:r>
            <w:r>
              <w:rPr>
                <w:rFonts w:hint="default" w:ascii="Times New Roman" w:hAnsi="Times New Roman" w:eastAsia="宋体" w:cs="Times New Roman"/>
                <w:b w:val="0"/>
                <w:bCs/>
                <w:kern w:val="0"/>
                <w:sz w:val="21"/>
                <w:szCs w:val="21"/>
              </w:rPr>
              <w:t>-2  项目主要设备一览表</w:t>
            </w:r>
          </w:p>
          <w:tbl>
            <w:tblPr>
              <w:tblStyle w:val="11"/>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566"/>
              <w:gridCol w:w="1254"/>
              <w:gridCol w:w="1133"/>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（台、套）</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型号/规格</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吹膜、印刷、收卷连体设备</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一期15台，二期15台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拌料机</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一期15台，二期15台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边角料造粒机</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边角料造粒，包括挤出、切料工序，一期建设，一、二期共用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热切机</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裁剪制袋，一期、二期各一台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冷切机</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裁剪制袋，一期、二期各一台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平切机</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裁剪制袋，一期、二期各一台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包装机</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包装，一期、二期各一台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56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空气压缩机</w:t>
                  </w:r>
                </w:p>
              </w:tc>
              <w:tc>
                <w:tcPr>
                  <w:tcW w:w="1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1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提供压缩空气，一期建设，两期共用</w:t>
                  </w:r>
                </w:p>
              </w:tc>
            </w:tr>
          </w:tbl>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default" w:ascii="Times New Roman" w:hAnsi="Times New Roman" w:eastAsia="宋体" w:cs="Times New Roman"/>
                <w:color w:val="00000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7"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本项目主要原辅材料消耗见表</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-3，主要物料理化性质见表</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-4。</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eastAsia="zh-CN"/>
              </w:rPr>
            </w:pPr>
            <w:r>
              <w:rPr>
                <w:rFonts w:hint="eastAsia" w:ascii="宋体" w:hAnsi="宋体" w:eastAsia="宋体"/>
                <w:color w:val="000000"/>
                <w:sz w:val="21"/>
                <w:szCs w:val="21"/>
                <w:lang w:eastAsia="zh-CN"/>
              </w:rPr>
              <w:t>表</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-3  项目主要原辅材料一览表</w:t>
            </w:r>
          </w:p>
          <w:tbl>
            <w:tblPr>
              <w:tblStyle w:val="12"/>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190"/>
              <w:gridCol w:w="1038"/>
              <w:gridCol w:w="1530"/>
              <w:gridCol w:w="1831"/>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4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序号</w:t>
                  </w:r>
                </w:p>
              </w:tc>
              <w:tc>
                <w:tcPr>
                  <w:tcW w:w="219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原辅料名称</w:t>
                  </w:r>
                </w:p>
              </w:tc>
              <w:tc>
                <w:tcPr>
                  <w:tcW w:w="103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年用量</w:t>
                  </w:r>
                </w:p>
              </w:tc>
              <w:tc>
                <w:tcPr>
                  <w:tcW w:w="15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包装</w:t>
                  </w:r>
                </w:p>
              </w:tc>
              <w:tc>
                <w:tcPr>
                  <w:tcW w:w="18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储运</w:t>
                  </w:r>
                </w:p>
              </w:tc>
              <w:tc>
                <w:tcPr>
                  <w:tcW w:w="14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4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1</w:t>
                  </w:r>
                </w:p>
              </w:tc>
              <w:tc>
                <w:tcPr>
                  <w:tcW w:w="219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RLH可降解母粒</w:t>
                  </w:r>
                </w:p>
              </w:tc>
              <w:tc>
                <w:tcPr>
                  <w:tcW w:w="103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1000t</w:t>
                  </w:r>
                </w:p>
              </w:tc>
              <w:tc>
                <w:tcPr>
                  <w:tcW w:w="153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袋装，25kg/包</w:t>
                  </w:r>
                </w:p>
              </w:tc>
              <w:tc>
                <w:tcPr>
                  <w:tcW w:w="183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储存于原材料仓库；供应商配送</w:t>
                  </w:r>
                </w:p>
              </w:tc>
              <w:tc>
                <w:tcPr>
                  <w:tcW w:w="14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可降解塑料袋添加剂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4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2</w:t>
                  </w:r>
                </w:p>
              </w:tc>
              <w:tc>
                <w:tcPr>
                  <w:tcW w:w="219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LDPE（低密度聚乙烯粒子）</w:t>
                  </w:r>
                </w:p>
              </w:tc>
              <w:tc>
                <w:tcPr>
                  <w:tcW w:w="103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4200t</w:t>
                  </w:r>
                </w:p>
              </w:tc>
              <w:tc>
                <w:tcPr>
                  <w:tcW w:w="153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p>
              </w:tc>
              <w:tc>
                <w:tcPr>
                  <w:tcW w:w="18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p>
              </w:tc>
              <w:tc>
                <w:tcPr>
                  <w:tcW w:w="14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吹膜主料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4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3</w:t>
                  </w:r>
                </w:p>
              </w:tc>
              <w:tc>
                <w:tcPr>
                  <w:tcW w:w="219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PE（聚乙烯）色母</w:t>
                  </w:r>
                </w:p>
              </w:tc>
              <w:tc>
                <w:tcPr>
                  <w:tcW w:w="103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10t</w:t>
                  </w:r>
                </w:p>
              </w:tc>
              <w:tc>
                <w:tcPr>
                  <w:tcW w:w="153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p>
              </w:tc>
              <w:tc>
                <w:tcPr>
                  <w:tcW w:w="183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p>
              </w:tc>
              <w:tc>
                <w:tcPr>
                  <w:tcW w:w="14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部分产品薄膜着色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74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4</w:t>
                  </w:r>
                </w:p>
              </w:tc>
              <w:tc>
                <w:tcPr>
                  <w:tcW w:w="219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水性油墨</w:t>
                  </w:r>
                </w:p>
              </w:tc>
              <w:tc>
                <w:tcPr>
                  <w:tcW w:w="103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6t</w:t>
                  </w:r>
                </w:p>
              </w:tc>
              <w:tc>
                <w:tcPr>
                  <w:tcW w:w="15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桶装，20kg/桶</w:t>
                  </w:r>
                </w:p>
              </w:tc>
              <w:tc>
                <w:tcPr>
                  <w:tcW w:w="18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储存于油墨存储间；供应商配送</w:t>
                  </w:r>
                </w:p>
              </w:tc>
              <w:tc>
                <w:tcPr>
                  <w:tcW w:w="14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部分产品薄膜印刷</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表</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-4 本项目主要物料理化性质一览表</w:t>
            </w:r>
          </w:p>
          <w:tbl>
            <w:tblPr>
              <w:tblStyle w:val="12"/>
              <w:tblW w:w="8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215"/>
              <w:gridCol w:w="831"/>
              <w:gridCol w:w="5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名称</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分子式</w:t>
                  </w:r>
                </w:p>
              </w:tc>
              <w:tc>
                <w:tcPr>
                  <w:tcW w:w="8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形态</w:t>
                  </w:r>
                </w:p>
              </w:tc>
              <w:tc>
                <w:tcPr>
                  <w:tcW w:w="553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RLH可降解母粒</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w:t>
                  </w:r>
                </w:p>
              </w:tc>
              <w:tc>
                <w:tcPr>
                  <w:tcW w:w="8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颗粒</w:t>
                  </w:r>
                </w:p>
              </w:tc>
              <w:tc>
                <w:tcPr>
                  <w:tcW w:w="553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RLH可降解母粒属于完全生物降解颗粒，主要是由天然高分子（如淀粉、纤维素、甲壳质）或农副产品经微生物发酵或合成具有生物降解性的高分子制得，无毒无公害，可重复使用，使用后可回收，废弃后可经由生物、氧化、自然光分解、高温700℃以上燃烧无毒立即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trPr>
              <w:tc>
                <w:tcPr>
                  <w:tcW w:w="1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低密度聚乙烯(LDPE)</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(C</w:t>
                  </w:r>
                  <w:r>
                    <w:rPr>
                      <w:rFonts w:hint="default" w:ascii="Times New Roman" w:hAnsi="Times New Roman" w:eastAsia="宋体" w:cs="Times New Roman"/>
                      <w:color w:val="000000"/>
                      <w:sz w:val="21"/>
                      <w:szCs w:val="21"/>
                      <w:vertAlign w:val="subscript"/>
                      <w:lang w:eastAsia="zh-CN"/>
                    </w:rPr>
                    <w:t>2</w:t>
                  </w:r>
                  <w:r>
                    <w:rPr>
                      <w:rFonts w:hint="default" w:ascii="Times New Roman" w:hAnsi="Times New Roman" w:eastAsia="宋体" w:cs="Times New Roman"/>
                      <w:color w:val="000000"/>
                      <w:sz w:val="21"/>
                      <w:szCs w:val="21"/>
                      <w:lang w:eastAsia="zh-CN"/>
                    </w:rPr>
                    <w:t>H</w:t>
                  </w:r>
                  <w:r>
                    <w:rPr>
                      <w:rFonts w:hint="default" w:ascii="Times New Roman" w:hAnsi="Times New Roman" w:eastAsia="宋体" w:cs="Times New Roman"/>
                      <w:color w:val="000000"/>
                      <w:sz w:val="21"/>
                      <w:szCs w:val="21"/>
                      <w:vertAlign w:val="subscript"/>
                      <w:lang w:eastAsia="zh-CN"/>
                    </w:rPr>
                    <w:t>4</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vertAlign w:val="subscript"/>
                      <w:lang w:eastAsia="zh-CN"/>
                    </w:rPr>
                    <w:t>n</w:t>
                  </w:r>
                </w:p>
              </w:tc>
              <w:tc>
                <w:tcPr>
                  <w:tcW w:w="8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颗粒</w:t>
                  </w:r>
                </w:p>
              </w:tc>
              <w:tc>
                <w:tcPr>
                  <w:tcW w:w="553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低密度聚乙烯(LDPE；low density polyethylene)。由乙烯在压力152MPa(1500atm)以上，温度200～300℃，采用过氧化物或氧为催化剂进行自由基聚合而得。相对密度0.91～0.93，软化点105～120℃，结晶度60％～80％。在高、中、低压三种聚乙烯中，其耐热性较差，耐化学品性最好，耐溶剂性、透气性、透湿性较差，电性能优良，机械性能较差，用途很广。因质地柔软，适于制造薄膜、电线、电缆、涂料、薄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5" w:hRule="atLeast"/>
              </w:trPr>
              <w:tc>
                <w:tcPr>
                  <w:tcW w:w="1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聚乙烯(PE)</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(C</w:t>
                  </w:r>
                  <w:r>
                    <w:rPr>
                      <w:rFonts w:hint="default" w:ascii="Times New Roman" w:hAnsi="Times New Roman" w:eastAsia="宋体" w:cs="Times New Roman"/>
                      <w:color w:val="000000"/>
                      <w:sz w:val="21"/>
                      <w:szCs w:val="21"/>
                      <w:vertAlign w:val="subscript"/>
                      <w:lang w:eastAsia="zh-CN"/>
                    </w:rPr>
                    <w:t>2</w:t>
                  </w:r>
                  <w:r>
                    <w:rPr>
                      <w:rFonts w:hint="default" w:ascii="Times New Roman" w:hAnsi="Times New Roman" w:eastAsia="宋体" w:cs="Times New Roman"/>
                      <w:color w:val="000000"/>
                      <w:sz w:val="21"/>
                      <w:szCs w:val="21"/>
                      <w:lang w:eastAsia="zh-CN"/>
                    </w:rPr>
                    <w:t>H</w:t>
                  </w:r>
                  <w:r>
                    <w:rPr>
                      <w:rFonts w:hint="default" w:ascii="Times New Roman" w:hAnsi="Times New Roman" w:eastAsia="宋体" w:cs="Times New Roman"/>
                      <w:color w:val="000000"/>
                      <w:sz w:val="21"/>
                      <w:szCs w:val="21"/>
                      <w:vertAlign w:val="subscript"/>
                      <w:lang w:eastAsia="zh-CN"/>
                    </w:rPr>
                    <w:t>4</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vertAlign w:val="subscript"/>
                      <w:lang w:eastAsia="zh-CN"/>
                    </w:rPr>
                    <w:t>n</w:t>
                  </w:r>
                </w:p>
              </w:tc>
              <w:tc>
                <w:tcPr>
                  <w:tcW w:w="8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颗粒</w:t>
                  </w:r>
                </w:p>
              </w:tc>
              <w:tc>
                <w:tcPr>
                  <w:tcW w:w="553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由乙烯均聚以及与少量α-烯烃共聚制得的乳白色、半透明的热塑性塑料。密度0.86～0.96g/cm3，按密度区分有低密度聚乙烯(也包括线性低密度聚乙烯)、超低密度聚乙烯等。无味、无毒。耐化学药品，常温下不溶于溶剂。耐低温，最低使用温度-70～-100℃。电绝缘性好，吸水率低。物理机械性能因密度而异。工业上低密度聚乙烯主要采用高压(110～200MPa)、高温(150～300℃)自由基聚合。其他则用低压配位聚合，有时同一套装置可生产密度0.87～0.96g/cm3的聚乙烯产品，称全密度聚乙烯工艺技术。聚乙烯可加工制成薄膜、电线电缆护套、管材、各种中空制品、注塑制品、纤维等。广泛用于农业、包装、电子电气、机械、汽车、日用杂品等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1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水性油墨</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w:t>
                  </w:r>
                </w:p>
              </w:tc>
              <w:tc>
                <w:tcPr>
                  <w:tcW w:w="8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液态</w:t>
                  </w:r>
                </w:p>
              </w:tc>
              <w:tc>
                <w:tcPr>
                  <w:tcW w:w="553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eastAsia="zh-CN"/>
                    </w:rPr>
                    <w:t>水性油墨是由连结料、颜料、助剂等物质组成的均匀浆状物质。根据供应商提供的原料成分（含水性树脂35%-50%，水10%-20%，水性色粉25%-40%，水性蜡粉0.8%-1.5%，乙醇5%-10%），几乎不含苯、甲苯、二甲苯、乙酸酯等。</w:t>
                  </w:r>
                </w:p>
              </w:tc>
            </w:tr>
          </w:tbl>
          <w:p>
            <w:pPr>
              <w:pStyle w:val="19"/>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项目产品方案见表</w:t>
            </w:r>
            <w:r>
              <w:rPr>
                <w:rFonts w:hint="default"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rPr>
              <w:t>-5：</w:t>
            </w:r>
          </w:p>
          <w:p>
            <w:pPr>
              <w:pStyle w:val="20"/>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表</w:t>
            </w:r>
            <w:r>
              <w:rPr>
                <w:rFonts w:hint="eastAsia" w:ascii="Times New Roman" w:hAnsi="Times New Roman" w:eastAsia="宋体" w:cs="Times New Roman"/>
                <w:b w:val="0"/>
                <w:bCs/>
                <w:kern w:val="0"/>
                <w:sz w:val="21"/>
                <w:szCs w:val="21"/>
                <w:lang w:val="en-US" w:eastAsia="zh-CN"/>
              </w:rPr>
              <w:t>2</w:t>
            </w:r>
            <w:r>
              <w:rPr>
                <w:rFonts w:hint="default" w:ascii="Times New Roman" w:hAnsi="Times New Roman" w:eastAsia="宋体" w:cs="Times New Roman"/>
                <w:b w:val="0"/>
                <w:bCs/>
                <w:kern w:val="0"/>
                <w:sz w:val="21"/>
                <w:szCs w:val="21"/>
              </w:rPr>
              <w:t>-5  项目产品方案一览表</w:t>
            </w:r>
          </w:p>
          <w:tbl>
            <w:tblPr>
              <w:tblStyle w:val="11"/>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517"/>
              <w:gridCol w:w="3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3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序号</w:t>
                  </w:r>
                </w:p>
              </w:tc>
              <w:tc>
                <w:tcPr>
                  <w:tcW w:w="35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产品名称</w:t>
                  </w:r>
                </w:p>
              </w:tc>
              <w:tc>
                <w:tcPr>
                  <w:tcW w:w="39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年产量（t）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3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35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生活用可降解塑料袋</w:t>
                  </w:r>
                </w:p>
              </w:tc>
              <w:tc>
                <w:tcPr>
                  <w:tcW w:w="39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5000（一期2400）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3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35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工业包装可降解塑料袋</w:t>
                  </w:r>
                </w:p>
              </w:tc>
              <w:tc>
                <w:tcPr>
                  <w:tcW w:w="39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200（一期100）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合计</w:t>
                  </w:r>
                </w:p>
              </w:tc>
              <w:tc>
                <w:tcPr>
                  <w:tcW w:w="39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5200（一期2500）</w:t>
                  </w:r>
                </w:p>
              </w:tc>
            </w:tr>
          </w:tbl>
          <w:p>
            <w:pPr>
              <w:keepNext w:val="0"/>
              <w:keepLines w:val="0"/>
              <w:pageBreakBefore w:val="0"/>
              <w:widowControl/>
              <w:kinsoku/>
              <w:wordWrap/>
              <w:overflowPunct/>
              <w:topLinePunct w:val="0"/>
              <w:autoSpaceDE/>
              <w:autoSpaceDN/>
              <w:bidi w:val="0"/>
              <w:adjustRightInd w:val="0"/>
              <w:snapToGrid w:val="0"/>
              <w:spacing w:before="361" w:beforeLines="100" w:after="0" w:line="240" w:lineRule="auto"/>
              <w:jc w:val="both"/>
              <w:textAlignment w:val="auto"/>
              <w:rPr>
                <w:rFonts w:hint="eastAsia" w:ascii="宋体" w:hAnsi="宋体"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3"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lang w:eastAsia="zh-CN"/>
              </w:rPr>
            </w:pPr>
            <w:r>
              <w:rPr>
                <w:rFonts w:hint="eastAsia"/>
              </w:rPr>
              <w:t>水平衡</w:t>
            </w:r>
            <w:r>
              <w:rPr>
                <w:rFonts w:hint="eastAsia"/>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jc w:val="left"/>
              <w:textAlignment w:val="auto"/>
              <w:rPr>
                <w:rFonts w:hint="default"/>
              </w:rPr>
            </w:pPr>
            <w:r>
              <w:rPr>
                <w:rFonts w:hint="default"/>
              </w:rPr>
              <w:t>项目水平衡，见图</w:t>
            </w:r>
            <w:r>
              <w:rPr>
                <w:rFonts w:hint="eastAsia"/>
                <w:lang w:val="en-US" w:eastAsia="zh-CN"/>
              </w:rPr>
              <w:t>2-2</w:t>
            </w:r>
            <w:r>
              <w:rPr>
                <w:rFonts w:hint="default"/>
              </w:rPr>
              <w:t>所示。</w:t>
            </w:r>
          </w:p>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rPr>
            </w:pPr>
            <w:r>
              <w:rPr>
                <w:rFonts w:hint="default"/>
              </w:rPr>
              <mc:AlternateContent>
                <mc:Choice Requires="wpg">
                  <w:drawing>
                    <wp:inline distT="0" distB="0" distL="114300" distR="114300">
                      <wp:extent cx="5443220" cy="3376295"/>
                      <wp:effectExtent l="0" t="0" r="5080" b="14605"/>
                      <wp:docPr id="74" name="组合 74"/>
                      <wp:cNvGraphicFramePr/>
                      <a:graphic xmlns:a="http://schemas.openxmlformats.org/drawingml/2006/main">
                        <a:graphicData uri="http://schemas.microsoft.com/office/word/2010/wordprocessingGroup">
                          <wpg:wgp>
                            <wpg:cNvGrpSpPr>
                              <a:grpSpLocks noRot="1"/>
                            </wpg:cNvGrpSpPr>
                            <wpg:grpSpPr>
                              <a:xfrm>
                                <a:off x="0" y="0"/>
                                <a:ext cx="5443220" cy="3376295"/>
                                <a:chOff x="1520" y="3459"/>
                                <a:chExt cx="8572" cy="5317"/>
                              </a:xfrm>
                            </wpg:grpSpPr>
                            <wps:wsp>
                              <wps:cNvPr id="46" name="文本框 46"/>
                              <wps:cNvSpPr txBox="1"/>
                              <wps:spPr>
                                <a:xfrm>
                                  <a:off x="1520" y="5442"/>
                                  <a:ext cx="661" cy="1129"/>
                                </a:xfrm>
                                <a:prstGeom prst="rect">
                                  <a:avLst/>
                                </a:prstGeom>
                                <a:solidFill>
                                  <a:srgbClr val="FFFFFF"/>
                                </a:solidFill>
                                <a:ln w="6350">
                                  <a:noFill/>
                                </a:ln>
                              </wps:spPr>
                              <wps:txbx>
                                <w:txbxContent>
                                  <w:p>
                                    <w:pPr>
                                      <w:rPr>
                                        <w:rFonts w:hint="eastAsia"/>
                                      </w:rPr>
                                    </w:pPr>
                                    <w:r>
                                      <w:rPr>
                                        <w:rFonts w:hint="eastAsia"/>
                                      </w:rPr>
                                      <w:t>自来水</w:t>
                                    </w:r>
                                  </w:p>
                                </w:txbxContent>
                              </wps:txbx>
                              <wps:bodyPr vert="eaVert" upright="1"/>
                            </wps:wsp>
                            <wps:wsp>
                              <wps:cNvPr id="47" name="文本框 47"/>
                              <wps:cNvSpPr txBox="1"/>
                              <wps:spPr>
                                <a:xfrm flipH="1">
                                  <a:off x="6395" y="6739"/>
                                  <a:ext cx="835" cy="485"/>
                                </a:xfrm>
                                <a:prstGeom prst="rect">
                                  <a:avLst/>
                                </a:prstGeom>
                                <a:solidFill>
                                  <a:srgbClr val="FFFFFF"/>
                                </a:solidFill>
                                <a:ln w="6350">
                                  <a:noFill/>
                                </a:ln>
                              </wps:spPr>
                              <wps:txbx>
                                <w:txbxContent>
                                  <w:p>
                                    <w:r>
                                      <w:rPr>
                                        <w:rFonts w:hint="eastAsia"/>
                                      </w:rPr>
                                      <w:t>0.17</w:t>
                                    </w:r>
                                  </w:p>
                                </w:txbxContent>
                              </wps:txbx>
                              <wps:bodyPr upright="1"/>
                            </wps:wsp>
                            <wps:wsp>
                              <wps:cNvPr id="48" name="文本框 48"/>
                              <wps:cNvSpPr txBox="1"/>
                              <wps:spPr>
                                <a:xfrm>
                                  <a:off x="5519" y="6340"/>
                                  <a:ext cx="819" cy="446"/>
                                </a:xfrm>
                                <a:prstGeom prst="rect">
                                  <a:avLst/>
                                </a:prstGeom>
                                <a:solidFill>
                                  <a:srgbClr val="FFFFFF"/>
                                </a:solidFill>
                                <a:ln w="6350">
                                  <a:noFill/>
                                </a:ln>
                              </wps:spPr>
                              <wps:txbx>
                                <w:txbxContent>
                                  <w:p>
                                    <w:r>
                                      <w:rPr>
                                        <w:rFonts w:hint="eastAsia"/>
                                      </w:rPr>
                                      <w:t>0.04</w:t>
                                    </w:r>
                                  </w:p>
                                </w:txbxContent>
                              </wps:txbx>
                              <wps:bodyPr upright="1"/>
                            </wps:wsp>
                            <wps:wsp>
                              <wps:cNvPr id="49" name="文本框 49"/>
                              <wps:cNvSpPr txBox="1"/>
                              <wps:spPr>
                                <a:xfrm>
                                  <a:off x="3169" y="5348"/>
                                  <a:ext cx="819" cy="446"/>
                                </a:xfrm>
                                <a:prstGeom prst="rect">
                                  <a:avLst/>
                                </a:prstGeom>
                                <a:solidFill>
                                  <a:srgbClr val="FFFFFF"/>
                                </a:solidFill>
                                <a:ln w="6350">
                                  <a:noFill/>
                                </a:ln>
                              </wps:spPr>
                              <wps:txbx>
                                <w:txbxContent>
                                  <w:p>
                                    <w:r>
                                      <w:rPr>
                                        <w:rFonts w:hint="eastAsia"/>
                                      </w:rPr>
                                      <w:t>0.29</w:t>
                                    </w:r>
                                  </w:p>
                                </w:txbxContent>
                              </wps:txbx>
                              <wps:bodyPr upright="1"/>
                            </wps:wsp>
                            <wps:wsp>
                              <wps:cNvPr id="50" name="肘形连接符 50"/>
                              <wps:cNvCnPr>
                                <a:stCxn id="55" idx="1"/>
                                <a:endCxn id="57" idx="1"/>
                              </wps:cNvCnPr>
                              <wps:spPr>
                                <a:xfrm rot="10800000" flipH="1" flipV="1">
                                  <a:off x="4237" y="4488"/>
                                  <a:ext cx="46" cy="2719"/>
                                </a:xfrm>
                                <a:prstGeom prst="bentConnector3">
                                  <a:avLst>
                                    <a:gd name="adj1" fmla="val -2636954"/>
                                  </a:avLst>
                                </a:prstGeom>
                                <a:ln w="0" cap="flat" cmpd="sng">
                                  <a:solidFill>
                                    <a:srgbClr val="000000"/>
                                  </a:solidFill>
                                  <a:prstDash val="solid"/>
                                  <a:round/>
                                  <a:headEnd type="triangle" w="sm" len="lg"/>
                                  <a:tailEnd type="triangle" w="sm" len="lg"/>
                                </a:ln>
                              </wps:spPr>
                              <wps:bodyPr/>
                            </wps:wsp>
                            <wps:wsp>
                              <wps:cNvPr id="51" name="直接连接符 51"/>
                              <wps:cNvCnPr/>
                              <wps:spPr>
                                <a:xfrm flipH="1">
                                  <a:off x="2162" y="5899"/>
                                  <a:ext cx="2093" cy="2"/>
                                </a:xfrm>
                                <a:prstGeom prst="line">
                                  <a:avLst/>
                                </a:prstGeom>
                                <a:ln w="9525" cap="flat" cmpd="sng">
                                  <a:solidFill>
                                    <a:srgbClr val="000000"/>
                                  </a:solidFill>
                                  <a:prstDash val="solid"/>
                                  <a:headEnd type="triangle" w="sm" len="lg"/>
                                  <a:tailEnd type="none" w="med" len="med"/>
                                </a:ln>
                              </wps:spPr>
                              <wps:bodyPr upright="1"/>
                            </wps:wsp>
                            <wps:wsp>
                              <wps:cNvPr id="52" name="直接箭头连接符 52"/>
                              <wps:cNvCnPr>
                                <a:stCxn id="56" idx="1"/>
                                <a:endCxn id="57" idx="1"/>
                              </wps:cNvCnPr>
                              <wps:spPr>
                                <a:xfrm flipV="1">
                                  <a:off x="4977" y="5219"/>
                                  <a:ext cx="574" cy="330"/>
                                </a:xfrm>
                                <a:prstGeom prst="straightConnector1">
                                  <a:avLst/>
                                </a:prstGeom>
                                <a:ln w="9525" cap="flat" cmpd="sng">
                                  <a:solidFill>
                                    <a:srgbClr val="000000"/>
                                  </a:solidFill>
                                  <a:prstDash val="dash"/>
                                  <a:headEnd type="none" w="sm" len="lg"/>
                                  <a:tailEnd type="triangle" w="sm" len="lg"/>
                                </a:ln>
                              </wps:spPr>
                              <wps:bodyPr/>
                            </wps:wsp>
                            <wps:wsp>
                              <wps:cNvPr id="53" name="直接箭头连接符 53"/>
                              <wps:cNvCnPr>
                                <a:stCxn id="56" idx="1"/>
                                <a:endCxn id="67" idx="1"/>
                              </wps:cNvCnPr>
                              <wps:spPr>
                                <a:xfrm flipV="1">
                                  <a:off x="4942" y="3717"/>
                                  <a:ext cx="647" cy="432"/>
                                </a:xfrm>
                                <a:prstGeom prst="straightConnector1">
                                  <a:avLst/>
                                </a:prstGeom>
                                <a:ln w="9525" cap="flat" cmpd="sng">
                                  <a:solidFill>
                                    <a:srgbClr val="000000"/>
                                  </a:solidFill>
                                  <a:prstDash val="dash"/>
                                  <a:headEnd type="none" w="sm" len="lg"/>
                                  <a:tailEnd type="triangle" w="sm" len="lg"/>
                                </a:ln>
                              </wps:spPr>
                              <wps:bodyPr/>
                            </wps:wsp>
                            <wps:wsp>
                              <wps:cNvPr id="54" name="直接箭头连接符 54"/>
                              <wps:cNvCnPr>
                                <a:stCxn id="56" idx="1"/>
                                <a:endCxn id="67" idx="1"/>
                              </wps:cNvCnPr>
                              <wps:spPr>
                                <a:xfrm flipV="1">
                                  <a:off x="4958" y="6563"/>
                                  <a:ext cx="535" cy="290"/>
                                </a:xfrm>
                                <a:prstGeom prst="straightConnector1">
                                  <a:avLst/>
                                </a:prstGeom>
                                <a:ln w="9525" cap="flat" cmpd="sng">
                                  <a:solidFill>
                                    <a:srgbClr val="000000"/>
                                  </a:solidFill>
                                  <a:prstDash val="dash"/>
                                  <a:headEnd type="none" w="sm" len="lg"/>
                                  <a:tailEnd type="triangle" w="sm" len="lg"/>
                                </a:ln>
                              </wps:spPr>
                              <wps:bodyPr/>
                            </wps:wsp>
                            <wps:wsp>
                              <wps:cNvPr id="55" name="矩形 55"/>
                              <wps:cNvSpPr/>
                              <wps:spPr>
                                <a:xfrm>
                                  <a:off x="4237" y="4185"/>
                                  <a:ext cx="1658" cy="607"/>
                                </a:xfrm>
                                <a:prstGeom prst="rect">
                                  <a:avLst/>
                                </a:prstGeom>
                                <a:noFill/>
                                <a:ln w="25400" cap="flat" cmpd="sng">
                                  <a:solidFill>
                                    <a:srgbClr val="000000"/>
                                  </a:solidFill>
                                  <a:prstDash val="solid"/>
                                  <a:round/>
                                  <a:headEnd type="none" w="med" len="med"/>
                                  <a:tailEnd type="none" w="med" len="med"/>
                                </a:ln>
                              </wps:spPr>
                              <wps:txbx>
                                <w:txbxContent>
                                  <w:p>
                                    <w:pPr>
                                      <w:jc w:val="center"/>
                                      <w:rPr>
                                        <w:rFonts w:hint="eastAsia"/>
                                        <w:color w:val="000000"/>
                                      </w:rPr>
                                    </w:pPr>
                                    <w:r>
                                      <w:rPr>
                                        <w:rFonts w:hint="eastAsia"/>
                                        <w:color w:val="000000"/>
                                      </w:rPr>
                                      <w:t>生活用水</w:t>
                                    </w:r>
                                  </w:p>
                                </w:txbxContent>
                              </wps:txbx>
                              <wps:bodyPr anchor="ctr" upright="1"/>
                            </wps:wsp>
                            <wps:wsp>
                              <wps:cNvPr id="56" name="矩形 56"/>
                              <wps:cNvSpPr/>
                              <wps:spPr>
                                <a:xfrm>
                                  <a:off x="4255" y="5595"/>
                                  <a:ext cx="1596" cy="607"/>
                                </a:xfrm>
                                <a:prstGeom prst="rect">
                                  <a:avLst/>
                                </a:prstGeom>
                                <a:noFill/>
                                <a:ln w="25400" cap="flat" cmpd="sng">
                                  <a:solidFill>
                                    <a:srgbClr val="000000"/>
                                  </a:solidFill>
                                  <a:prstDash val="solid"/>
                                  <a:round/>
                                  <a:headEnd type="none" w="med" len="med"/>
                                  <a:tailEnd type="none" w="med" len="med"/>
                                </a:ln>
                              </wps:spPr>
                              <wps:txbx>
                                <w:txbxContent>
                                  <w:p>
                                    <w:pPr>
                                      <w:jc w:val="center"/>
                                      <w:rPr>
                                        <w:rFonts w:hint="eastAsia"/>
                                      </w:rPr>
                                    </w:pPr>
                                    <w:r>
                                      <w:rPr>
                                        <w:rFonts w:hint="eastAsia"/>
                                      </w:rPr>
                                      <w:t>地面清洁用水</w:t>
                                    </w:r>
                                  </w:p>
                                </w:txbxContent>
                              </wps:txbx>
                              <wps:bodyPr anchor="ctr" upright="1"/>
                            </wps:wsp>
                            <wps:wsp>
                              <wps:cNvPr id="57" name="矩形 57"/>
                              <wps:cNvSpPr/>
                              <wps:spPr>
                                <a:xfrm>
                                  <a:off x="4283" y="6904"/>
                                  <a:ext cx="1559" cy="607"/>
                                </a:xfrm>
                                <a:prstGeom prst="rect">
                                  <a:avLst/>
                                </a:prstGeom>
                                <a:noFill/>
                                <a:ln w="25400" cap="flat" cmpd="sng">
                                  <a:solidFill>
                                    <a:srgbClr val="000000"/>
                                  </a:solidFill>
                                  <a:prstDash val="solid"/>
                                  <a:round/>
                                  <a:headEnd type="none" w="med" len="med"/>
                                  <a:tailEnd type="none" w="med" len="med"/>
                                </a:ln>
                              </wps:spPr>
                              <wps:txbx>
                                <w:txbxContent>
                                  <w:p>
                                    <w:pPr>
                                      <w:jc w:val="center"/>
                                      <w:rPr>
                                        <w:rFonts w:hint="eastAsia"/>
                                        <w:color w:val="000000"/>
                                      </w:rPr>
                                    </w:pPr>
                                    <w:r>
                                      <w:rPr>
                                        <w:rFonts w:hint="eastAsia"/>
                                        <w:color w:val="000000"/>
                                      </w:rPr>
                                      <w:t>未预见水量</w:t>
                                    </w:r>
                                  </w:p>
                                </w:txbxContent>
                              </wps:txbx>
                              <wps:bodyPr anchor="ctr" upright="1"/>
                            </wps:wsp>
                            <wps:wsp>
                              <wps:cNvPr id="58" name="文本框 58"/>
                              <wps:cNvSpPr txBox="1"/>
                              <wps:spPr>
                                <a:xfrm>
                                  <a:off x="3230" y="3904"/>
                                  <a:ext cx="819" cy="446"/>
                                </a:xfrm>
                                <a:prstGeom prst="rect">
                                  <a:avLst/>
                                </a:prstGeom>
                                <a:solidFill>
                                  <a:srgbClr val="FFFFFF"/>
                                </a:solidFill>
                                <a:ln w="6350">
                                  <a:noFill/>
                                </a:ln>
                              </wps:spPr>
                              <wps:txbx>
                                <w:txbxContent>
                                  <w:p>
                                    <w:r>
                                      <w:rPr>
                                        <w:rFonts w:hint="eastAsia"/>
                                      </w:rPr>
                                      <w:t>1.84</w:t>
                                    </w:r>
                                  </w:p>
                                </w:txbxContent>
                              </wps:txbx>
                              <wps:bodyPr upright="1"/>
                            </wps:wsp>
                            <wps:wsp>
                              <wps:cNvPr id="59" name="文本框 59"/>
                              <wps:cNvSpPr txBox="1"/>
                              <wps:spPr>
                                <a:xfrm>
                                  <a:off x="3153" y="6605"/>
                                  <a:ext cx="819" cy="446"/>
                                </a:xfrm>
                                <a:prstGeom prst="rect">
                                  <a:avLst/>
                                </a:prstGeom>
                                <a:solidFill>
                                  <a:srgbClr val="FFFFFF"/>
                                </a:solidFill>
                                <a:ln w="6350">
                                  <a:noFill/>
                                </a:ln>
                              </wps:spPr>
                              <wps:txbx>
                                <w:txbxContent>
                                  <w:p>
                                    <w:r>
                                      <w:rPr>
                                        <w:rFonts w:hint="eastAsia"/>
                                      </w:rPr>
                                      <w:t>0.21</w:t>
                                    </w:r>
                                  </w:p>
                                </w:txbxContent>
                              </wps:txbx>
                              <wps:bodyPr upright="1"/>
                            </wps:wsp>
                            <wps:wsp>
                              <wps:cNvPr id="60" name="文本框 60"/>
                              <wps:cNvSpPr txBox="1"/>
                              <wps:spPr>
                                <a:xfrm>
                                  <a:off x="2134" y="5338"/>
                                  <a:ext cx="783" cy="446"/>
                                </a:xfrm>
                                <a:prstGeom prst="rect">
                                  <a:avLst/>
                                </a:prstGeom>
                                <a:solidFill>
                                  <a:srgbClr val="FFFFFF"/>
                                </a:solidFill>
                                <a:ln w="6350">
                                  <a:noFill/>
                                </a:ln>
                              </wps:spPr>
                              <wps:txbx>
                                <w:txbxContent>
                                  <w:p>
                                    <w:r>
                                      <w:rPr>
                                        <w:rFonts w:hint="eastAsia"/>
                                      </w:rPr>
                                      <w:t>2.34</w:t>
                                    </w:r>
                                  </w:p>
                                </w:txbxContent>
                              </wps:txbx>
                              <wps:bodyPr upright="1"/>
                            </wps:wsp>
                            <wps:wsp>
                              <wps:cNvPr id="61" name="文本框 61"/>
                              <wps:cNvSpPr txBox="1"/>
                              <wps:spPr>
                                <a:xfrm>
                                  <a:off x="5656" y="4867"/>
                                  <a:ext cx="819" cy="446"/>
                                </a:xfrm>
                                <a:prstGeom prst="rect">
                                  <a:avLst/>
                                </a:prstGeom>
                                <a:solidFill>
                                  <a:srgbClr val="FFFFFF"/>
                                </a:solidFill>
                                <a:ln w="6350">
                                  <a:noFill/>
                                </a:ln>
                              </wps:spPr>
                              <wps:txbx>
                                <w:txbxContent>
                                  <w:p>
                                    <w:r>
                                      <w:rPr>
                                        <w:rFonts w:hint="eastAsia"/>
                                      </w:rPr>
                                      <w:t>0.06</w:t>
                                    </w:r>
                                  </w:p>
                                </w:txbxContent>
                              </wps:txbx>
                              <wps:bodyPr upright="1"/>
                            </wps:wsp>
                            <wps:wsp>
                              <wps:cNvPr id="62" name="文本框 62"/>
                              <wps:cNvSpPr txBox="1"/>
                              <wps:spPr>
                                <a:xfrm>
                                  <a:off x="9042" y="5575"/>
                                  <a:ext cx="1050" cy="466"/>
                                </a:xfrm>
                                <a:prstGeom prst="rect">
                                  <a:avLst/>
                                </a:prstGeom>
                                <a:solidFill>
                                  <a:srgbClr val="FFFFFF"/>
                                </a:solidFill>
                                <a:ln w="6350">
                                  <a:noFill/>
                                </a:ln>
                              </wps:spPr>
                              <wps:txbx>
                                <w:txbxContent>
                                  <w:p>
                                    <w:r>
                                      <w:rPr>
                                        <w:rFonts w:hint="eastAsia"/>
                                      </w:rPr>
                                      <w:t>1.87</w:t>
                                    </w:r>
                                  </w:p>
                                </w:txbxContent>
                              </wps:txbx>
                              <wps:bodyPr upright="1"/>
                            </wps:wsp>
                            <wps:wsp>
                              <wps:cNvPr id="63" name="肘形连接符 63"/>
                              <wps:cNvCnPr>
                                <a:stCxn id="57" idx="3"/>
                                <a:endCxn id="67" idx="1"/>
                              </wps:cNvCnPr>
                              <wps:spPr>
                                <a:xfrm flipV="1">
                                  <a:off x="5842" y="4454"/>
                                  <a:ext cx="1580" cy="2754"/>
                                </a:xfrm>
                                <a:prstGeom prst="bentConnector2">
                                  <a:avLst/>
                                </a:prstGeom>
                                <a:ln w="9525" cap="flat" cmpd="sng">
                                  <a:solidFill>
                                    <a:srgbClr val="000000"/>
                                  </a:solidFill>
                                  <a:prstDash val="solid"/>
                                  <a:round/>
                                  <a:headEnd type="none" w="sm" len="lg"/>
                                  <a:tailEnd type="triangle" w="sm" len="lg"/>
                                </a:ln>
                              </wps:spPr>
                              <wps:bodyPr/>
                            </wps:wsp>
                            <wps:wsp>
                              <wps:cNvPr id="64" name="直接连接符 64"/>
                              <wps:cNvCnPr/>
                              <wps:spPr>
                                <a:xfrm>
                                  <a:off x="5851" y="5899"/>
                                  <a:ext cx="1590" cy="0"/>
                                </a:xfrm>
                                <a:prstGeom prst="line">
                                  <a:avLst/>
                                </a:prstGeom>
                                <a:ln w="9525" cap="flat" cmpd="sng">
                                  <a:solidFill>
                                    <a:srgbClr val="000000"/>
                                  </a:solidFill>
                                  <a:prstDash val="solid"/>
                                  <a:headEnd type="none" w="sm" len="lg"/>
                                  <a:tailEnd type="triangle" w="sm" len="lg"/>
                                </a:ln>
                              </wps:spPr>
                              <wps:bodyPr upright="1"/>
                            </wps:wsp>
                            <wps:wsp>
                              <wps:cNvPr id="65" name="文本框 65"/>
                              <wps:cNvSpPr txBox="1"/>
                              <wps:spPr>
                                <a:xfrm>
                                  <a:off x="6418" y="5371"/>
                                  <a:ext cx="819" cy="446"/>
                                </a:xfrm>
                                <a:prstGeom prst="rect">
                                  <a:avLst/>
                                </a:prstGeom>
                                <a:solidFill>
                                  <a:srgbClr val="FFFFFF"/>
                                </a:solidFill>
                                <a:ln w="6350">
                                  <a:noFill/>
                                </a:ln>
                              </wps:spPr>
                              <wps:txbx>
                                <w:txbxContent>
                                  <w:p>
                                    <w:r>
                                      <w:rPr>
                                        <w:rFonts w:hint="eastAsia"/>
                                      </w:rPr>
                                      <w:t>0.23</w:t>
                                    </w:r>
                                  </w:p>
                                </w:txbxContent>
                              </wps:txbx>
                              <wps:bodyPr upright="1"/>
                            </wps:wsp>
                            <wps:wsp>
                              <wps:cNvPr id="66" name="直接箭头连接符 66"/>
                              <wps:cNvCnPr>
                                <a:stCxn id="55" idx="3"/>
                                <a:endCxn id="67" idx="1"/>
                              </wps:cNvCnPr>
                              <wps:spPr>
                                <a:xfrm>
                                  <a:off x="5895" y="4489"/>
                                  <a:ext cx="2501" cy="0"/>
                                </a:xfrm>
                                <a:prstGeom prst="straightConnector1">
                                  <a:avLst/>
                                </a:prstGeom>
                                <a:ln w="9525" cap="flat" cmpd="sng">
                                  <a:solidFill>
                                    <a:srgbClr val="000000"/>
                                  </a:solidFill>
                                  <a:prstDash val="solid"/>
                                  <a:headEnd type="none" w="sm" len="lg"/>
                                  <a:tailEnd type="triangle" w="sm" len="lg"/>
                                </a:ln>
                              </wps:spPr>
                              <wps:bodyPr/>
                            </wps:wsp>
                            <wps:wsp>
                              <wps:cNvPr id="67" name="文本框 67"/>
                              <wps:cNvSpPr txBox="1"/>
                              <wps:spPr>
                                <a:xfrm>
                                  <a:off x="5589" y="3459"/>
                                  <a:ext cx="875" cy="516"/>
                                </a:xfrm>
                                <a:prstGeom prst="rect">
                                  <a:avLst/>
                                </a:prstGeom>
                                <a:solidFill>
                                  <a:srgbClr val="FFFFFF"/>
                                </a:solidFill>
                                <a:ln w="6350">
                                  <a:noFill/>
                                </a:ln>
                              </wps:spPr>
                              <wps:txbx>
                                <w:txbxContent>
                                  <w:p>
                                    <w:r>
                                      <w:rPr>
                                        <w:rFonts w:hint="eastAsia"/>
                                      </w:rPr>
                                      <w:t>0.37</w:t>
                                    </w:r>
                                  </w:p>
                                </w:txbxContent>
                              </wps:txbx>
                              <wps:bodyPr upright="1"/>
                            </wps:wsp>
                            <wps:wsp>
                              <wps:cNvPr id="68" name="矩形 68"/>
                              <wps:cNvSpPr/>
                              <wps:spPr>
                                <a:xfrm>
                                  <a:off x="8399" y="4183"/>
                                  <a:ext cx="1248" cy="607"/>
                                </a:xfrm>
                                <a:prstGeom prst="rect">
                                  <a:avLst/>
                                </a:prstGeom>
                                <a:noFill/>
                                <a:ln w="25400" cap="flat" cmpd="sng">
                                  <a:solidFill>
                                    <a:srgbClr val="000000"/>
                                  </a:solidFill>
                                  <a:prstDash val="solid"/>
                                  <a:round/>
                                  <a:headEnd type="none" w="med" len="med"/>
                                  <a:tailEnd type="none" w="med" len="med"/>
                                </a:ln>
                              </wps:spPr>
                              <wps:txbx>
                                <w:txbxContent>
                                  <w:p>
                                    <w:pPr>
                                      <w:jc w:val="center"/>
                                      <w:rPr>
                                        <w:rFonts w:hint="eastAsia"/>
                                        <w:color w:val="000000"/>
                                      </w:rPr>
                                    </w:pPr>
                                    <w:r>
                                      <w:rPr>
                                        <w:rFonts w:hint="eastAsia"/>
                                        <w:color w:val="000000"/>
                                      </w:rPr>
                                      <w:t>化粪池</w:t>
                                    </w:r>
                                  </w:p>
                                </w:txbxContent>
                              </wps:txbx>
                              <wps:bodyPr anchor="ctr" upright="1"/>
                            </wps:wsp>
                            <wps:wsp>
                              <wps:cNvPr id="69" name="直接箭头连接符 69"/>
                              <wps:cNvCnPr>
                                <a:stCxn id="68" idx="2"/>
                                <a:endCxn id="70" idx="0"/>
                              </wps:cNvCnPr>
                              <wps:spPr>
                                <a:xfrm>
                                  <a:off x="9023" y="4790"/>
                                  <a:ext cx="0" cy="2081"/>
                                </a:xfrm>
                                <a:prstGeom prst="straightConnector1">
                                  <a:avLst/>
                                </a:prstGeom>
                                <a:ln w="9525" cap="flat" cmpd="sng">
                                  <a:solidFill>
                                    <a:srgbClr val="000000"/>
                                  </a:solidFill>
                                  <a:prstDash val="solid"/>
                                  <a:headEnd type="none" w="sm" len="lg"/>
                                  <a:tailEnd type="triangle" w="sm" len="lg"/>
                                </a:ln>
                              </wps:spPr>
                              <wps:bodyPr/>
                            </wps:wsp>
                            <wps:wsp>
                              <wps:cNvPr id="70" name="矩形 70"/>
                              <wps:cNvSpPr/>
                              <wps:spPr>
                                <a:xfrm>
                                  <a:off x="7991" y="6871"/>
                                  <a:ext cx="2064" cy="607"/>
                                </a:xfrm>
                                <a:prstGeom prst="rect">
                                  <a:avLst/>
                                </a:prstGeom>
                                <a:noFill/>
                                <a:ln w="25400" cap="flat" cmpd="sng">
                                  <a:solidFill>
                                    <a:srgbClr val="000000"/>
                                  </a:solidFill>
                                  <a:prstDash val="solid"/>
                                  <a:round/>
                                  <a:headEnd type="none" w="med" len="med"/>
                                  <a:tailEnd type="none" w="med" len="med"/>
                                </a:ln>
                              </wps:spPr>
                              <wps:txbx>
                                <w:txbxContent>
                                  <w:p>
                                    <w:pPr>
                                      <w:jc w:val="center"/>
                                      <w:rPr>
                                        <w:rFonts w:hint="eastAsia"/>
                                        <w:color w:val="000000"/>
                                      </w:rPr>
                                    </w:pPr>
                                    <w:r>
                                      <w:rPr>
                                        <w:rFonts w:hint="eastAsia"/>
                                        <w:color w:val="000000"/>
                                      </w:rPr>
                                      <w:t>镇宁县污水处理厂</w:t>
                                    </w:r>
                                  </w:p>
                                </w:txbxContent>
                              </wps:txbx>
                              <wps:bodyPr anchor="ctr" upright="1"/>
                            </wps:wsp>
                            <wps:wsp>
                              <wps:cNvPr id="71" name="直接箭头连接符 71"/>
                              <wps:cNvCnPr>
                                <a:stCxn id="70" idx="2"/>
                                <a:endCxn id="70" idx="0"/>
                              </wps:cNvCnPr>
                              <wps:spPr>
                                <a:xfrm>
                                  <a:off x="9023" y="7478"/>
                                  <a:ext cx="0" cy="877"/>
                                </a:xfrm>
                                <a:prstGeom prst="straightConnector1">
                                  <a:avLst/>
                                </a:prstGeom>
                                <a:ln w="9525" cap="flat" cmpd="sng">
                                  <a:solidFill>
                                    <a:srgbClr val="000000"/>
                                  </a:solidFill>
                                  <a:prstDash val="solid"/>
                                  <a:headEnd type="none" w="sm" len="lg"/>
                                  <a:tailEnd type="triangle" w="sm" len="lg"/>
                                </a:ln>
                              </wps:spPr>
                              <wps:bodyPr/>
                            </wps:wsp>
                            <wps:wsp>
                              <wps:cNvPr id="72" name="文本框 72"/>
                              <wps:cNvSpPr txBox="1"/>
                              <wps:spPr>
                                <a:xfrm>
                                  <a:off x="6405" y="3916"/>
                                  <a:ext cx="819" cy="446"/>
                                </a:xfrm>
                                <a:prstGeom prst="rect">
                                  <a:avLst/>
                                </a:prstGeom>
                                <a:solidFill>
                                  <a:srgbClr val="FFFFFF"/>
                                </a:solidFill>
                                <a:ln w="6350">
                                  <a:noFill/>
                                </a:ln>
                              </wps:spPr>
                              <wps:txbx>
                                <w:txbxContent>
                                  <w:p>
                                    <w:r>
                                      <w:rPr>
                                        <w:rFonts w:hint="eastAsia"/>
                                      </w:rPr>
                                      <w:t>1.47</w:t>
                                    </w:r>
                                  </w:p>
                                </w:txbxContent>
                              </wps:txbx>
                              <wps:bodyPr upright="1"/>
                            </wps:wsp>
                            <wps:wsp>
                              <wps:cNvPr id="73" name="文本框 73"/>
                              <wps:cNvSpPr txBox="1"/>
                              <wps:spPr>
                                <a:xfrm>
                                  <a:off x="8483" y="8310"/>
                                  <a:ext cx="1246" cy="466"/>
                                </a:xfrm>
                                <a:prstGeom prst="rect">
                                  <a:avLst/>
                                </a:prstGeom>
                                <a:solidFill>
                                  <a:srgbClr val="FFFFFF"/>
                                </a:solidFill>
                                <a:ln w="6350">
                                  <a:noFill/>
                                </a:ln>
                              </wps:spPr>
                              <wps:txbx>
                                <w:txbxContent>
                                  <w:p>
                                    <w:r>
                                      <w:rPr>
                                        <w:rFonts w:hint="eastAsia"/>
                                      </w:rPr>
                                      <w:t>达标排放</w:t>
                                    </w:r>
                                  </w:p>
                                </w:txbxContent>
                              </wps:txbx>
                              <wps:bodyPr upright="1"/>
                            </wps:wsp>
                          </wpg:wgp>
                        </a:graphicData>
                      </a:graphic>
                    </wp:inline>
                  </w:drawing>
                </mc:Choice>
                <mc:Fallback>
                  <w:pict>
                    <v:group id="_x0000_s1026" o:spid="_x0000_s1026" o:spt="203" style="height:265.85pt;width:428.6pt;" coordorigin="1520,3459" coordsize="8572,5317" o:gfxdata="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">
                      <o:lock v:ext="edit" rotation="t" aspectratio="f"/>
                      <v:shape id="_x0000_s1026" o:spid="_x0000_s1026" o:spt="202" type="#_x0000_t202" style="position:absolute;left:1520;top:5442;height:1129;width:661;" fillcolor="#FFFFFF" filled="t" stroked="f" coordsize="21600,21600" o:gfxdata="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lFF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pPr>
                                <w:rPr>
                                  <w:rFonts w:hint="eastAsia"/>
                                </w:rPr>
                              </w:pPr>
                              <w:r>
                                <w:rPr>
                                  <w:rFonts w:hint="eastAsia"/>
                                </w:rPr>
                                <w:t>自来水</w:t>
                              </w:r>
                            </w:p>
                          </w:txbxContent>
                        </v:textbox>
                      </v:shape>
                      <v:shape id="_x0000_s1026" o:spid="_x0000_s1026" o:spt="202" type="#_x0000_t202" style="position:absolute;left:6395;top:6739;flip:x;height:485;width:835;" fillcolor="#FFFFFF" filled="t" stroked="f" coordsize="21600,21600" o:gfxdata="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05i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r>
                                <w:rPr>
                                  <w:rFonts w:hint="eastAsia"/>
                                </w:rPr>
                                <w:t>0.17</w:t>
                              </w:r>
                            </w:p>
                          </w:txbxContent>
                        </v:textbox>
                      </v:shape>
                      <v:shape id="_x0000_s1026" o:spid="_x0000_s1026" o:spt="202" type="#_x0000_t202" style="position:absolute;left:5519;top:6340;height:446;width:819;" fillcolor="#FFFFFF" filled="t" stroked="f" coordsize="21600,21600" o:gfxdata="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Z1i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r>
                                <w:rPr>
                                  <w:rFonts w:hint="eastAsia"/>
                                </w:rPr>
                                <w:t>0.04</w:t>
                              </w:r>
                            </w:p>
                          </w:txbxContent>
                        </v:textbox>
                      </v:shape>
                      <v:shape id="_x0000_s1026" o:spid="_x0000_s1026" o:spt="202" type="#_x0000_t202" style="position:absolute;left:3169;top:5348;height:446;width:819;" fillcolor="#FFFFFF" filled="t" stroked="f" coordsize="21600,21600" o:gfxdata="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5LDa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r>
                                <w:rPr>
                                  <w:rFonts w:hint="eastAsia"/>
                                </w:rPr>
                                <w:t>0.29</w:t>
                              </w:r>
                            </w:p>
                          </w:txbxContent>
                        </v:textbox>
                      </v:shape>
                      <v:shape id="_x0000_s1026" o:spid="_x0000_s1026" o:spt="34" type="#_x0000_t34" style="position:absolute;left:4237;top:4488;flip:x y;height:2719;width:46;rotation:11796480f;" filled="f" stroked="t" coordsize="21600,21600" o:gfxdata="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MtPpugAAANsA&#10;AAAPAAAAAAAAAAEAIAAAACIAAABkcnMvZG93bnJldi54bWxQSwECFAAUAAAACACHTuJAMy8FnjsA&#10;AAA5AAAAEAAAAAAAAAABACAAAAAJAQAAZHJzL3NoYXBleG1sLnhtbFBLBQYAAAAABgAGAFsBAACz&#10;AwAAAAA=&#10;" adj="-569582">
                        <v:fill on="f" focussize="0,0"/>
                        <v:stroke weight="0pt" color="#000000" joinstyle="round" startarrow="block" startarrowwidth="narrow" startarrowlength="long" endarrow="block" endarrowwidth="narrow" endarrowlength="long"/>
                        <v:imagedata o:title=""/>
                        <o:lock v:ext="edit" aspectratio="f"/>
                      </v:shape>
                      <v:line id="_x0000_s1026" o:spid="_x0000_s1026" o:spt="20" style="position:absolute;left:2162;top:5899;flip:x;height:2;width:2093;" filled="f" stroked="t" coordsize="21600,21600" o:gfxdata="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i4Fq8AAAA&#10;2wAAAA8AAAAAAAAAAQAgAAAAIgAAAGRycy9kb3ducmV2LnhtbFBLAQIUABQAAAAIAIdO4kAzLwWe&#10;OwAAADkAAAAQAAAAAAAAAAEAIAAAAAsBAABkcnMvc2hhcGV4bWwueG1sUEsFBgAAAAAGAAYAWwEA&#10;ALUDAAAAAA==&#10;">
                        <v:fill on="f" focussize="0,0"/>
                        <v:stroke color="#000000" joinstyle="round" startarrow="block" startarrowwidth="narrow" startarrowlength="long"/>
                        <v:imagedata o:title=""/>
                        <o:lock v:ext="edit" aspectratio="f"/>
                      </v:line>
                      <v:shape id="_x0000_s1026" o:spid="_x0000_s1026" o:spt="32" type="#_x0000_t32" style="position:absolute;left:4977;top:5219;flip:y;height:330;width:574;" filled="f" stroked="t" coordsize="21600,21600" o:gfxdata="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DCU68AAAA&#10;2wAAAA8AAAAAAAAAAQAgAAAAIgAAAGRycy9kb3ducmV2LnhtbFBLAQIUABQAAAAIAIdO4kAzLwWe&#10;OwAAADkAAAAQAAAAAAAAAAEAIAAAAAsBAABkcnMvc2hhcGV4bWwueG1sUEsFBgAAAAAGAAYAWwEA&#10;ALUDAAAAAA==&#10;">
                        <v:fill on="f" focussize="0,0"/>
                        <v:stroke color="#000000" joinstyle="round" dashstyle="dash" startarrowwidth="narrow" startarrowlength="long" endarrow="block" endarrowwidth="narrow" endarrowlength="long"/>
                        <v:imagedata o:title=""/>
                        <o:lock v:ext="edit" aspectratio="f"/>
                      </v:shape>
                      <v:shape id="_x0000_s1026" o:spid="_x0000_s1026" o:spt="32" type="#_x0000_t32" style="position:absolute;left:4942;top:3717;flip:y;height:432;width:647;" filled="f" stroked="t" coordsize="21600,21600" o:gfxdata="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s1bsAAADb&#10;AAAADwAAAAAAAAABACAAAAAiAAAAZHJzL2Rvd25yZXYueG1sUEsBAhQAFAAAAAgAh07iQDMvBZ47&#10;AAAAOQAAABAAAAAAAAAAAQAgAAAACgEAAGRycy9zaGFwZXhtbC54bWxQSwUGAAAAAAYABgBbAQAA&#10;tAMAAAAA&#10;">
                        <v:fill on="f" focussize="0,0"/>
                        <v:stroke color="#000000" joinstyle="round" dashstyle="dash" startarrowwidth="narrow" startarrowlength="long" endarrow="block" endarrowwidth="narrow" endarrowlength="long"/>
                        <v:imagedata o:title=""/>
                        <o:lock v:ext="edit" aspectratio="f"/>
                      </v:shape>
                      <v:shape id="_x0000_s1026" o:spid="_x0000_s1026" o:spt="32" type="#_x0000_t32" style="position:absolute;left:4958;top:6563;flip:y;height:290;width:535;" filled="f" stroked="t" coordsize="21600,21600" o:gfxdata="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Y0obsAAADb&#10;AAAADwAAAAAAAAABACAAAAAiAAAAZHJzL2Rvd25yZXYueG1sUEsBAhQAFAAAAAgAh07iQDMvBZ47&#10;AAAAOQAAABAAAAAAAAAAAQAgAAAACgEAAGRycy9zaGFwZXhtbC54bWxQSwUGAAAAAAYABgBbAQAA&#10;tAMAAAAA&#10;">
                        <v:fill on="f" focussize="0,0"/>
                        <v:stroke color="#000000" joinstyle="round" dashstyle="dash" startarrowwidth="narrow" startarrowlength="long" endarrow="block" endarrowwidth="narrow" endarrowlength="long"/>
                        <v:imagedata o:title=""/>
                        <o:lock v:ext="edit" aspectratio="f"/>
                      </v:shape>
                      <v:rect id="_x0000_s1026" o:spid="_x0000_s1026" o:spt="1" style="position:absolute;left:4237;top:4185;height:607;width:1658;v-text-anchor:middle;" filled="f" stroked="t" coordsize="21600,21600" o:gfxdata="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LGja/&#10;AAAA2w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textbox>
                          <w:txbxContent>
                            <w:p>
                              <w:pPr>
                                <w:jc w:val="center"/>
                                <w:rPr>
                                  <w:rFonts w:hint="eastAsia"/>
                                  <w:color w:val="000000"/>
                                </w:rPr>
                              </w:pPr>
                              <w:r>
                                <w:rPr>
                                  <w:rFonts w:hint="eastAsia"/>
                                  <w:color w:val="000000"/>
                                </w:rPr>
                                <w:t>生活用水</w:t>
                              </w:r>
                            </w:p>
                          </w:txbxContent>
                        </v:textbox>
                      </v:rect>
                      <v:rect id="_x0000_s1026" o:spid="_x0000_s1026" o:spt="1" style="position:absolute;left:4255;top:5595;height:607;width:1596;v-text-anchor:middle;" filled="f" stroked="t" coordsize="21600,21600" o:gfxdata="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mEQb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pPr>
                                <w:jc w:val="center"/>
                                <w:rPr>
                                  <w:rFonts w:hint="eastAsia"/>
                                </w:rPr>
                              </w:pPr>
                              <w:r>
                                <w:rPr>
                                  <w:rFonts w:hint="eastAsia"/>
                                </w:rPr>
                                <w:t>地面清洁用水</w:t>
                              </w:r>
                            </w:p>
                          </w:txbxContent>
                        </v:textbox>
                      </v:rect>
                      <v:rect id="_x0000_s1026" o:spid="_x0000_s1026" o:spt="1" style="position:absolute;left:4283;top:6904;height:607;width:1559;v-text-anchor:middle;" filled="f" stroked="t" coordsize="21600,21600" o:gfxdata="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VIdq/&#10;AAAA2w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textbox>
                          <w:txbxContent>
                            <w:p>
                              <w:pPr>
                                <w:jc w:val="center"/>
                                <w:rPr>
                                  <w:rFonts w:hint="eastAsia"/>
                                  <w:color w:val="000000"/>
                                </w:rPr>
                              </w:pPr>
                              <w:r>
                                <w:rPr>
                                  <w:rFonts w:hint="eastAsia"/>
                                  <w:color w:val="000000"/>
                                </w:rPr>
                                <w:t>未预见水量</w:t>
                              </w:r>
                            </w:p>
                          </w:txbxContent>
                        </v:textbox>
                      </v:rect>
                      <v:shape id="_x0000_s1026" o:spid="_x0000_s1026" o:spt="202" type="#_x0000_t202" style="position:absolute;left:3230;top:3904;height:446;width:819;" fillcolor="#FFFFFF" filled="t" stroked="f" coordsize="21600,21600" o:gfxdata="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TrB9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r>
                                <w:rPr>
                                  <w:rFonts w:hint="eastAsia"/>
                                </w:rPr>
                                <w:t>1.84</w:t>
                              </w:r>
                            </w:p>
                          </w:txbxContent>
                        </v:textbox>
                      </v:shape>
                      <v:shape id="_x0000_s1026" o:spid="_x0000_s1026" o:spt="202" type="#_x0000_t202" style="position:absolute;left:3153;top:6605;height:446;width:819;" fillcolor="#FFFFFF" filled="t" stroked="f" coordsize="21600,21600" o:gfxdata="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C66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r>
                                <w:rPr>
                                  <w:rFonts w:hint="eastAsia"/>
                                </w:rPr>
                                <w:t>0.21</w:t>
                              </w:r>
                            </w:p>
                          </w:txbxContent>
                        </v:textbox>
                      </v:shape>
                      <v:shape id="_x0000_s1026" o:spid="_x0000_s1026" o:spt="202" type="#_x0000_t202" style="position:absolute;left:2134;top:5338;height:446;width:783;" fillcolor="#FFFFFF" filled="t" stroked="f" coordsize="21600,21600" o:gfxdata="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CO22cu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r>
                                <w:rPr>
                                  <w:rFonts w:hint="eastAsia"/>
                                </w:rPr>
                                <w:t>2.34</w:t>
                              </w:r>
                            </w:p>
                          </w:txbxContent>
                        </v:textbox>
                      </v:shape>
                      <v:shape id="_x0000_s1026" o:spid="_x0000_s1026" o:spt="202" type="#_x0000_t202" style="position:absolute;left:5656;top:4867;height:446;width:819;" fillcolor="#FFFFFF" filled="t" stroked="f" coordsize="21600,21600" o:gfxdata="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z6fF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r>
                                <w:rPr>
                                  <w:rFonts w:hint="eastAsia"/>
                                </w:rPr>
                                <w:t>0.06</w:t>
                              </w:r>
                            </w:p>
                          </w:txbxContent>
                        </v:textbox>
                      </v:shape>
                      <v:shape id="_x0000_s1026" o:spid="_x0000_s1026" o:spt="202" type="#_x0000_t202" style="position:absolute;left:9042;top:5575;height:466;width:1050;" fillcolor="#FFFFFF" filled="t" stroked="f" coordsize="21600,21600" o:gfxdata="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o4ie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r>
                                <w:rPr>
                                  <w:rFonts w:hint="eastAsia"/>
                                </w:rPr>
                                <w:t>1.87</w:t>
                              </w:r>
                            </w:p>
                          </w:txbxContent>
                        </v:textbox>
                      </v:shape>
                      <v:shape id="_x0000_s1026" o:spid="_x0000_s1026" o:spt="33" type="#_x0000_t33" style="position:absolute;left:5842;top:4454;flip:y;height:2754;width:1580;" filled="f" stroked="t" coordsize="21600,21600" o:gfxdata="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gXAb4A&#10;AADbAAAADwAAAAAAAAABACAAAAAiAAAAZHJzL2Rvd25yZXYueG1sUEsBAhQAFAAAAAgAh07iQDMv&#10;BZ47AAAAOQAAABAAAAAAAAAAAQAgAAAADQEAAGRycy9zaGFwZXhtbC54bWxQSwUGAAAAAAYABgBb&#10;AQAAtwMAAAAA&#10;">
                        <v:fill on="f" focussize="0,0"/>
                        <v:stroke color="#000000" joinstyle="round" startarrowwidth="narrow" startarrowlength="long" endarrow="block" endarrowwidth="narrow" endarrowlength="long"/>
                        <v:imagedata o:title=""/>
                        <o:lock v:ext="edit" aspectratio="f"/>
                      </v:shape>
                      <v:line id="_x0000_s1026" o:spid="_x0000_s1026" o:spt="20" style="position:absolute;left:5851;top:5899;height:0;width:1590;" filled="f" stroked="t" coordsize="21600,21600" o:gfxdata="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in2a8AAAA&#10;2wAAAA8AAAAAAAAAAQAgAAAAIgAAAGRycy9kb3ducmV2LnhtbFBLAQIUABQAAAAIAIdO4kAzLwWe&#10;OwAAADkAAAAQAAAAAAAAAAEAIAAAAAsBAABkcnMvc2hhcGV4bWwueG1sUEsFBgAAAAAGAAYAWwEA&#10;ALUDAAAAAA==&#10;">
                        <v:fill on="f" focussize="0,0"/>
                        <v:stroke color="#000000" joinstyle="round" startarrowwidth="narrow" startarrowlength="long" endarrow="block" endarrowwidth="narrow" endarrowlength="long"/>
                        <v:imagedata o:title=""/>
                        <o:lock v:ext="edit" aspectratio="f"/>
                      </v:line>
                      <v:shape id="_x0000_s1026" o:spid="_x0000_s1026" o:spt="202" type="#_x0000_t202" style="position:absolute;left:6418;top:5371;height:446;width:819;" fillcolor="#FFFFFF" filled="t" stroked="f" coordsize="21600,21600" o:gfxdata="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BelO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r>
                                <w:rPr>
                                  <w:rFonts w:hint="eastAsia"/>
                                </w:rPr>
                                <w:t>0.23</w:t>
                              </w:r>
                            </w:p>
                          </w:txbxContent>
                        </v:textbox>
                      </v:shape>
                      <v:shape id="_x0000_s1026" o:spid="_x0000_s1026" o:spt="32" type="#_x0000_t32" style="position:absolute;left:5895;top:4489;height:0;width:2501;" filled="f" stroked="t" coordsize="21600,21600" o:gfxdata="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I26/&#10;AAAA2wAAAA8AAAAAAAAAAQAgAAAAIgAAAGRycy9kb3ducmV2LnhtbFBLAQIUABQAAAAIAIdO4kAz&#10;LwWeOwAAADkAAAAQAAAAAAAAAAEAIAAAAA4BAABkcnMvc2hhcGV4bWwueG1sUEsFBgAAAAAGAAYA&#10;WwEAALgDAAAAAA==&#10;">
                        <v:fill on="f" focussize="0,0"/>
                        <v:stroke color="#000000" joinstyle="round" startarrowwidth="narrow" startarrowlength="long" endarrow="block" endarrowwidth="narrow" endarrowlength="long"/>
                        <v:imagedata o:title=""/>
                        <o:lock v:ext="edit" aspectratio="f"/>
                      </v:shape>
                      <v:shape id="_x0000_s1026" o:spid="_x0000_s1026" o:spt="202" type="#_x0000_t202" style="position:absolute;left:5589;top:3459;height:516;width:875;" fillcolor="#FFFFFF" filled="t" stroked="f" coordsize="21600,21600" o:gfxdata="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fQb+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r>
                                <w:rPr>
                                  <w:rFonts w:hint="eastAsia"/>
                                </w:rPr>
                                <w:t>0.37</w:t>
                              </w:r>
                            </w:p>
                          </w:txbxContent>
                        </v:textbox>
                      </v:shape>
                      <v:rect id="_x0000_s1026" o:spid="_x0000_s1026" o:spt="1" style="position:absolute;left:8399;top:4183;height:607;width:1248;v-text-anchor:middle;" filled="f" stroked="t" coordsize="21600,21600" o:gfxdata="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mfxW8AAAA&#10;2w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pPr>
                                <w:jc w:val="center"/>
                                <w:rPr>
                                  <w:rFonts w:hint="eastAsia"/>
                                  <w:color w:val="000000"/>
                                </w:rPr>
                              </w:pPr>
                              <w:r>
                                <w:rPr>
                                  <w:rFonts w:hint="eastAsia"/>
                                  <w:color w:val="000000"/>
                                </w:rPr>
                                <w:t>化粪池</w:t>
                              </w:r>
                            </w:p>
                          </w:txbxContent>
                        </v:textbox>
                      </v:rect>
                      <v:shape id="_x0000_s1026" o:spid="_x0000_s1026" o:spt="32" type="#_x0000_t32" style="position:absolute;left:9023;top:4790;height:2081;width:0;" filled="f" stroked="t" coordsize="21600,21600" o:gfxdata="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M7cc&#10;wAAAANsAAAAPAAAAAAAAAAEAIAAAACIAAABkcnMvZG93bnJldi54bWxQSwECFAAUAAAACACHTuJA&#10;My8FnjsAAAA5AAAAEAAAAAAAAAABACAAAAAPAQAAZHJzL3NoYXBleG1sLnhtbFBLBQYAAAAABgAG&#10;AFsBAAC5AwAAAAA=&#10;">
                        <v:fill on="f" focussize="0,0"/>
                        <v:stroke color="#000000" joinstyle="round" startarrowwidth="narrow" startarrowlength="long" endarrow="block" endarrowwidth="narrow" endarrowlength="long"/>
                        <v:imagedata o:title=""/>
                        <o:lock v:ext="edit" aspectratio="f"/>
                      </v:shape>
                      <v:rect id="_x0000_s1026" o:spid="_x0000_s1026" o:spt="1" style="position:absolute;left:7991;top:6871;height:607;width:2064;v-text-anchor:middle;" filled="f" stroked="t" coordsize="21600,21600" o:gfxdata="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J5c68AAAA&#10;2w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pPr>
                                <w:jc w:val="center"/>
                                <w:rPr>
                                  <w:rFonts w:hint="eastAsia"/>
                                  <w:color w:val="000000"/>
                                </w:rPr>
                              </w:pPr>
                              <w:r>
                                <w:rPr>
                                  <w:rFonts w:hint="eastAsia"/>
                                  <w:color w:val="000000"/>
                                </w:rPr>
                                <w:t>镇宁县污水处理厂</w:t>
                              </w:r>
                            </w:p>
                          </w:txbxContent>
                        </v:textbox>
                      </v:rect>
                      <v:shape id="_x0000_s1026" o:spid="_x0000_s1026" o:spt="32" type="#_x0000_t32" style="position:absolute;left:9023;top:7478;height:877;width:0;" filled="f" stroked="t" coordsize="21600,21600" o:gfxdata="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cLce/&#10;AAAA2wAAAA8AAAAAAAAAAQAgAAAAIgAAAGRycy9kb3ducmV2LnhtbFBLAQIUABQAAAAIAIdO4kAz&#10;LwWeOwAAADkAAAAQAAAAAAAAAAEAIAAAAA4BAABkcnMvc2hhcGV4bWwueG1sUEsFBgAAAAAGAAYA&#10;WwEAALgDAAAAAA==&#10;">
                        <v:fill on="f" focussize="0,0"/>
                        <v:stroke color="#000000" joinstyle="round" startarrowwidth="narrow" startarrowlength="long" endarrow="block" endarrowwidth="narrow" endarrowlength="long"/>
                        <v:imagedata o:title=""/>
                        <o:lock v:ext="edit" aspectratio="f"/>
                      </v:shape>
                      <v:shape id="_x0000_s1026" o:spid="_x0000_s1026" o:spt="202" type="#_x0000_t202" style="position:absolute;left:6405;top:3916;height:446;width:819;" fillcolor="#FFFFFF" filled="t" stroked="f" coordsize="21600,21600" o:gfxdata="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xdP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r>
                                <w:rPr>
                                  <w:rFonts w:hint="eastAsia"/>
                                </w:rPr>
                                <w:t>1.47</w:t>
                              </w:r>
                            </w:p>
                          </w:txbxContent>
                        </v:textbox>
                      </v:shape>
                      <v:shape id="_x0000_s1026" o:spid="_x0000_s1026" o:spt="202" type="#_x0000_t202" style="position:absolute;left:8483;top:8310;height:466;width:1246;" fillcolor="#FFFFFF" filled="t" stroked="f" coordsize="21600,21600" o:gfxdata="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3RY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r>
                                <w:rPr>
                                  <w:rFonts w:hint="eastAsia"/>
                                </w:rPr>
                                <w:t>达标排放</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rPr>
                <w:rFonts w:hint="default"/>
                <w:lang w:val="en-US" w:eastAsia="zh-CN"/>
              </w:rPr>
            </w:pPr>
            <w:r>
              <w:rPr>
                <w:rFonts w:hint="eastAsia"/>
                <w:lang w:val="en-US" w:eastAsia="zh-CN"/>
              </w:rPr>
              <w:t>图2-2 项目水平衡图</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项目营运期主要用水为职工生活用水、生产用水主要为地面清洁用水。</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1）生活用水</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根据《贵州省行业用水定额》（DB52/T 725-2011）及《建筑给水排水设计规范》（GB 50015-2003）（2009版），工业企业人员用水定额为（30-50L/人·班），结合本项目实际情况，本项目人员不在厂区食宿，用水量按40L/（人·d）计算，则生活日用水量</w:t>
            </w:r>
            <w:bookmarkStart w:id="2" w:name="_Hlk514145889"/>
            <w:r>
              <w:rPr>
                <w:rFonts w:hint="default" w:ascii="Times New Roman" w:hAnsi="Times New Roman" w:eastAsia="宋体" w:cs="Times New Roman"/>
                <w:sz w:val="24"/>
                <w:szCs w:val="24"/>
              </w:rPr>
              <w:t>1.84m3</w:t>
            </w:r>
            <w:bookmarkEnd w:id="2"/>
            <w:r>
              <w:rPr>
                <w:rFonts w:hint="default" w:ascii="Times New Roman" w:hAnsi="Times New Roman" w:eastAsia="宋体" w:cs="Times New Roman"/>
                <w:sz w:val="24"/>
                <w:szCs w:val="24"/>
              </w:rPr>
              <w:t>/d，年用水量552m3/a。</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2）地面清洁用水</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拟建项目总建筑面积10000m2，根据建设单位提供的资料，厂房地面每周（7d）清洁一次，根据《建筑给水排水设计规范》（GB 50015-2003）（2009版），场地清洗水用水量2-3L/次·m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，由于拟建项目采取拖把保洁方式，不直接冲洗车间地面，故本次环评保洁用水量按标准的10%计，即0.2L/次·m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计算，则地面清洁用水量约为86m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/a，日平均用水量0.29m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3）不可预见水量：按上述用排水总量的10%计。</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4）消防用水</w:t>
            </w:r>
          </w:p>
          <w:p>
            <w:pPr>
              <w:pStyle w:val="19"/>
              <w:keepNext w:val="0"/>
              <w:keepLines w:val="0"/>
              <w:pageBreakBefore w:val="0"/>
              <w:widowControl/>
              <w:kinsoku/>
              <w:wordWrap/>
              <w:overflowPunct/>
              <w:topLinePunct w:val="0"/>
              <w:autoSpaceDE/>
              <w:autoSpaceDN/>
              <w:bidi w:val="0"/>
              <w:adjustRightInd w:val="0"/>
              <w:snapToGrid w:val="0"/>
              <w:spacing w:after="0" w:line="360" w:lineRule="auto"/>
              <w:ind w:firstLine="504"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室外消防最大用水量20L/s（按1h计），室内消防最大用水量15L/s（按1h计），自动喷洒最大用水量20L/s（按1h计），消防总用水量198m3/次（不计入总用水量）。</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综上，拟建项目综合用水量为638m3/a，项目用排水情况见表1-6。</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排水</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本项目采取雨污分流排水体制，管道采取埋设。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雨水：室外、建筑屋面雨水经管道收集后进入园区雨水管网。</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lang w:val="en-US" w:eastAsia="zh-CN"/>
              </w:rPr>
            </w:pPr>
            <w:r>
              <w:rPr>
                <w:rFonts w:hint="default" w:ascii="Times New Roman" w:hAnsi="Times New Roman" w:eastAsia="宋体" w:cs="Times New Roman"/>
                <w:kern w:val="0"/>
                <w:sz w:val="24"/>
                <w:szCs w:val="24"/>
              </w:rPr>
              <w:t>污水：本项目废水主要包含职工生活污水、地面清洁用水，产污系数均按用水量80%计，排放量为1.87m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9028" w:type="dxa"/>
            <w:noWrap w:val="0"/>
            <w:vAlign w:val="top"/>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营运期工艺流程及产污节点：</w:t>
            </w:r>
          </w:p>
          <w:p>
            <w:pPr>
              <w:pStyle w:val="18"/>
              <w:keepNext w:val="0"/>
              <w:keepLines w:val="0"/>
              <w:pageBreakBefore w:val="0"/>
              <w:widowControl w:val="0"/>
              <w:numPr>
                <w:ilvl w:val="0"/>
                <w:numId w:val="4"/>
              </w:numPr>
              <w:kinsoku/>
              <w:wordWrap/>
              <w:overflowPunct/>
              <w:topLinePunct w:val="0"/>
              <w:autoSpaceDE/>
              <w:autoSpaceDN/>
              <w:bidi w:val="0"/>
              <w:adjustRightInd w:val="0"/>
              <w:snapToGrid w:val="0"/>
              <w:spacing w:after="0" w:line="24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运营期工艺流程图及产污节点见图</w:t>
            </w:r>
            <w:r>
              <w:rPr>
                <w:rFonts w:hint="default" w:ascii="Times New Roman" w:hAnsi="Times New Roman" w:eastAsia="宋体" w:cs="Times New Roman"/>
                <w:sz w:val="24"/>
                <w:szCs w:val="24"/>
                <w:lang w:val="en-US" w:eastAsia="zh-CN"/>
              </w:rPr>
              <w:t>2-3</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pPr>
            <w:r>
              <mc:AlternateContent>
                <mc:Choice Requires="wpg">
                  <w:drawing>
                    <wp:inline distT="0" distB="0" distL="114300" distR="114300">
                      <wp:extent cx="4919345" cy="3073400"/>
                      <wp:effectExtent l="0" t="0" r="14605" b="12700"/>
                      <wp:docPr id="75" name="组合 75"/>
                      <wp:cNvGraphicFramePr/>
                      <a:graphic xmlns:a="http://schemas.openxmlformats.org/drawingml/2006/main">
                        <a:graphicData uri="http://schemas.microsoft.com/office/word/2010/wordprocessingGroup">
                          <wpg:wgp>
                            <wpg:cNvGrpSpPr>
                              <a:grpSpLocks noRot="1"/>
                            </wpg:cNvGrpSpPr>
                            <wpg:grpSpPr>
                              <a:xfrm>
                                <a:off x="1238250" y="5842000"/>
                                <a:ext cx="4919345" cy="3073341"/>
                                <a:chOff x="4962" y="9483"/>
                                <a:chExt cx="7747" cy="5340"/>
                              </a:xfrm>
                              <a:effectLst/>
                            </wpg:grpSpPr>
                            <wps:wsp>
                              <wps:cNvPr id="76" name="矩形 1"/>
                              <wps:cNvSpPr/>
                              <wps:spPr>
                                <a:xfrm>
                                  <a:off x="7015" y="9984"/>
                                  <a:ext cx="1381" cy="689"/>
                                </a:xfrm>
                                <a:prstGeom prst="rect">
                                  <a:avLst/>
                                </a:prstGeom>
                                <a:noFill/>
                                <a:ln w="12700" cap="flat" cmpd="sng" algn="ctr">
                                  <a:solidFill>
                                    <a:srgbClr val="000000"/>
                                  </a:solidFill>
                                  <a:prstDash val="solid"/>
                                  <a:miter lim="800000"/>
                                </a:ln>
                                <a:effectLst/>
                              </wps:spPr>
                              <wps:txbx>
                                <w:txbxContent>
                                  <w:p>
                                    <w:pPr>
                                      <w:jc w:val="center"/>
                                      <w:rPr>
                                        <w:rFonts w:hint="eastAsia"/>
                                      </w:rPr>
                                    </w:pPr>
                                    <w:r>
                                      <w:rPr>
                                        <w:rFonts w:hint="eastAsia"/>
                                      </w:rPr>
                                      <w:t>混料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直接箭头连接符 2"/>
                              <wps:cNvCnPr>
                                <a:stCxn id="76" idx="3"/>
                              </wps:cNvCnPr>
                              <wps:spPr>
                                <a:xfrm>
                                  <a:off x="8396" y="10329"/>
                                  <a:ext cx="807" cy="0"/>
                                </a:xfrm>
                                <a:prstGeom prst="straightConnector1">
                                  <a:avLst/>
                                </a:prstGeom>
                                <a:ln>
                                  <a:headEnd type="none" w="sm" len="lg"/>
                                  <a:tailEnd type="triangle" w="sm" len="lg"/>
                                </a:ln>
                              </wps:spPr>
                              <wps:style>
                                <a:lnRef idx="1">
                                  <a:schemeClr val="dk1"/>
                                </a:lnRef>
                                <a:fillRef idx="0">
                                  <a:schemeClr val="dk1"/>
                                </a:fillRef>
                                <a:effectRef idx="0">
                                  <a:schemeClr val="dk1"/>
                                </a:effectRef>
                                <a:fontRef idx="minor">
                                  <a:schemeClr val="tx1"/>
                                </a:fontRef>
                              </wps:style>
                              <wps:bodyPr/>
                            </wps:wsp>
                            <wps:wsp>
                              <wps:cNvPr id="78" name="矩形 6"/>
                              <wps:cNvSpPr/>
                              <wps:spPr>
                                <a:xfrm>
                                  <a:off x="9177" y="9965"/>
                                  <a:ext cx="1381" cy="689"/>
                                </a:xfrm>
                                <a:prstGeom prst="rect">
                                  <a:avLst/>
                                </a:prstGeom>
                                <a:noFill/>
                                <a:ln w="12700" cap="flat" cmpd="sng" algn="ctr">
                                  <a:solidFill>
                                    <a:srgbClr val="000000"/>
                                  </a:solidFill>
                                  <a:prstDash val="solid"/>
                                  <a:miter lim="800000"/>
                                </a:ln>
                                <a:effectLst/>
                              </wps:spPr>
                              <wps:txbx>
                                <w:txbxContent>
                                  <w:p>
                                    <w:pPr>
                                      <w:jc w:val="center"/>
                                      <w:rPr>
                                        <w:rFonts w:hint="eastAsia"/>
                                      </w:rPr>
                                    </w:pPr>
                                    <w:r>
                                      <w:rPr>
                                        <w:rFonts w:hint="eastAsia"/>
                                      </w:rPr>
                                      <w:t>吹膜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直接箭头连接符 7"/>
                              <wps:cNvCnPr>
                                <a:stCxn id="76" idx="3"/>
                              </wps:cNvCnPr>
                              <wps:spPr>
                                <a:xfrm>
                                  <a:off x="10558" y="14483"/>
                                  <a:ext cx="807" cy="0"/>
                                </a:xfrm>
                                <a:prstGeom prst="straightConnector1">
                                  <a:avLst/>
                                </a:prstGeom>
                                <a:ln>
                                  <a:headEnd type="none" w="sm" len="lg"/>
                                  <a:tailEnd type="triangle" w="sm" len="lg"/>
                                </a:ln>
                              </wps:spPr>
                              <wps:style>
                                <a:lnRef idx="1">
                                  <a:schemeClr val="dk1"/>
                                </a:lnRef>
                                <a:fillRef idx="0">
                                  <a:schemeClr val="dk1"/>
                                </a:fillRef>
                                <a:effectRef idx="0">
                                  <a:schemeClr val="dk1"/>
                                </a:effectRef>
                                <a:fontRef idx="minor">
                                  <a:schemeClr val="tx1"/>
                                </a:fontRef>
                              </wps:style>
                              <wps:bodyPr/>
                            </wps:wsp>
                            <wps:wsp>
                              <wps:cNvPr id="3" name="矩形 8"/>
                              <wps:cNvSpPr/>
                              <wps:spPr>
                                <a:xfrm>
                                  <a:off x="9183" y="12741"/>
                                  <a:ext cx="1381" cy="689"/>
                                </a:xfrm>
                                <a:prstGeom prst="rect">
                                  <a:avLst/>
                                </a:prstGeom>
                                <a:noFill/>
                                <a:ln w="12700" cap="flat" cmpd="sng" algn="ctr">
                                  <a:solidFill>
                                    <a:srgbClr val="000000"/>
                                  </a:solidFill>
                                  <a:prstDash val="solid"/>
                                  <a:miter lim="800000"/>
                                </a:ln>
                                <a:effectLst/>
                              </wps:spPr>
                              <wps:txbx>
                                <w:txbxContent>
                                  <w:p>
                                    <w:pPr>
                                      <w:jc w:val="center"/>
                                      <w:rPr>
                                        <w:rFonts w:hint="eastAsia"/>
                                      </w:rPr>
                                    </w:pPr>
                                    <w:r>
                                      <w:rPr>
                                        <w:rFonts w:hint="eastAsia"/>
                                      </w:rPr>
                                      <w:t>切袋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直接箭头连接符 12"/>
                              <wps:cNvCnPr>
                                <a:stCxn id="76" idx="3"/>
                              </wps:cNvCnPr>
                              <wps:spPr>
                                <a:xfrm flipH="1">
                                  <a:off x="9868" y="10662"/>
                                  <a:ext cx="7" cy="714"/>
                                </a:xfrm>
                                <a:prstGeom prst="straightConnector1">
                                  <a:avLst/>
                                </a:prstGeom>
                                <a:ln>
                                  <a:headEnd type="none" w="sm" len="lg"/>
                                  <a:tailEnd type="triangle" w="sm" len="lg"/>
                                </a:ln>
                              </wps:spPr>
                              <wps:style>
                                <a:lnRef idx="1">
                                  <a:schemeClr val="dk1"/>
                                </a:lnRef>
                                <a:fillRef idx="0">
                                  <a:schemeClr val="dk1"/>
                                </a:fillRef>
                                <a:effectRef idx="0">
                                  <a:schemeClr val="dk1"/>
                                </a:effectRef>
                                <a:fontRef idx="minor">
                                  <a:schemeClr val="tx1"/>
                                </a:fontRef>
                              </wps:style>
                              <wps:bodyPr/>
                            </wps:wsp>
                            <wps:wsp>
                              <wps:cNvPr id="81" name="矩形 13"/>
                              <wps:cNvSpPr/>
                              <wps:spPr>
                                <a:xfrm>
                                  <a:off x="9191" y="11369"/>
                                  <a:ext cx="1381" cy="689"/>
                                </a:xfrm>
                                <a:prstGeom prst="rect">
                                  <a:avLst/>
                                </a:prstGeom>
                                <a:noFill/>
                                <a:ln w="12700" cap="flat" cmpd="sng" algn="ctr">
                                  <a:solidFill>
                                    <a:srgbClr val="000000"/>
                                  </a:solidFill>
                                  <a:prstDash val="solid"/>
                                  <a:miter lim="800000"/>
                                </a:ln>
                                <a:effectLst/>
                              </wps:spPr>
                              <wps:txbx>
                                <w:txbxContent>
                                  <w:p>
                                    <w:pPr>
                                      <w:jc w:val="center"/>
                                      <w:rPr>
                                        <w:rFonts w:hint="eastAsia"/>
                                      </w:rPr>
                                    </w:pPr>
                                    <w:r>
                                      <w:rPr>
                                        <w:rFonts w:hint="eastAsia"/>
                                      </w:rPr>
                                      <w:t>印刷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14"/>
                              <wps:cNvCnPr>
                                <a:stCxn id="76" idx="3"/>
                              </wps:cNvCnPr>
                              <wps:spPr>
                                <a:xfrm flipH="1">
                                  <a:off x="9876" y="12048"/>
                                  <a:ext cx="7" cy="714"/>
                                </a:xfrm>
                                <a:prstGeom prst="straightConnector1">
                                  <a:avLst/>
                                </a:prstGeom>
                                <a:ln>
                                  <a:headEnd type="none" w="sm" len="lg"/>
                                  <a:tailEnd type="triangle" w="sm" len="lg"/>
                                </a:ln>
                              </wps:spPr>
                              <wps:style>
                                <a:lnRef idx="1">
                                  <a:schemeClr val="dk1"/>
                                </a:lnRef>
                                <a:fillRef idx="0">
                                  <a:schemeClr val="dk1"/>
                                </a:fillRef>
                                <a:effectRef idx="0">
                                  <a:schemeClr val="dk1"/>
                                </a:effectRef>
                                <a:fontRef idx="minor">
                                  <a:schemeClr val="tx1"/>
                                </a:fontRef>
                              </wps:style>
                              <wps:bodyPr/>
                            </wps:wsp>
                            <wps:wsp>
                              <wps:cNvPr id="83" name="直接箭头连接符 15"/>
                              <wps:cNvCnPr>
                                <a:stCxn id="76" idx="3"/>
                              </wps:cNvCnPr>
                              <wps:spPr>
                                <a:xfrm flipH="1">
                                  <a:off x="9870" y="13433"/>
                                  <a:ext cx="7" cy="714"/>
                                </a:xfrm>
                                <a:prstGeom prst="straightConnector1">
                                  <a:avLst/>
                                </a:prstGeom>
                                <a:ln>
                                  <a:headEnd type="none" w="sm" len="lg"/>
                                  <a:tailEnd type="triangle" w="sm" len="lg"/>
                                </a:ln>
                              </wps:spPr>
                              <wps:style>
                                <a:lnRef idx="1">
                                  <a:schemeClr val="dk1"/>
                                </a:lnRef>
                                <a:fillRef idx="0">
                                  <a:schemeClr val="dk1"/>
                                </a:fillRef>
                                <a:effectRef idx="0">
                                  <a:schemeClr val="dk1"/>
                                </a:effectRef>
                                <a:fontRef idx="minor">
                                  <a:schemeClr val="tx1"/>
                                </a:fontRef>
                              </wps:style>
                              <wps:bodyPr/>
                            </wps:wsp>
                            <wps:wsp>
                              <wps:cNvPr id="84" name="矩形 16"/>
                              <wps:cNvSpPr/>
                              <wps:spPr>
                                <a:xfrm>
                                  <a:off x="9178" y="14113"/>
                                  <a:ext cx="1381" cy="689"/>
                                </a:xfrm>
                                <a:prstGeom prst="rect">
                                  <a:avLst/>
                                </a:prstGeom>
                                <a:noFill/>
                                <a:ln w="12700" cap="flat" cmpd="sng" algn="ctr">
                                  <a:solidFill>
                                    <a:srgbClr val="000000"/>
                                  </a:solidFill>
                                  <a:prstDash val="solid"/>
                                  <a:miter lim="800000"/>
                                </a:ln>
                                <a:effectLst/>
                              </wps:spPr>
                              <wps:txbx>
                                <w:txbxContent>
                                  <w:p>
                                    <w:pPr>
                                      <w:jc w:val="center"/>
                                      <w:rPr>
                                        <w:rFonts w:hint="eastAsia"/>
                                      </w:rPr>
                                    </w:pPr>
                                    <w:r>
                                      <w:rPr>
                                        <w:rFonts w:hint="eastAsia"/>
                                      </w:rPr>
                                      <w:t>切角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矩形 17"/>
                              <wps:cNvSpPr/>
                              <wps:spPr>
                                <a:xfrm>
                                  <a:off x="11328" y="14134"/>
                                  <a:ext cx="1381" cy="689"/>
                                </a:xfrm>
                                <a:prstGeom prst="rect">
                                  <a:avLst/>
                                </a:prstGeom>
                                <a:noFill/>
                                <a:ln w="12700" cap="flat" cmpd="sng" algn="ctr">
                                  <a:solidFill>
                                    <a:sysClr val="windowText" lastClr="000000"/>
                                  </a:solidFill>
                                  <a:prstDash val="solid"/>
                                  <a:miter lim="800000"/>
                                </a:ln>
                                <a:effectLst/>
                              </wps:spPr>
                              <wps:txbx>
                                <w:txbxContent>
                                  <w:p>
                                    <w:pPr>
                                      <w:jc w:val="center"/>
                                      <w:rPr>
                                        <w:rFonts w:hint="eastAsia"/>
                                      </w:rPr>
                                    </w:pPr>
                                    <w:r>
                                      <w:rPr>
                                        <w:rFonts w:hint="eastAsia"/>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直接箭头连接符 18"/>
                              <wps:cNvCnPr>
                                <a:stCxn id="76" idx="3"/>
                              </wps:cNvCnPr>
                              <wps:spPr>
                                <a:xfrm>
                                  <a:off x="6503" y="10337"/>
                                  <a:ext cx="527" cy="0"/>
                                </a:xfrm>
                                <a:prstGeom prst="straightConnector1">
                                  <a:avLst/>
                                </a:prstGeom>
                                <a:ln>
                                  <a:headEnd type="none" w="sm" len="lg"/>
                                  <a:tailEnd type="triangle" w="sm" len="lg"/>
                                </a:ln>
                              </wps:spPr>
                              <wps:style>
                                <a:lnRef idx="1">
                                  <a:schemeClr val="dk1"/>
                                </a:lnRef>
                                <a:fillRef idx="0">
                                  <a:schemeClr val="dk1"/>
                                </a:fillRef>
                                <a:effectRef idx="0">
                                  <a:schemeClr val="dk1"/>
                                </a:effectRef>
                                <a:fontRef idx="minor">
                                  <a:schemeClr val="tx1"/>
                                </a:fontRef>
                              </wps:style>
                              <wps:bodyPr/>
                            </wps:wsp>
                            <wps:wsp>
                              <wps:cNvPr id="87" name="文本框 19"/>
                              <wps:cNvSpPr txBox="1"/>
                              <wps:spPr>
                                <a:xfrm>
                                  <a:off x="4962" y="9483"/>
                                  <a:ext cx="1541" cy="2223"/>
                                </a:xfrm>
                                <a:prstGeom prst="rect">
                                  <a:avLst/>
                                </a:prstGeom>
                                <a:solidFill>
                                  <a:srgbClr val="FFFFFF"/>
                                </a:solidFill>
                                <a:ln w="6350">
                                  <a:noFill/>
                                </a:ln>
                                <a:effectLst/>
                              </wps:spPr>
                              <wps:txbx>
                                <w:txbxContent>
                                  <w:p>
                                    <w:pPr>
                                      <w:rPr>
                                        <w:rFonts w:hint="eastAsia"/>
                                      </w:rPr>
                                    </w:pPr>
                                    <w:r>
                                      <w:rPr>
                                        <w:rFonts w:hint="eastAsia"/>
                                      </w:rPr>
                                      <w:t>LDPE</w:t>
                                    </w:r>
                                  </w:p>
                                  <w:p>
                                    <w:pPr>
                                      <w:rPr>
                                        <w:rFonts w:hint="eastAsia"/>
                                      </w:rPr>
                                    </w:pPr>
                                    <w:r>
                                      <w:rPr>
                                        <w:rFonts w:hint="eastAsia"/>
                                      </w:rPr>
                                      <w:t>RLH可降解母粒</w:t>
                                    </w:r>
                                  </w:p>
                                  <w:p>
                                    <w:pPr>
                                      <w:rPr>
                                        <w:rFonts w:hint="eastAsia"/>
                                      </w:rPr>
                                    </w:pPr>
                                    <w:r>
                                      <w:rPr>
                                        <w:rFonts w:hint="eastAsia"/>
                                      </w:rPr>
                                      <w:t>PE色母</w:t>
                                    </w:r>
                                  </w:p>
                                  <w:p>
                                    <w:r>
                                      <w:rPr>
                                        <w:rFonts w:hint="eastAsia"/>
                                      </w:rPr>
                                      <w:t>回收料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直接箭头连接符 20"/>
                              <wps:cNvCnPr>
                                <a:stCxn id="76" idx="3"/>
                              </wps:cNvCnPr>
                              <wps:spPr>
                                <a:xfrm>
                                  <a:off x="10573" y="10310"/>
                                  <a:ext cx="807" cy="0"/>
                                </a:xfrm>
                                <a:prstGeom prst="straightConnector1">
                                  <a:avLst/>
                                </a:prstGeom>
                                <a:noFill/>
                                <a:ln w="6350" cap="flat" cmpd="sng" algn="ctr">
                                  <a:solidFill>
                                    <a:srgbClr val="000000"/>
                                  </a:solidFill>
                                  <a:prstDash val="dash"/>
                                  <a:miter lim="800000"/>
                                  <a:headEnd type="none" w="sm" len="lg"/>
                                  <a:tailEnd type="triangle" w="sm" len="lg"/>
                                </a:ln>
                                <a:effectLst/>
                              </wps:spPr>
                              <wps:bodyPr/>
                            </wps:wsp>
                            <wps:wsp>
                              <wps:cNvPr id="89" name="直接箭头连接符 21"/>
                              <wps:cNvCnPr>
                                <a:stCxn id="76" idx="3"/>
                              </wps:cNvCnPr>
                              <wps:spPr>
                                <a:xfrm>
                                  <a:off x="10568" y="11695"/>
                                  <a:ext cx="807" cy="0"/>
                                </a:xfrm>
                                <a:prstGeom prst="straightConnector1">
                                  <a:avLst/>
                                </a:prstGeom>
                                <a:noFill/>
                                <a:ln w="6350" cap="flat" cmpd="sng" algn="ctr">
                                  <a:solidFill>
                                    <a:srgbClr val="000000"/>
                                  </a:solidFill>
                                  <a:prstDash val="dash"/>
                                  <a:miter lim="800000"/>
                                  <a:headEnd type="none" w="sm" len="lg"/>
                                  <a:tailEnd type="triangle" w="sm" len="lg"/>
                                </a:ln>
                                <a:effectLst/>
                              </wps:spPr>
                              <wps:bodyPr/>
                            </wps:wsp>
                            <wps:wsp>
                              <wps:cNvPr id="90" name="直接箭头连接符 24"/>
                              <wps:cNvCnPr>
                                <a:stCxn id="76" idx="3"/>
                              </wps:cNvCnPr>
                              <wps:spPr>
                                <a:xfrm flipH="1">
                                  <a:off x="8385" y="14493"/>
                                  <a:ext cx="777" cy="0"/>
                                </a:xfrm>
                                <a:prstGeom prst="straightConnector1">
                                  <a:avLst/>
                                </a:prstGeom>
                                <a:ln w="12700" cmpd="sng">
                                  <a:solidFill>
                                    <a:schemeClr val="tx1"/>
                                  </a:solidFill>
                                  <a:prstDash val="lgDash"/>
                                  <a:headEnd type="none" w="sm" len="lg"/>
                                  <a:tailEnd type="triangle" w="sm" len="lg"/>
                                </a:ln>
                              </wps:spPr>
                              <wps:style>
                                <a:lnRef idx="1">
                                  <a:schemeClr val="dk1"/>
                                </a:lnRef>
                                <a:fillRef idx="0">
                                  <a:schemeClr val="dk1"/>
                                </a:fillRef>
                                <a:effectRef idx="0">
                                  <a:schemeClr val="dk1"/>
                                </a:effectRef>
                                <a:fontRef idx="minor">
                                  <a:schemeClr val="tx1"/>
                                </a:fontRef>
                              </wps:style>
                              <wps:bodyPr/>
                            </wps:wsp>
                            <wps:wsp>
                              <wps:cNvPr id="91" name="文本框 26"/>
                              <wps:cNvSpPr txBox="1"/>
                              <wps:spPr>
                                <a:xfrm>
                                  <a:off x="11439" y="10102"/>
                                  <a:ext cx="846" cy="505"/>
                                </a:xfrm>
                                <a:prstGeom prst="rect">
                                  <a:avLst/>
                                </a:prstGeom>
                                <a:solidFill>
                                  <a:srgbClr val="FFFFFF"/>
                                </a:solidFill>
                                <a:ln w="6350">
                                  <a:noFill/>
                                </a:ln>
                                <a:effectLst/>
                              </wps:spPr>
                              <wps:txbx>
                                <w:txbxContent>
                                  <w:p>
                                    <w:r>
                                      <w:rPr>
                                        <w:rFonts w:hint="eastAsia"/>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27"/>
                              <wps:cNvSpPr txBox="1"/>
                              <wps:spPr>
                                <a:xfrm>
                                  <a:off x="11461" y="11447"/>
                                  <a:ext cx="846" cy="505"/>
                                </a:xfrm>
                                <a:prstGeom prst="rect">
                                  <a:avLst/>
                                </a:prstGeom>
                                <a:solidFill>
                                  <a:srgbClr val="FFFFFF"/>
                                </a:solidFill>
                                <a:ln w="6350">
                                  <a:noFill/>
                                </a:ln>
                                <a:effectLst/>
                              </wps:spPr>
                              <wps:txbx>
                                <w:txbxContent>
                                  <w:p>
                                    <w:r>
                                      <w:rPr>
                                        <w:rFonts w:hint="eastAsia"/>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28"/>
                              <wps:cNvSpPr txBox="1"/>
                              <wps:spPr>
                                <a:xfrm>
                                  <a:off x="7344" y="14256"/>
                                  <a:ext cx="1023" cy="505"/>
                                </a:xfrm>
                                <a:prstGeom prst="rect">
                                  <a:avLst/>
                                </a:prstGeom>
                                <a:solidFill>
                                  <a:srgbClr val="FFFFFF"/>
                                </a:solidFill>
                                <a:ln w="6350">
                                  <a:noFill/>
                                </a:ln>
                                <a:effectLst/>
                              </wps:spPr>
                              <wps:txbx>
                                <w:txbxContent>
                                  <w:p>
                                    <w:r>
                                      <w:rPr>
                                        <w:rFonts w:hint="eastAsia"/>
                                      </w:rPr>
                                      <w:t>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242pt;width:387.35pt;" coordorigin="4962,9483" coordsize="7747,5340" o:gfxdata="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">
                      <o:lock v:ext="edit" rotation="t" aspectratio="f"/>
                      <v:rect id="矩形 1" o:spid="_x0000_s1026" o:spt="1" style="position:absolute;left:7015;top:9984;height:689;width:1381;v-text-anchor:middle;" filled="f" stroked="t" coordsize="21600,21600" o:gfxdata="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kZS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rPr>
                              </w:pPr>
                              <w:r>
                                <w:rPr>
                                  <w:rFonts w:hint="eastAsia"/>
                                </w:rPr>
                                <w:t>混料</w:t>
                              </w:r>
                            </w:p>
                          </w:txbxContent>
                        </v:textbox>
                      </v:rect>
                      <v:shape id="直接箭头连接符 2" o:spid="_x0000_s1026" o:spt="32" type="#_x0000_t32" style="position:absolute;left:8396;top:10329;height:0;width:807;" filled="f" stroked="t" coordsize="21600,21600" o:gfxdata="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pF2gvQAA&#10;ANsAAAAPAAAAAAAAAAEAIAAAACIAAABkcnMvZG93bnJldi54bWxQSwECFAAUAAAACACHTuJAMy8F&#10;njsAAAA5AAAAEAAAAAAAAAABACAAAAAMAQAAZHJzL3NoYXBleG1sLnhtbFBLBQYAAAAABgAGAFsB&#10;AAC2AwAAAAA=&#10;">
                        <v:fill on="f" focussize="0,0"/>
                        <v:stroke weight="0.5pt" color="#000000 [3200]" miterlimit="8" joinstyle="miter" startarrowwidth="narrow" startarrowlength="long" endarrow="block" endarrowwidth="narrow" endarrowlength="long"/>
                        <v:imagedata o:title=""/>
                        <o:lock v:ext="edit" aspectratio="f"/>
                      </v:shape>
                      <v:rect id="矩形 6" o:spid="_x0000_s1026" o:spt="1" style="position:absolute;left:9177;top:9965;height:689;width:1381;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rPr>
                              </w:pPr>
                              <w:r>
                                <w:rPr>
                                  <w:rFonts w:hint="eastAsia"/>
                                </w:rPr>
                                <w:t>吹膜</w:t>
                              </w:r>
                            </w:p>
                          </w:txbxContent>
                        </v:textbox>
                      </v:rect>
                      <v:shape id="直接箭头连接符 7" o:spid="_x0000_s1026" o:spt="32" type="#_x0000_t32" style="position:absolute;left:10558;top:14483;height:0;width:807;" filled="f" stroked="t" coordsize="21600,21600" o:gfxdata="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2xJvQAA&#10;ANsAAAAPAAAAAAAAAAEAIAAAACIAAABkcnMvZG93bnJldi54bWxQSwECFAAUAAAACACHTuJAMy8F&#10;njsAAAA5AAAAEAAAAAAAAAABACAAAAAMAQAAZHJzL3NoYXBleG1sLnhtbFBLBQYAAAAABgAGAFsB&#10;AAC2AwAAAAA=&#10;">
                        <v:fill on="f" focussize="0,0"/>
                        <v:stroke weight="0.5pt" color="#000000 [3200]" miterlimit="8" joinstyle="miter" startarrowwidth="narrow" startarrowlength="long" endarrow="block" endarrowwidth="narrow" endarrowlength="long"/>
                        <v:imagedata o:title=""/>
                        <o:lock v:ext="edit" aspectratio="f"/>
                      </v:shape>
                      <v:rect id="矩形 8" o:spid="_x0000_s1026" o:spt="1" style="position:absolute;left:9183;top:12741;height:689;width:1381;v-text-anchor:middle;" filled="f" stroked="t" coordsize="21600,21600" o:gfxdata="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r/a8AAAA&#10;2g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rPr>
                              </w:pPr>
                              <w:r>
                                <w:rPr>
                                  <w:rFonts w:hint="eastAsia"/>
                                </w:rPr>
                                <w:t>切袋</w:t>
                              </w:r>
                            </w:p>
                          </w:txbxContent>
                        </v:textbox>
                      </v:rect>
                      <v:shape id="直接箭头连接符 12" o:spid="_x0000_s1026" o:spt="32" type="#_x0000_t32" style="position:absolute;left:9868;top:10662;flip:x;height:714;width:7;" filled="f" stroked="t" coordsize="21600,21600" o:gfxdata="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27eRK5AAAA2wAA&#10;AA8AAAAAAAAAAQAgAAAAIgAAAGRycy9kb3ducmV2LnhtbFBLAQIUABQAAAAIAIdO4kAzLwWeOwAA&#10;ADkAAAAQAAAAAAAAAAEAIAAAAAgBAABkcnMvc2hhcGV4bWwueG1sUEsFBgAAAAAGAAYAWwEAALID&#10;AAAAAA==&#10;">
                        <v:fill on="f" focussize="0,0"/>
                        <v:stroke weight="0.5pt" color="#000000 [3200]" miterlimit="8" joinstyle="miter" startarrowwidth="narrow" startarrowlength="long" endarrow="block" endarrowwidth="narrow" endarrowlength="long"/>
                        <v:imagedata o:title=""/>
                        <o:lock v:ext="edit" aspectratio="f"/>
                      </v:shape>
                      <v:rect id="矩形 13" o:spid="_x0000_s1026" o:spt="1" style="position:absolute;left:9191;top:11369;height:689;width:1381;v-text-anchor:middle;" filled="f" stroked="t" coordsize="21600,21600" o:gfxdata="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q4B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rPr>
                              </w:pPr>
                              <w:r>
                                <w:rPr>
                                  <w:rFonts w:hint="eastAsia"/>
                                </w:rPr>
                                <w:t>印刷</w:t>
                              </w:r>
                            </w:p>
                          </w:txbxContent>
                        </v:textbox>
                      </v:rect>
                      <v:shape id="直接箭头连接符 14" o:spid="_x0000_s1026" o:spt="32" type="#_x0000_t32" style="position:absolute;left:9876;top:12048;flip:x;height:714;width:7;" filled="f" stroked="t" coordsize="21600,21600" o:gfxdata="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VC/rsAAADb&#10;AAAADwAAAAAAAAABACAAAAAiAAAAZHJzL2Rvd25yZXYueG1sUEsBAhQAFAAAAAgAh07iQDMvBZ47&#10;AAAAOQAAABAAAAAAAAAAAQAgAAAACgEAAGRycy9zaGFwZXhtbC54bWxQSwUGAAAAAAYABgBbAQAA&#10;tAMAAAAA&#10;">
                        <v:fill on="f" focussize="0,0"/>
                        <v:stroke weight="0.5pt" color="#000000 [3200]" miterlimit="8" joinstyle="miter" startarrowwidth="narrow" startarrowlength="long" endarrow="block" endarrowwidth="narrow" endarrowlength="long"/>
                        <v:imagedata o:title=""/>
                        <o:lock v:ext="edit" aspectratio="f"/>
                      </v:shape>
                      <v:shape id="直接箭头连接符 15" o:spid="_x0000_s1026" o:spt="32" type="#_x0000_t32" style="position:absolute;left:9870;top:13433;flip:x;height:714;width:7;" filled="f" stroked="t" coordsize="21600,21600" o:gfxdata="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p52W8AAAA&#10;2wAAAA8AAAAAAAAAAQAgAAAAIgAAAGRycy9kb3ducmV2LnhtbFBLAQIUABQAAAAIAIdO4kAzLwWe&#10;OwAAADkAAAAQAAAAAAAAAAEAIAAAAAsBAABkcnMvc2hhcGV4bWwueG1sUEsFBgAAAAAGAAYAWwEA&#10;ALUDAAAAAA==&#10;">
                        <v:fill on="f" focussize="0,0"/>
                        <v:stroke weight="0.5pt" color="#000000 [3200]" miterlimit="8" joinstyle="miter" startarrowwidth="narrow" startarrowlength="long" endarrow="block" endarrowwidth="narrow" endarrowlength="long"/>
                        <v:imagedata o:title=""/>
                        <o:lock v:ext="edit" aspectratio="f"/>
                      </v:shape>
                      <v:rect id="矩形 16" o:spid="_x0000_s1026" o:spt="1" style="position:absolute;left:9178;top:14113;height:689;width:1381;v-text-anchor:middle;" filled="f" stroked="t" coordsize="21600,21600" o:gfxdata="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kNm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jc w:val="center"/>
                                <w:rPr>
                                  <w:rFonts w:hint="eastAsia"/>
                                </w:rPr>
                              </w:pPr>
                              <w:r>
                                <w:rPr>
                                  <w:rFonts w:hint="eastAsia"/>
                                </w:rPr>
                                <w:t>切角</w:t>
                              </w:r>
                            </w:p>
                          </w:txbxContent>
                        </v:textbox>
                      </v:rect>
                      <v:rect id="矩形 17" o:spid="_x0000_s1026" o:spt="1" style="position:absolute;left:11328;top:14134;height:689;width:1381;v-text-anchor:middle;" filled="f" stroked="t" coordsize="21600,21600" o:gfxdata="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gC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rPr>
                              </w:pPr>
                              <w:r>
                                <w:rPr>
                                  <w:rFonts w:hint="eastAsia"/>
                                </w:rPr>
                                <w:t>包装</w:t>
                              </w:r>
                            </w:p>
                          </w:txbxContent>
                        </v:textbox>
                      </v:rect>
                      <v:shape id="直接箭头连接符 18" o:spid="_x0000_s1026" o:spt="32" type="#_x0000_t32" style="position:absolute;left:6503;top:10337;height:0;width:527;" filled="f" stroked="t" coordsize="21600,21600" o:gfxdata="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YgcvQAA&#10;ANsAAAAPAAAAAAAAAAEAIAAAACIAAABkcnMvZG93bnJldi54bWxQSwECFAAUAAAACACHTuJAMy8F&#10;njsAAAA5AAAAEAAAAAAAAAABACAAAAAMAQAAZHJzL3NoYXBleG1sLnhtbFBLBQYAAAAABgAGAFsB&#10;AAC2AwAAAAA=&#10;">
                        <v:fill on="f" focussize="0,0"/>
                        <v:stroke weight="0.5pt" color="#000000 [3200]" miterlimit="8" joinstyle="miter" startarrowwidth="narrow" startarrowlength="long" endarrow="block" endarrowwidth="narrow" endarrowlength="long"/>
                        <v:imagedata o:title=""/>
                        <o:lock v:ext="edit" aspectratio="f"/>
                      </v:shape>
                      <v:shape id="文本框 19" o:spid="_x0000_s1026" o:spt="202" type="#_x0000_t202" style="position:absolute;left:4962;top:9483;height:2223;width:1541;" fillcolor="#FFFFFF" filled="t" stroked="f" coordsize="21600,21600" o:gfxdata="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Tp0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rPr>
                              </w:pPr>
                              <w:r>
                                <w:rPr>
                                  <w:rFonts w:hint="eastAsia"/>
                                </w:rPr>
                                <w:t>LDPE</w:t>
                              </w:r>
                            </w:p>
                            <w:p>
                              <w:pPr>
                                <w:rPr>
                                  <w:rFonts w:hint="eastAsia"/>
                                </w:rPr>
                              </w:pPr>
                              <w:r>
                                <w:rPr>
                                  <w:rFonts w:hint="eastAsia"/>
                                </w:rPr>
                                <w:t>RLH可降解母粒</w:t>
                              </w:r>
                            </w:p>
                            <w:p>
                              <w:pPr>
                                <w:rPr>
                                  <w:rFonts w:hint="eastAsia"/>
                                </w:rPr>
                              </w:pPr>
                              <w:r>
                                <w:rPr>
                                  <w:rFonts w:hint="eastAsia"/>
                                </w:rPr>
                                <w:t>PE色母</w:t>
                              </w:r>
                            </w:p>
                            <w:p>
                              <w:r>
                                <w:rPr>
                                  <w:rFonts w:hint="eastAsia"/>
                                </w:rPr>
                                <w:t>回收料</w:t>
                              </w:r>
                            </w:p>
                          </w:txbxContent>
                        </v:textbox>
                      </v:shape>
                      <v:shape id="直接箭头连接符 20" o:spid="_x0000_s1026" o:spt="32" type="#_x0000_t32" style="position:absolute;left:10573;top:10310;height:0;width:807;" filled="f" stroked="t" coordsize="21600,21600" o:gfxdata="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20w7i5AAAA2wAA&#10;AA8AAAAAAAAAAQAgAAAAIgAAAGRycy9kb3ducmV2LnhtbFBLAQIUABQAAAAIAIdO4kAzLwWeOwAA&#10;ADkAAAAQAAAAAAAAAAEAIAAAAAgBAABkcnMvc2hhcGV4bWwueG1sUEsFBgAAAAAGAAYAWwEAALID&#10;AAAAAA==&#10;">
                        <v:fill on="f" focussize="0,0"/>
                        <v:stroke weight="0.5pt" color="#000000" miterlimit="8" joinstyle="miter" dashstyle="dash" startarrowwidth="narrow" startarrowlength="long" endarrow="block" endarrowwidth="narrow" endarrowlength="long"/>
                        <v:imagedata o:title=""/>
                        <o:lock v:ext="edit" aspectratio="f"/>
                      </v:shape>
                      <v:shape id="直接箭头连接符 21" o:spid="_x0000_s1026" o:spt="32" type="#_x0000_t32" style="position:absolute;left:10568;top:11695;height:0;width:807;" filled="f" stroked="t" coordsize="21600,21600" o:gfxdata="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YjvQAA&#10;ANsAAAAPAAAAAAAAAAEAIAAAACIAAABkcnMvZG93bnJldi54bWxQSwECFAAUAAAACACHTuJAMy8F&#10;njsAAAA5AAAAEAAAAAAAAAABACAAAAAMAQAAZHJzL3NoYXBleG1sLnhtbFBLBQYAAAAABgAGAFsB&#10;AAC2AwAAAAA=&#10;">
                        <v:fill on="f" focussize="0,0"/>
                        <v:stroke weight="0.5pt" color="#000000" miterlimit="8" joinstyle="miter" dashstyle="dash" startarrowwidth="narrow" startarrowlength="long" endarrow="block" endarrowwidth="narrow" endarrowlength="long"/>
                        <v:imagedata o:title=""/>
                        <o:lock v:ext="edit" aspectratio="f"/>
                      </v:shape>
                      <v:shape id="直接箭头连接符 24" o:spid="_x0000_s1026" o:spt="32" type="#_x0000_t32" style="position:absolute;left:8385;top:14493;flip:x;height:0;width:777;" filled="f" stroked="t" coordsize="21600,21600" o:gfxdata="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RQdC5AAAA2wAA&#10;AA8AAAAAAAAAAQAgAAAAIgAAAGRycy9kb3ducmV2LnhtbFBLAQIUABQAAAAIAIdO4kAzLwWeOwAA&#10;ADkAAAAQAAAAAAAAAAEAIAAAAAgBAABkcnMvc2hhcGV4bWwueG1sUEsFBgAAAAAGAAYAWwEAALID&#10;AAAAAA==&#10;">
                        <v:fill on="f" focussize="0,0"/>
                        <v:stroke weight="1pt" color="#000000 [3213]" miterlimit="8" joinstyle="miter" dashstyle="longDash" startarrowwidth="narrow" startarrowlength="long" endarrow="block" endarrowwidth="narrow" endarrowlength="long"/>
                        <v:imagedata o:title=""/>
                        <o:lock v:ext="edit" aspectratio="f"/>
                      </v:shape>
                      <v:shape id="文本框 26" o:spid="_x0000_s1026" o:spt="202" type="#_x0000_t202" style="position:absolute;left:11439;top:10102;height:505;width:846;" fillcolor="#FFFFFF" filled="t" stroked="f" coordsize="21600,21600" o:gfxdata="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8Md7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r>
                                <w:rPr>
                                  <w:rFonts w:hint="eastAsia"/>
                                </w:rPr>
                                <w:t>废气</w:t>
                              </w:r>
                            </w:p>
                          </w:txbxContent>
                        </v:textbox>
                      </v:shape>
                      <v:shape id="文本框 27" o:spid="_x0000_s1026" o:spt="202" type="#_x0000_t202" style="position:absolute;left:11461;top:11447;height:505;width:846;" fillcolor="#FFFFFF" filled="t" stroked="f" coordsize="21600,21600" o:gfxdata="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9kgC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r>
                                <w:rPr>
                                  <w:rFonts w:hint="eastAsia"/>
                                </w:rPr>
                                <w:t>废气</w:t>
                              </w:r>
                            </w:p>
                          </w:txbxContent>
                        </v:textbox>
                      </v:shape>
                      <v:shape id="文本框 28" o:spid="_x0000_s1026" o:spt="202" type="#_x0000_t202" style="position:absolute;left:7344;top:14256;height:505;width:1023;" fillcolor="#FFFFFF" filled="t" stroked="f" coordsize="21600,21600" o:gfxdata="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3m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r>
                                <w:rPr>
                                  <w:rFonts w:hint="eastAsia"/>
                                </w:rPr>
                                <w:t>边角料</w:t>
                              </w:r>
                            </w:p>
                          </w:txbxContent>
                        </v:textbox>
                      </v:shape>
                      <w10:wrap type="none"/>
                      <w10:anchorlock/>
                    </v:group>
                  </w:pict>
                </mc:Fallback>
              </mc:AlternateConten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mc:AlternateContent>
                <mc:Choice Requires="wpg">
                  <w:drawing>
                    <wp:inline distT="0" distB="0" distL="114300" distR="114300">
                      <wp:extent cx="5643880" cy="1223010"/>
                      <wp:effectExtent l="0" t="0" r="59690" b="50800"/>
                      <wp:docPr id="94" name="组合 94"/>
                      <wp:cNvGraphicFramePr/>
                      <a:graphic xmlns:a="http://schemas.openxmlformats.org/drawingml/2006/main">
                        <a:graphicData uri="http://schemas.microsoft.com/office/word/2010/wordprocessingGroup">
                          <wpg:wgp>
                            <wpg:cNvGrpSpPr>
                              <a:grpSpLocks noRot="1"/>
                            </wpg:cNvGrpSpPr>
                            <wpg:grpSpPr>
                              <a:xfrm>
                                <a:off x="866140" y="1033145"/>
                                <a:ext cx="5643880" cy="1223010"/>
                                <a:chOff x="2604" y="19031"/>
                                <a:chExt cx="8888" cy="1926"/>
                              </a:xfrm>
                              <a:effectLst/>
                            </wpg:grpSpPr>
                            <wps:wsp>
                              <wps:cNvPr id="95" name="矩形 42"/>
                              <wps:cNvSpPr/>
                              <wps:spPr>
                                <a:xfrm>
                                  <a:off x="4147" y="20261"/>
                                  <a:ext cx="1381" cy="689"/>
                                </a:xfrm>
                                <a:prstGeom prst="rect">
                                  <a:avLst/>
                                </a:prstGeom>
                                <a:noFill/>
                                <a:ln w="12700" cap="flat" cmpd="sng" algn="ctr">
                                  <a:solidFill>
                                    <a:srgbClr val="000000"/>
                                  </a:solidFill>
                                  <a:prstDash val="solid"/>
                                  <a:miter lim="800000"/>
                                </a:ln>
                                <a:effectLst/>
                              </wps:spPr>
                              <wps:txbx>
                                <w:txbxContent>
                                  <w:p>
                                    <w:pPr>
                                      <w:jc w:val="center"/>
                                    </w:pPr>
                                    <w:r>
                                      <w:rPr>
                                        <w:rFonts w:hint="eastAsia"/>
                                      </w:rPr>
                                      <w:t>挤出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直接箭头连接符 57"/>
                              <wps:cNvCnPr/>
                              <wps:spPr>
                                <a:xfrm>
                                  <a:off x="5533" y="20646"/>
                                  <a:ext cx="807" cy="0"/>
                                </a:xfrm>
                                <a:prstGeom prst="straightConnector1">
                                  <a:avLst/>
                                </a:prstGeom>
                                <a:noFill/>
                                <a:ln w="6350" cap="flat" cmpd="sng" algn="ctr">
                                  <a:solidFill>
                                    <a:schemeClr val="tx1"/>
                                  </a:solidFill>
                                  <a:prstDash val="solid"/>
                                  <a:miter lim="800000"/>
                                  <a:headEnd type="none" w="sm" len="lg"/>
                                  <a:tailEnd type="triangle" w="sm" len="lg"/>
                                </a:ln>
                                <a:effectLst/>
                              </wps:spPr>
                              <wps:bodyPr/>
                            </wps:wsp>
                            <wps:wsp>
                              <wps:cNvPr id="97" name="矩形 58"/>
                              <wps:cNvSpPr/>
                              <wps:spPr>
                                <a:xfrm>
                                  <a:off x="6323" y="20269"/>
                                  <a:ext cx="1381" cy="689"/>
                                </a:xfrm>
                                <a:prstGeom prst="rect">
                                  <a:avLst/>
                                </a:prstGeom>
                                <a:noFill/>
                                <a:ln w="12700" cap="flat" cmpd="sng" algn="ctr">
                                  <a:solidFill>
                                    <a:srgbClr val="000000"/>
                                  </a:solidFill>
                                  <a:prstDash val="solid"/>
                                  <a:miter lim="800000"/>
                                </a:ln>
                                <a:effectLst/>
                              </wps:spPr>
                              <wps:txbx>
                                <w:txbxContent>
                                  <w:p>
                                    <w:pPr>
                                      <w:jc w:val="center"/>
                                      <w:rPr>
                                        <w:rFonts w:hint="eastAsia"/>
                                      </w:rPr>
                                    </w:pPr>
                                    <w:r>
                                      <w:rPr>
                                        <w:rFonts w:hint="eastAsia"/>
                                      </w:rPr>
                                      <w:t>切粒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直接箭头连接符 59"/>
                              <wps:cNvCnPr/>
                              <wps:spPr>
                                <a:xfrm>
                                  <a:off x="7710" y="20640"/>
                                  <a:ext cx="807" cy="0"/>
                                </a:xfrm>
                                <a:prstGeom prst="straightConnector1">
                                  <a:avLst/>
                                </a:prstGeom>
                                <a:noFill/>
                                <a:ln w="6350" cap="flat" cmpd="sng" algn="ctr">
                                  <a:solidFill>
                                    <a:schemeClr val="tx1"/>
                                  </a:solidFill>
                                  <a:prstDash val="solid"/>
                                  <a:miter lim="800000"/>
                                  <a:headEnd type="none" w="sm" len="lg"/>
                                  <a:tailEnd type="triangle" w="sm" len="lg"/>
                                </a:ln>
                                <a:effectLst/>
                              </wps:spPr>
                              <wps:bodyPr/>
                            </wps:wsp>
                            <wps:wsp>
                              <wps:cNvPr id="99" name="矩形 60"/>
                              <wps:cNvSpPr/>
                              <wps:spPr>
                                <a:xfrm>
                                  <a:off x="8486" y="20264"/>
                                  <a:ext cx="1381" cy="689"/>
                                </a:xfrm>
                                <a:prstGeom prst="rect">
                                  <a:avLst/>
                                </a:prstGeom>
                                <a:noFill/>
                                <a:ln w="12700" cap="flat" cmpd="sng" algn="ctr">
                                  <a:solidFill>
                                    <a:srgbClr val="000000"/>
                                  </a:solidFill>
                                  <a:prstDash val="solid"/>
                                  <a:miter lim="800000"/>
                                </a:ln>
                                <a:effectLst/>
                              </wps:spPr>
                              <wps:txbx>
                                <w:txbxContent>
                                  <w:p>
                                    <w:pPr>
                                      <w:jc w:val="center"/>
                                      <w:rPr>
                                        <w:rFonts w:hint="eastAsia"/>
                                      </w:rPr>
                                    </w:pPr>
                                    <w:r>
                                      <w:rPr>
                                        <w:rFonts w:hint="eastAsia"/>
                                      </w:rPr>
                                      <w:t>冷却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直接箭头连接符 62"/>
                              <wps:cNvCnPr/>
                              <wps:spPr>
                                <a:xfrm>
                                  <a:off x="3546" y="20627"/>
                                  <a:ext cx="620" cy="0"/>
                                </a:xfrm>
                                <a:prstGeom prst="straightConnector1">
                                  <a:avLst/>
                                </a:prstGeom>
                                <a:noFill/>
                                <a:ln w="6350" cap="flat" cmpd="sng" algn="ctr">
                                  <a:solidFill>
                                    <a:schemeClr val="tx1"/>
                                  </a:solidFill>
                                  <a:prstDash val="solid"/>
                                  <a:miter lim="800000"/>
                                  <a:headEnd type="none" w="sm" len="lg"/>
                                  <a:tailEnd type="triangle" w="sm" len="lg"/>
                                </a:ln>
                                <a:effectLst/>
                              </wps:spPr>
                              <wps:bodyPr/>
                            </wps:wsp>
                            <wps:wsp>
                              <wps:cNvPr id="101" name="直接箭头连接符 63"/>
                              <wps:cNvCnPr/>
                              <wps:spPr>
                                <a:xfrm>
                                  <a:off x="9881" y="20622"/>
                                  <a:ext cx="620" cy="0"/>
                                </a:xfrm>
                                <a:prstGeom prst="straightConnector1">
                                  <a:avLst/>
                                </a:prstGeom>
                                <a:noFill/>
                                <a:ln w="6350" cap="flat" cmpd="sng" algn="ctr">
                                  <a:solidFill>
                                    <a:schemeClr val="tx1"/>
                                  </a:solidFill>
                                  <a:prstDash val="solid"/>
                                  <a:miter lim="800000"/>
                                  <a:headEnd type="none" w="sm" len="lg"/>
                                  <a:tailEnd type="triangle" w="sm" len="lg"/>
                                </a:ln>
                                <a:effectLst/>
                              </wps:spPr>
                              <wps:bodyPr/>
                            </wps:wsp>
                            <wps:wsp>
                              <wps:cNvPr id="102" name="直接箭头连接符 64"/>
                              <wps:cNvCnPr>
                                <a:stCxn id="95" idx="0"/>
                              </wps:cNvCnPr>
                              <wps:spPr>
                                <a:xfrm flipV="1">
                                  <a:off x="4838" y="19595"/>
                                  <a:ext cx="0" cy="666"/>
                                </a:xfrm>
                                <a:prstGeom prst="straightConnector1">
                                  <a:avLst/>
                                </a:prstGeom>
                                <a:noFill/>
                                <a:ln w="6350" cap="flat" cmpd="sng" algn="ctr">
                                  <a:solidFill>
                                    <a:schemeClr val="tx1"/>
                                  </a:solidFill>
                                  <a:prstDash val="dash"/>
                                  <a:miter lim="800000"/>
                                  <a:headEnd type="none" w="sm" len="lg"/>
                                  <a:tailEnd type="triangle" w="sm" len="lg"/>
                                </a:ln>
                                <a:effectLst/>
                              </wps:spPr>
                              <wps:bodyPr/>
                            </wps:wsp>
                            <wps:wsp>
                              <wps:cNvPr id="103" name="直接箭头连接符 65"/>
                              <wps:cNvCnPr>
                                <a:stCxn id="95" idx="0"/>
                              </wps:cNvCnPr>
                              <wps:spPr>
                                <a:xfrm flipV="1">
                                  <a:off x="7041" y="19590"/>
                                  <a:ext cx="0" cy="666"/>
                                </a:xfrm>
                                <a:prstGeom prst="straightConnector1">
                                  <a:avLst/>
                                </a:prstGeom>
                                <a:noFill/>
                                <a:ln w="6350" cap="flat" cmpd="sng" algn="ctr">
                                  <a:solidFill>
                                    <a:schemeClr val="tx1"/>
                                  </a:solidFill>
                                  <a:prstDash val="dash"/>
                                  <a:miter lim="800000"/>
                                  <a:headEnd type="none" w="sm" len="lg"/>
                                  <a:tailEnd type="triangle" w="sm" len="lg"/>
                                </a:ln>
                                <a:effectLst/>
                              </wps:spPr>
                              <wps:bodyPr/>
                            </wps:wsp>
                            <wps:wsp>
                              <wps:cNvPr id="104" name="文本框 66"/>
                              <wps:cNvSpPr txBox="1"/>
                              <wps:spPr>
                                <a:xfrm>
                                  <a:off x="2604" y="20351"/>
                                  <a:ext cx="996" cy="546"/>
                                </a:xfrm>
                                <a:prstGeom prst="rect">
                                  <a:avLst/>
                                </a:prstGeom>
                                <a:solidFill>
                                  <a:srgbClr val="FFFFFF"/>
                                </a:solidFill>
                                <a:ln w="6350">
                                  <a:noFill/>
                                </a:ln>
                                <a:effectLst/>
                              </wps:spPr>
                              <wps:txbx>
                                <w:txbxContent>
                                  <w:p>
                                    <w:r>
                                      <w:rPr>
                                        <w:rFonts w:hint="eastAsia"/>
                                      </w:rPr>
                                      <w:t>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67"/>
                              <wps:cNvSpPr txBox="1"/>
                              <wps:spPr>
                                <a:xfrm>
                                  <a:off x="10508" y="20346"/>
                                  <a:ext cx="984" cy="546"/>
                                </a:xfrm>
                                <a:prstGeom prst="rect">
                                  <a:avLst/>
                                </a:prstGeom>
                                <a:solidFill>
                                  <a:srgbClr val="FFFFFF"/>
                                </a:solidFill>
                                <a:ln w="6350">
                                  <a:noFill/>
                                </a:ln>
                                <a:effectLst/>
                              </wps:spPr>
                              <wps:txbx>
                                <w:txbxContent>
                                  <w:p>
                                    <w:r>
                                      <w:rPr>
                                        <w:rFonts w:hint="eastAsia"/>
                                      </w:rPr>
                                      <w:t>回收料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68"/>
                              <wps:cNvSpPr txBox="1"/>
                              <wps:spPr>
                                <a:xfrm>
                                  <a:off x="4398" y="19050"/>
                                  <a:ext cx="846" cy="505"/>
                                </a:xfrm>
                                <a:prstGeom prst="rect">
                                  <a:avLst/>
                                </a:prstGeom>
                                <a:solidFill>
                                  <a:srgbClr val="FFFFFF"/>
                                </a:solidFill>
                                <a:ln w="6350">
                                  <a:noFill/>
                                </a:ln>
                                <a:effectLst/>
                              </wps:spPr>
                              <wps:txbx>
                                <w:txbxContent>
                                  <w:p>
                                    <w:r>
                                      <w:rPr>
                                        <w:rFonts w:hint="eastAsia"/>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69"/>
                              <wps:cNvSpPr txBox="1"/>
                              <wps:spPr>
                                <a:xfrm>
                                  <a:off x="6616" y="19031"/>
                                  <a:ext cx="846" cy="505"/>
                                </a:xfrm>
                                <a:prstGeom prst="rect">
                                  <a:avLst/>
                                </a:prstGeom>
                                <a:solidFill>
                                  <a:srgbClr val="FFFFFF"/>
                                </a:solidFill>
                                <a:ln w="6350">
                                  <a:noFill/>
                                </a:ln>
                                <a:effectLst/>
                              </wps:spPr>
                              <wps:txbx>
                                <w:txbxContent>
                                  <w:p>
                                    <w:r>
                                      <w:rPr>
                                        <w:rFonts w:hint="eastAsia"/>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96.3pt;width:444.4pt;" coordorigin="2604,19031" coordsize="8888,1926" o:gfxdata="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B+J7p01QAAAAUBAAAPAAAAAAAAAAEAIAAAACIAAABkcnMvZG93&#10;bnJldi54bWxQSwECFAAUAAAACACHTuJAX/RsUJMFAABiJQAADgAAAAAAAAABACAAAAAkAQAAZHJz&#10;L2Uyb0RvYy54bWxQSwUGAAAAAAYABgBZAQAAKQkAAAAA&#10;">
                      <o:lock v:ext="edit" rotation="t" aspectratio="f"/>
                      <v:rect id="矩形 42" o:spid="_x0000_s1026" o:spt="1" style="position:absolute;left:4147;top:20261;height:689;width:1381;v-text-anchor:middle;" filled="f" stroked="t" coordsize="21600,21600" o:gfxdata="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w+37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jc w:val="center"/>
                              </w:pPr>
                              <w:r>
                                <w:rPr>
                                  <w:rFonts w:hint="eastAsia"/>
                                </w:rPr>
                                <w:t>挤出</w:t>
                              </w:r>
                            </w:p>
                          </w:txbxContent>
                        </v:textbox>
                      </v:rect>
                      <v:shape id="直接箭头连接符 57" o:spid="_x0000_s1026" o:spt="32" type="#_x0000_t32" style="position:absolute;left:5533;top:20646;height:0;width:807;" filled="f" stroked="t" coordsize="21600,21600" o:gfxdata="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5B7BvQAA&#10;ANsAAAAPAAAAAAAAAAEAIAAAACIAAABkcnMvZG93bnJldi54bWxQSwECFAAUAAAACACHTuJAMy8F&#10;njsAAAA5AAAAEAAAAAAAAAABACAAAAAMAQAAZHJzL3NoYXBleG1sLnhtbFBLBQYAAAAABgAGAFsB&#10;AAC2AwAAAAA=&#10;">
                        <v:fill on="f" focussize="0,0"/>
                        <v:stroke weight="0.5pt" color="#000000 [3213]" miterlimit="8" joinstyle="miter" startarrowwidth="narrow" startarrowlength="long" endarrow="block" endarrowwidth="narrow" endarrowlength="long"/>
                        <v:imagedata o:title=""/>
                        <o:lock v:ext="edit" aspectratio="f"/>
                      </v:shape>
                      <v:rect id="矩形 58" o:spid="_x0000_s1026" o:spt="1" style="position:absolute;left:6323;top:20269;height:689;width:1381;v-text-anchor:middle;" filled="f" stroked="t" coordsize="21600,21600" o:gfxdata="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IFM7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jc w:val="center"/>
                                <w:rPr>
                                  <w:rFonts w:hint="eastAsia"/>
                                </w:rPr>
                              </w:pPr>
                              <w:r>
                                <w:rPr>
                                  <w:rFonts w:hint="eastAsia"/>
                                </w:rPr>
                                <w:t>切粒</w:t>
                              </w:r>
                            </w:p>
                          </w:txbxContent>
                        </v:textbox>
                      </v:rect>
                      <v:shape id="直接箭头连接符 59" o:spid="_x0000_s1026" o:spt="32" type="#_x0000_t32" style="position:absolute;left:7710;top:20640;height:0;width:807;" filled="f" stroked="t" coordsize="21600,21600" o:gfxdata="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3Lyi5AAAA2wAA&#10;AA8AAAAAAAAAAQAgAAAAIgAAAGRycy9kb3ducmV2LnhtbFBLAQIUABQAAAAIAIdO4kAzLwWeOwAA&#10;ADkAAAAQAAAAAAAAAAEAIAAAAAgBAABkcnMvc2hhcGV4bWwueG1sUEsFBgAAAAAGAAYAWwEAALID&#10;AAAAAA==&#10;">
                        <v:fill on="f" focussize="0,0"/>
                        <v:stroke weight="0.5pt" color="#000000 [3213]" miterlimit="8" joinstyle="miter" startarrowwidth="narrow" startarrowlength="long" endarrow="block" endarrowwidth="narrow" endarrowlength="long"/>
                        <v:imagedata o:title=""/>
                        <o:lock v:ext="edit" aspectratio="f"/>
                      </v:shape>
                      <v:rect id="矩形 60" o:spid="_x0000_s1026" o:spt="1" style="position:absolute;left:8486;top:20264;height:689;width:1381;v-text-anchor:middle;" filled="f" stroked="t" coordsize="21600,21600" o:gfxdata="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TTa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rPr>
                              </w:pPr>
                              <w:r>
                                <w:rPr>
                                  <w:rFonts w:hint="eastAsia"/>
                                </w:rPr>
                                <w:t>冷却</w:t>
                              </w:r>
                            </w:p>
                          </w:txbxContent>
                        </v:textbox>
                      </v:rect>
                      <v:shape id="直接箭头连接符 62" o:spid="_x0000_s1026" o:spt="32" type="#_x0000_t32" style="position:absolute;left:3546;top:20627;height:0;width:620;" filled="f" stroked="t" coordsize="21600,21600" o:gfxdata="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FI+r4A&#10;AADcAAAADwAAAAAAAAABACAAAAAiAAAAZHJzL2Rvd25yZXYueG1sUEsBAhQAFAAAAAgAh07iQDMv&#10;BZ47AAAAOQAAABAAAAAAAAAAAQAgAAAADQEAAGRycy9zaGFwZXhtbC54bWxQSwUGAAAAAAYABgBb&#10;AQAAtwMAAAAA&#10;">
                        <v:fill on="f" focussize="0,0"/>
                        <v:stroke weight="0.5pt" color="#000000 [3213]" miterlimit="8" joinstyle="miter" startarrowwidth="narrow" startarrowlength="long" endarrow="block" endarrowwidth="narrow" endarrowlength="long"/>
                        <v:imagedata o:title=""/>
                        <o:lock v:ext="edit" aspectratio="f"/>
                      </v:shape>
                      <v:shape id="直接箭头连接符 63" o:spid="_x0000_s1026" o:spt="32" type="#_x0000_t32" style="position:absolute;left:9881;top:20622;height:0;width:620;" filled="f" stroked="t" coordsize="21600,21600" o:gfxdata="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97WG8AAAA&#10;3AAAAA8AAAAAAAAAAQAgAAAAIgAAAGRycy9kb3ducmV2LnhtbFBLAQIUABQAAAAIAIdO4kAzLwWe&#10;OwAAADkAAAAQAAAAAAAAAAEAIAAAAAsBAABkcnMvc2hhcGV4bWwueG1sUEsFBgAAAAAGAAYAWwEA&#10;ALUDAAAAAA==&#10;">
                        <v:fill on="f" focussize="0,0"/>
                        <v:stroke weight="0.5pt" color="#000000 [3213]" miterlimit="8" joinstyle="miter" startarrowwidth="narrow" startarrowlength="long" endarrow="block" endarrowwidth="narrow" endarrowlength="long"/>
                        <v:imagedata o:title=""/>
                        <o:lock v:ext="edit" aspectratio="f"/>
                      </v:shape>
                      <v:shape id="直接箭头连接符 64" o:spid="_x0000_s1026" o:spt="32" type="#_x0000_t32" style="position:absolute;left:4838;top:19595;flip:y;height:666;width:0;" filled="f" stroked="t" coordsize="21600,21600" o:gfxdata="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L/fUugAAANwA&#10;AAAPAAAAAAAAAAEAIAAAACIAAABkcnMvZG93bnJldi54bWxQSwECFAAUAAAACACHTuJAMy8FnjsA&#10;AAA5AAAAEAAAAAAAAAABACAAAAAJAQAAZHJzL3NoYXBleG1sLnhtbFBLBQYAAAAABgAGAFsBAACz&#10;AwAAAAA=&#10;">
                        <v:fill on="f" focussize="0,0"/>
                        <v:stroke weight="0.5pt" color="#000000 [3213]" miterlimit="8" joinstyle="miter" dashstyle="dash" startarrowwidth="narrow" startarrowlength="long" endarrow="block" endarrowwidth="narrow" endarrowlength="long"/>
                        <v:imagedata o:title=""/>
                        <o:lock v:ext="edit" aspectratio="f"/>
                      </v:shape>
                      <v:shape id="直接箭头连接符 65" o:spid="_x0000_s1026" o:spt="32" type="#_x0000_t32" style="position:absolute;left:7041;top:19590;flip:y;height:666;width:0;" filled="f" stroked="t" coordsize="21600,21600" o:gfxdata="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jUk+8AAAA&#10;3AAAAA8AAAAAAAAAAQAgAAAAIgAAAGRycy9kb3ducmV2LnhtbFBLAQIUABQAAAAIAIdO4kAzLwWe&#10;OwAAADkAAAAQAAAAAAAAAAEAIAAAAAsBAABkcnMvc2hhcGV4bWwueG1sUEsFBgAAAAAGAAYAWwEA&#10;ALUDAAAAAA==&#10;">
                        <v:fill on="f" focussize="0,0"/>
                        <v:stroke weight="0.5pt" color="#000000 [3213]" miterlimit="8" joinstyle="miter" dashstyle="dash" startarrowwidth="narrow" startarrowlength="long" endarrow="block" endarrowwidth="narrow" endarrowlength="long"/>
                        <v:imagedata o:title=""/>
                        <o:lock v:ext="edit" aspectratio="f"/>
                      </v:shape>
                      <v:shape id="文本框 66" o:spid="_x0000_s1026" o:spt="202" type="#_x0000_t202" style="position:absolute;left:2604;top:20351;height:546;width:996;" fillcolor="#FFFFFF" filled="t" stroked="f" coordsize="21600,21600" o:gfxdata="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KFcRrgAAADc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r>
                                <w:rPr>
                                  <w:rFonts w:hint="eastAsia"/>
                                </w:rPr>
                                <w:t>边角料</w:t>
                              </w:r>
                            </w:p>
                          </w:txbxContent>
                        </v:textbox>
                      </v:shape>
                      <v:shape id="文本框 67" o:spid="_x0000_s1026" o:spt="202" type="#_x0000_t202" style="position:absolute;left:10508;top:20346;height:546;width:984;" fillcolor="#FFFFFF" filled="t" stroked="f" coordsize="21600,21600" o:gfxdata="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7fnd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r>
                                <w:rPr>
                                  <w:rFonts w:hint="eastAsia"/>
                                </w:rPr>
                                <w:t>回收料</w:t>
                              </w:r>
                            </w:p>
                          </w:txbxContent>
                        </v:textbox>
                      </v:shape>
                      <v:shape id="文本框 68" o:spid="_x0000_s1026" o:spt="202" type="#_x0000_t202" style="position:absolute;left:4398;top:19050;height:505;width:846;" fillcolor="#FFFFFF" filled="t" stroked="f" coordsize="21600,21600" o:gfxdata="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P2eq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r>
                                <w:rPr>
                                  <w:rFonts w:hint="eastAsia"/>
                                </w:rPr>
                                <w:t>废气</w:t>
                              </w:r>
                            </w:p>
                          </w:txbxContent>
                        </v:textbox>
                      </v:shape>
                      <v:shape id="文本框 69" o:spid="_x0000_s1026" o:spt="202" type="#_x0000_t202" style="position:absolute;left:6616;top:19031;height:505;width:846;" fillcolor="#FFFFFF" filled="t" stroked="f" coordsize="21600,21600" o:gfxdata="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c8Ix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r>
                                <w:rPr>
                                  <w:rFonts w:hint="eastAsia"/>
                                </w:rPr>
                                <w:t>废气</w:t>
                              </w:r>
                            </w:p>
                          </w:txbxContent>
                        </v:textbox>
                      </v:shape>
                      <w10:wrap type="none"/>
                      <w10:anchorlock/>
                    </v:group>
                  </w:pict>
                </mc:Fallback>
              </mc:AlternateConten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图</w:t>
            </w:r>
            <w:r>
              <w:rPr>
                <w:rFonts w:hint="default" w:ascii="Times New Roman" w:hAnsi="Times New Roman" w:eastAsia="宋体" w:cs="Times New Roman"/>
                <w:sz w:val="21"/>
                <w:szCs w:val="21"/>
                <w:lang w:val="en-US" w:eastAsia="zh-CN"/>
              </w:rPr>
              <w:t>2-3 生产工艺流程图及产污节点</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工艺流程简述：</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1、混料：将LDPE低密度聚乙烯粒子、可降解母粒、PE色母按一定比例倒入搅拌机内，使各种原辅料搅拌均匀；</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吹膜：将混合均匀的塑料颗粒加入吹膜机，利用电热片加热至熔融状态，温度控制在110~140℃之间，将聚合物挤出成型管状膜坯，在较好的熔体流动状态下通入高压空气将管膜吹胀到所要求的厚度，经冷却定型后成为薄膜。根据客户的需求可以选择印刷机印刷图案和文字，印刷完成的产品收卷待用；</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3、制袋：收卷后的薄膜利用制袋机制成不同规格的塑料袋；</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4、切角：切去塑料袋多余的部分，产生部分边角料，可全部用于生产回收料；</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5、边角料造粒：边角料回收挤出机将边角料加热融化后挤出并切粒，在空气中自然冷却后包装备用，所用热源为电。</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bookmarkStart w:id="34" w:name="_GoBack"/>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bookmarkEnd w:id="34"/>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eastAsia="仿宋_GB2312"/>
          <w:b/>
          <w:color w:val="000000"/>
          <w:sz w:val="21"/>
          <w:szCs w:val="21"/>
        </w:rPr>
      </w:pPr>
      <w:r>
        <w:rPr>
          <w:rFonts w:eastAsia="仿宋_GB2312"/>
          <w:b/>
          <w:color w:val="000000"/>
          <w:sz w:val="21"/>
          <w:szCs w:val="21"/>
        </w:rPr>
        <w:br w:type="page"/>
      </w:r>
    </w:p>
    <w:p>
      <w:pPr>
        <w:spacing w:after="0" w:afterLines="0" w:line="360" w:lineRule="auto"/>
        <w:outlineLvl w:val="0"/>
        <w:rPr>
          <w:rFonts w:hint="eastAsia" w:eastAsia="仿宋_GB2312"/>
          <w:b/>
          <w:color w:val="000000"/>
          <w:sz w:val="21"/>
          <w:szCs w:val="21"/>
          <w:lang w:eastAsia="zh-CN"/>
        </w:rPr>
      </w:pPr>
      <w:bookmarkStart w:id="3" w:name="_Toc8932"/>
      <w:r>
        <w:rPr>
          <w:rFonts w:eastAsia="仿宋_GB2312"/>
          <w:b/>
          <w:color w:val="000000"/>
          <w:sz w:val="21"/>
          <w:szCs w:val="21"/>
        </w:rPr>
        <w:t>表</w:t>
      </w:r>
      <w:r>
        <w:rPr>
          <w:rFonts w:hint="eastAsia" w:eastAsia="仿宋_GB2312"/>
          <w:b/>
          <w:color w:val="000000"/>
          <w:sz w:val="21"/>
          <w:szCs w:val="21"/>
        </w:rPr>
        <w:t>三</w:t>
      </w:r>
      <w:r>
        <w:rPr>
          <w:rFonts w:hint="eastAsia" w:eastAsia="仿宋_GB2312"/>
          <w:b/>
          <w:color w:val="000000"/>
          <w:sz w:val="21"/>
          <w:szCs w:val="21"/>
          <w:lang w:eastAsia="zh-CN"/>
        </w:rPr>
        <w:t>：主要污染物及处理</w:t>
      </w:r>
      <w:bookmarkEnd w:id="3"/>
    </w:p>
    <w:tbl>
      <w:tblPr>
        <w:tblStyle w:val="11"/>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2"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主要污染源、污染物处理和排放</w:t>
            </w:r>
            <w:r>
              <w:rPr>
                <w:rFonts w:hint="default" w:ascii="Times New Roman" w:hAnsi="Times New Roman" w:eastAsia="宋体" w:cs="Times New Roman"/>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水污染：项目排水采用雨污分流，雨水经收集后排至附近沟渠；生活污水、车间清洁废水经化粪池处理后通过市政污水管网排入镇宁县污水处理厂。</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大气污染：本项目各种原辅料均为颗粒状（粒径大于3mm），且投料、混料过程为密闭操作，故在混料过程中基本不会产生粉尘，营运期项目废气主要来自于吹膜、印刷和边角料造粒生产过程产生的有机废气排放，主要为非甲烷总烃。</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项目的噪声源主要来源于空压机、拌料机等生产设备和空压机等辅助设备运行时产生。设备合理布置，通过墙体隔音后排放。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4、固体废物</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本项目固体废物主要是职工生活垃圾、包装废料，切袋产生的边角料、废油墨空桶、废UV灯管，以及设备检修产生的废机油、废润滑油等。</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生活垃圾：生活垃圾主要是现场工作人员日常生活产生的生活垃圾，集中收集交由环卫部门统一处理。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废包装：本项目在生产过程中会产生一定量的包装废料，主要为塑料颗粒包装袋及产品包装袋，收集后交由当地环卫部门统一处理。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切袋边角料：本项目在使用切袋机切袋时会产生一定量的边角料，收集全部用作造粒原料，回用于生产。</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废油墨空桶：本项目废油墨包装桶属于危险废物，建设单位集中收集后暂存于危废暂存间，定期交由有资质的危废处置单位进行处置。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废机油、废润滑油</w:t>
            </w:r>
            <w:r>
              <w:rPr>
                <w:rFonts w:hint="eastAsia" w:ascii="Times New Roman" w:hAnsi="Times New Roman" w:eastAsia="宋体" w:cs="Times New Roman"/>
                <w:sz w:val="24"/>
                <w:szCs w:val="24"/>
                <w:lang w:val="en-US" w:eastAsia="zh-CN"/>
              </w:rPr>
              <w:t>：本项目设备发生故障或日常维修保养时产生少量废机油、废润滑油等属于危险废物，采用封闭容器收集，暂存于厂内危废暂存间，采取防渗漏防流失措施，定期交由有资质的危废处置单位进行处置。</w:t>
            </w:r>
          </w:p>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表3-1 本项目固体废物产生量一览表</w:t>
            </w:r>
          </w:p>
          <w:tbl>
            <w:tblPr>
              <w:tblStyle w:val="11"/>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713"/>
              <w:gridCol w:w="2438"/>
              <w:gridCol w:w="2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序号</w:t>
                  </w:r>
                </w:p>
              </w:tc>
              <w:tc>
                <w:tcPr>
                  <w:tcW w:w="5151" w:type="dxa"/>
                  <w:gridSpan w:val="2"/>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固废名称及类别</w:t>
                  </w:r>
                </w:p>
              </w:tc>
              <w:tc>
                <w:tcPr>
                  <w:tcW w:w="2485"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2713"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生活垃圾</w:t>
                  </w:r>
                </w:p>
              </w:tc>
              <w:tc>
                <w:tcPr>
                  <w:tcW w:w="243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一般固废</w:t>
                  </w:r>
                </w:p>
              </w:tc>
              <w:tc>
                <w:tcPr>
                  <w:tcW w:w="2485" w:type="dxa"/>
                  <w:vMerge w:val="restart"/>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交由环卫部门统一清运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2713"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废包装</w:t>
                  </w:r>
                </w:p>
              </w:tc>
              <w:tc>
                <w:tcPr>
                  <w:tcW w:w="243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一般固废</w:t>
                  </w:r>
                </w:p>
              </w:tc>
              <w:tc>
                <w:tcPr>
                  <w:tcW w:w="2485" w:type="dxa"/>
                  <w:vMerge w:val="continue"/>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2713"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切袋边角料</w:t>
                  </w:r>
                </w:p>
              </w:tc>
              <w:tc>
                <w:tcPr>
                  <w:tcW w:w="243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一般固废</w:t>
                  </w:r>
                </w:p>
              </w:tc>
              <w:tc>
                <w:tcPr>
                  <w:tcW w:w="2485"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全部回用于作原料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2713"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废油墨空桶</w:t>
                  </w:r>
                </w:p>
              </w:tc>
              <w:tc>
                <w:tcPr>
                  <w:tcW w:w="243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危险废物（编号HW49:900-041-49）</w:t>
                  </w:r>
                </w:p>
              </w:tc>
              <w:tc>
                <w:tcPr>
                  <w:tcW w:w="2485" w:type="dxa"/>
                  <w:vMerge w:val="restart"/>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暂存于厂内危废暂存间，不同种类性质的危险废物分区隔离、分开储存，定期交由有危险废物处理资质的单位进行处置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w:t>
                  </w:r>
                </w:p>
              </w:tc>
              <w:tc>
                <w:tcPr>
                  <w:tcW w:w="2713"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废活性炭</w:t>
                  </w:r>
                </w:p>
              </w:tc>
              <w:tc>
                <w:tcPr>
                  <w:tcW w:w="243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危险废物（编号HW49:900-041-49）</w:t>
                  </w:r>
                </w:p>
              </w:tc>
              <w:tc>
                <w:tcPr>
                  <w:tcW w:w="2485" w:type="dxa"/>
                  <w:vMerge w:val="continue"/>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4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2713"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废机油、废润滑油</w:t>
                  </w:r>
                </w:p>
              </w:tc>
              <w:tc>
                <w:tcPr>
                  <w:tcW w:w="243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危险废物（编号HW08:900-249-08）</w:t>
                  </w:r>
                </w:p>
              </w:tc>
              <w:tc>
                <w:tcPr>
                  <w:tcW w:w="2485" w:type="dxa"/>
                  <w:vMerge w:val="continue"/>
                  <w:noWrap w:val="0"/>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color w:val="000000"/>
                      <w:sz w:val="21"/>
                      <w:szCs w:val="21"/>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360" w:lineRule="auto"/>
        <w:ind w:leftChars="20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br w:type="page"/>
      </w:r>
    </w:p>
    <w:p>
      <w:pPr>
        <w:spacing w:after="0" w:afterLines="0" w:line="360" w:lineRule="auto"/>
        <w:outlineLvl w:val="0"/>
        <w:rPr>
          <w:rFonts w:hint="eastAsia" w:eastAsia="仿宋_GB2312"/>
          <w:b/>
          <w:color w:val="000000"/>
          <w:sz w:val="21"/>
          <w:szCs w:val="21"/>
          <w:lang w:eastAsia="zh-CN"/>
        </w:rPr>
      </w:pPr>
      <w:bookmarkStart w:id="4" w:name="_Toc27255"/>
      <w:r>
        <w:rPr>
          <w:rFonts w:eastAsia="仿宋_GB2312"/>
          <w:b/>
          <w:color w:val="000000"/>
          <w:sz w:val="21"/>
          <w:szCs w:val="21"/>
        </w:rPr>
        <w:t>表</w:t>
      </w:r>
      <w:r>
        <w:rPr>
          <w:rFonts w:hint="eastAsia" w:eastAsia="仿宋_GB2312"/>
          <w:b/>
          <w:color w:val="000000"/>
          <w:sz w:val="21"/>
          <w:szCs w:val="21"/>
        </w:rPr>
        <w:t>四</w:t>
      </w:r>
      <w:r>
        <w:rPr>
          <w:rFonts w:hint="eastAsia" w:eastAsia="仿宋_GB2312"/>
          <w:b/>
          <w:color w:val="000000"/>
          <w:sz w:val="21"/>
          <w:szCs w:val="21"/>
          <w:lang w:eastAsia="zh-CN"/>
        </w:rPr>
        <w:t>：环境影响评价报告回顾</w:t>
      </w:r>
      <w:bookmarkEnd w:id="4"/>
    </w:p>
    <w:tbl>
      <w:tblPr>
        <w:tblStyle w:val="11"/>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建设项目环境影响报告主要结论</w:t>
            </w:r>
            <w:r>
              <w:rPr>
                <w:rFonts w:hint="eastAsia" w:ascii="Times New Roman" w:hAnsi="Times New Roman" w:eastAsia="宋体" w:cs="Times New Roman"/>
                <w:color w:val="000000"/>
                <w:sz w:val="24"/>
                <w:szCs w:val="24"/>
                <w:lang w:eastAsia="zh-CN"/>
              </w:rPr>
              <w:t>及建议</w:t>
            </w:r>
            <w:r>
              <w:rPr>
                <w:rFonts w:hint="default" w:ascii="Times New Roman" w:hAnsi="Times New Roman" w:eastAsia="宋体" w:cs="Times New Roman"/>
                <w:color w:val="00000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镇宁自治县RLH可生物降解塑料项目,租赁贵州汇景纸业有限公司2栋单层钢结构标准厂房，总建筑面积约为10000m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，分两期建设，建设内容相似，一期厂房建筑面积约4860m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，二期厂房建筑面积5140m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，主要包括生产车间、原料仓库、成品仓库等，主要包括生产车间、原料仓库、成品仓库等，同时，租用贵州汇景纸业有限公司办公楼办公。项目建成后，年产5200吨可生物降解塑料。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本项目预计定员46人，全年运营300天，两班制，每班12小时。本项目采取一次环评，分期建设，分期验收的方式。一期预计 2019 年8月开始建设，2019 年10月竣工，工期2个月，二期预计2020年8月建设，2020年10月投产。</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1、产业政策符合性结论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根据《产业结构调整指导目录》（2011年版，2013年修订），本项目属于鼓励类“十九 轻工”中“5、生物可降解塑料及其系列产品开发、生产与应用”。因此，本项目符合相关产业政策。</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2019年7月11日，镇宁布依族苗族自治县发展和改革局对本项目进行了备案（附件4），项目编码为2019-520423-29-03-424450。</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2、“三线一单”符合性结论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项目的建设不在生态红线范围内，营运后不会改变现有的环境质量现状，没有突破资源利用的上线，不在环境准入负面清单以内，因此项目的建设符合 “三线一单”要求。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3、项目选址及规划合理性分析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（1）选址合理性分析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位于贵州省安顺市镇宁布依族苗族自治县环翠街道刘关村日用快消品产业园，租用贵州汇景纸业有限公司现有单层独栋钢结构标准厂房，以厂房为中心2.5km半径范围内无饮用水源保护区、自然保护区、风景名胜区、重点文物保护单位、珍稀动植物资源等重点保护目标。本项目各类污染物在采取相应的治理措施后，能做到达标排放，不会改变区域环境功能区划。因此，本项目选址可行。</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（2）平面布置合理性分析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本项目厂房中线以北为生产区域，厂房南部为原料、成品仓库及发货平台，厂房西南部区域为配拌料、造粒加工区。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位于工业园内，区域功能明确，既互不干扰，又便于联络，一、二期项目共用1根高度不低于15m的排气筒，位于2栋厂房中间，厂界外周围200m范围内无居民；危废暂存间设置在一期厂房西北角，落实防雨防晒防流失措施；生活污水、清洁废水依托园区化粪池和拖布池排入污水管，对周边环境影响较小，本项目平面布置可行。</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（3）规划符合性分析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位于产业园区内，不属于国家的限制类、淘汰类项目，符合国家产业政策，同时，项目为轻工类项目、建设规模上均符合镇宁轻工业产业园的发展规划和要求，项目建设采取必要的环境保护措施后对周边环境及人群的影响较小。因此，本项目符合产业园区发展规划结构及功能，符合产业园的规划定位。</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4、环境质量现状评价结论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（1）环境空气质量现状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根据安顺市生态环境局发布的“安顺市生态环境状况公报（2018年）”数据可知项目区域满足空气质量执行《环境空气质量标准》（GB3095-2012）及2018修改单二级标准。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（2）水环境质量现状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地表水：地表水镇宁河水质能够满足《地表水环境质量标准》(GB3838-2002)Ⅲ类标准。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地下水：项目评价区域内未发现地下水出露，区域地下水质量满足《地下水质量标准》(GB/T14848-2017)III类标准。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（3）声环境质量现状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项目地处农村，项目区域声环境质量可达到《声环境质量标准》(GB3096－2008)3类标准。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（4）生态环境质量现状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项目区主要植被是次生灌草丛，森林覆盖率较低，无珍稀野生保护动植物。生态环境质量为中等。</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5、环境影响分析结论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（1）施工期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①施工大气</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施工期废气为装修过程中产生的少量粉尘，通过装修期间尽量关闭门窗；使用的装修原材料、产生的废装修材料须堆放在室内，不得随意乱堆、 乱放；装修材料运输过程中进行苫盖，对施工人员进行环保方面培训；室内勤洒水等措施后，施工粉尘污染对区域环境空气质量影响较小。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②施工废水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主要为施工工人产生的生活污水。施工期依托贵州汇景纸业有限公司原有卫生设施，不会对地表水体产生明显不利影响。</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③施工噪声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选用低噪声的电钻、电刨等设备，加强设备的管理与维护，使其保持良好的工作状态；设备在室内使用，利用厂房进行隔声；；午休时间（12：00—14：30）不允许进行高噪声作业，禁止夜间（22：00—次日6：00）进行装修；加强对装修人员的环保教育等措施，对周边环境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④施工固废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主要包括装修过程产生的废装修材料、装修工人产生的生活垃圾。产生的废装修材料、生活垃圾须堆放在指定的地点（堆放点需选在室内），不得随意乱堆、乱放。废装修材料收集后运至建筑垃圾堆存处，生活垃圾由环卫部门清运。在严格采取防治措施的情况下，施工期装修过程产生的固废对周围环境影响很小。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（2）营运期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①水环境影响结论：生活污水、车间清洁废水经化粪池后排入镇宁县污水处理厂对周边环境影响较小。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大气环境影响结论：本项目吹膜、印刷、边角料造粒过程中产生的废气经“集气罩+UV光解+活性炭吸附”设施处理达标后由15m高排气筒排放，50m卫生防护距离无居民，经估算模式预测，下风向主要污染物预测质量浓度和影响范围均较小，对周边大气环境的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③声环境影响结论：项目设备在通过采取隔声减噪、厂房隔声等措施后，四面厂界噪声排放全部达到《工业企业厂界环境噪声排放标准》（GB12348-2008）中的3类标准，对周边声环境影响较小。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为确保厂界噪声达标排放，建设单位应加强设备日常维护，确保设备运行状态良好，避免不正常运转产生的高噪声现象。由于距离居民区较远，本项目对周边噪声敏感点影响不明显。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固体废物环境影响结论：生活垃圾收集后由环卫部门统一清运；切袋边角料全部用作造粒，回用于生产过程；原料废油墨空桶、废活性炭、废润滑油和废机油属于危险废物，在厂区内按《危险废物贮存污染控制标准》（GB18597-2001）及其修改单中提及的标准在危废暂存间内存放，并定期交由有资质单位妥善处置。</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6、总量控制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本项目无生产废水产生，生活污水产生量较小，且经化粪池预处理后全部接入市政污水管网，最终进入镇宁县污水处理厂处理。本项目采用电（属于清洁能源）进行能源供应，不使用燃煤等污染型能源。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因此，本项目建议不设总量控制指标。</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7、总体结论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本项目符合国家产业政策，选址可行，项目建成后，在采取本环评所提出的各项污染防治措施后，污染物均能做到达标排放，对周围环境的影响小。从环保角度考虑，本项目建设可行。</w:t>
            </w:r>
          </w:p>
          <w:p>
            <w:pPr>
              <w:keepNext w:val="0"/>
              <w:keepLines w:val="0"/>
              <w:pageBreakBefore w:val="0"/>
              <w:widowControl/>
              <w:kinsoku/>
              <w:wordWrap/>
              <w:overflowPunct/>
              <w:topLinePunct w:val="0"/>
              <w:bidi w:val="0"/>
              <w:adjustRightInd w:val="0"/>
              <w:snapToGrid w:val="0"/>
              <w:spacing w:after="0" w:line="360" w:lineRule="auto"/>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二、建议</w:t>
            </w:r>
          </w:p>
          <w:p>
            <w:pPr>
              <w:keepNext w:val="0"/>
              <w:keepLines w:val="0"/>
              <w:pageBreakBefore w:val="0"/>
              <w:widowControl/>
              <w:tabs>
                <w:tab w:val="left" w:pos="720"/>
              </w:tabs>
              <w:kinsoku/>
              <w:wordWrap/>
              <w:overflowPunct/>
              <w:topLinePunct w:val="0"/>
              <w:autoSpaceDE w:val="0"/>
              <w:autoSpaceDN w:val="0"/>
              <w:bidi w:val="0"/>
              <w:adjustRightInd w:val="0"/>
              <w:snapToGrid w:val="0"/>
              <w:spacing w:after="0" w:line="360" w:lineRule="auto"/>
              <w:ind w:firstLine="475" w:firstLineChars="198"/>
              <w:jc w:val="left"/>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（1）加强设备检修、保养。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2"/>
              </w:rPr>
              <w:t>（2）禁止本项目废水未经处理外排。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4" w:type="dxa"/>
            <w:noWrap w:val="0"/>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Lines="0" w:afterAutospacing="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审批部门审批决定：</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安顺市生态环境局关于镇宁自治县RLH可生物降解塑料项目环境影响报告表的批复摘要如下：</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安顺瑞力恒塑业发展有限公司：</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你公司报来的《镇宁自治县 RLH 可生物降解塑料项目环境影 响报告表》（以下简称《报告表》）及相关资料已收悉，经研究，批复如下：</w:t>
            </w:r>
          </w:p>
          <w:p>
            <w:pPr>
              <w:keepNext w:val="0"/>
              <w:keepLines w:val="0"/>
              <w:pageBreakBefore w:val="0"/>
              <w:widowControl/>
              <w:numPr>
                <w:ilvl w:val="0"/>
                <w:numId w:val="5"/>
              </w:numPr>
              <w:kinsoku/>
              <w:wordWrap/>
              <w:overflowPunct/>
              <w:topLinePunct w:val="0"/>
              <w:autoSpaceDE/>
              <w:autoSpaceDN/>
              <w:bidi w:val="0"/>
              <w:adjustRightInd w:val="0"/>
              <w:snapToGrid w:val="0"/>
              <w:spacing w:beforeAutospacing="0" w:after="0" w:afterAutospacing="0" w:line="360" w:lineRule="auto"/>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该项目位于安顺市镇宁布依族苗族自治县环翠街道刘关村 日用快消品产业园（从属于镇宁轻工产业园区），租赁贵州汇景 纸业有限公司两栋相邻单层钢结构标准厂房，用地性质为工业用 地。总建筑面积约为 10000m2，分两期建设，分期验收，建设内 容相似，主要包括生产车间、原料仓库、成品仓库等；一期建设 15 条生产线，厂房建筑面积约 4860m2，年产可生降解塑料 2500 吨；二期建设 15 条生产线，厂房建筑面积约 5160m，年产可生 物降解塑料 2700 吨。</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根据《产业结构调整指导目录》，本项目属于鼓励类“十九轻工”中“5、生物可降解塑料及其系列产品开发、生产与应用”，符合国家产业政策。该项目选址不在依法划定的饮用水源保护 区、自然保护区、风景名胜区、重点文物保护单位、珍稀动植物 资源等区域，不在生态红线范围内，选址合理。在严格落实《报告表》和本批复提出的各项生态环境保护措施后，不利生态环境 影响可以得到缓解或控制。因此，我局原则同意《报告表》的中 所列的性质、规模、地点、采用的工艺和采取的生态环境保护措施。</w:t>
            </w:r>
          </w:p>
          <w:p>
            <w:pPr>
              <w:keepNext w:val="0"/>
              <w:keepLines w:val="0"/>
              <w:pageBreakBefore w:val="0"/>
              <w:widowControl/>
              <w:numPr>
                <w:ilvl w:val="0"/>
                <w:numId w:val="5"/>
              </w:numPr>
              <w:kinsoku/>
              <w:wordWrap/>
              <w:overflowPunct/>
              <w:topLinePunct w:val="0"/>
              <w:autoSpaceDE/>
              <w:autoSpaceDN/>
              <w:bidi w:val="0"/>
              <w:adjustRightInd w:val="0"/>
              <w:snapToGrid w:val="0"/>
              <w:spacing w:beforeAutospacing="0" w:after="0" w:afterAutospacing="0" w:line="360" w:lineRule="auto"/>
              <w:ind w:left="0" w:leftChars="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减缓项目建设对生态环境影响的主要措施</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项目建设和运营过程中要认真落实《报告表》中提出的各项 环境保护措施，重点做好以下工作：</w:t>
            </w:r>
          </w:p>
          <w:p>
            <w:pPr>
              <w:keepNext w:val="0"/>
              <w:keepLines w:val="0"/>
              <w:pageBreakBefore w:val="0"/>
              <w:widowControl/>
              <w:numPr>
                <w:ilvl w:val="0"/>
                <w:numId w:val="6"/>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加强水环境保护。施工期主要为施工工人产生的生活 污水，依托贵州汇景纸业有限公司原有卫生设施，生活污水经化 粪池处理后排入镇宁自治县污水处理厂。运营期产生的生活污水、车间清洁废水经化粪池经化粪池预处理达到《污水排入城镇 下水道水质标准》（GBT31962-2015）标准限值后排入镇宁自治 县污水处理厂处理。</w:t>
            </w:r>
          </w:p>
          <w:p>
            <w:pPr>
              <w:keepNext w:val="0"/>
              <w:keepLines w:val="0"/>
              <w:pageBreakBefore w:val="0"/>
              <w:widowControl/>
              <w:numPr>
                <w:ilvl w:val="0"/>
                <w:numId w:val="6"/>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大气环境保护。施工期切实采取扬尘（粉尘）污染防治措施，产生的废装修材料须堆放在室内，不得随意乱堆、乱放，装修材料运输过程中进行遮盖，室内通过洒水抑尘等措施，防治扬尘（粉尘）污染防治。运营期吹膜、印刷及造粒过程产生 的有机废气，在产生位置上方设置集气罩对废气进行收集，然后采用“UV 光解处理设备+活性炭吸附处理装置”处理达标后，经由不低于15m高排气筒排放，有组织排放速率和排放浓度满足《合成树脂工业污染物排放标准》（GB31572-2015）中的大气污 染物排放限值，无组织排放满足《挥发性有机物无组织排放控制 标准》（GB37822-2019）中的无组织排放限值。</w:t>
            </w:r>
          </w:p>
          <w:p>
            <w:pPr>
              <w:keepNext w:val="0"/>
              <w:keepLines w:val="0"/>
              <w:pageBreakBefore w:val="0"/>
              <w:widowControl/>
              <w:numPr>
                <w:ilvl w:val="0"/>
                <w:numId w:val="6"/>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加强噪声污染防治。施工期合理安排施工时间，选用低噪声设备，在高噪声设备周围设置遮挡装置等措施，施工期噪声执行《建筑施工场界环境噪声排放标准》（GB12523-2011）限 值标准市。运营期选用低噪声设备，采取消声、隔音、减振等降噪措施，加强厂区绿化，确保各场地厂界噪声值达到《工业企业厂界环境噪声排放标准》（GB12348-2008）中3类区标准。</w:t>
            </w:r>
          </w:p>
          <w:p>
            <w:pPr>
              <w:keepNext w:val="0"/>
              <w:keepLines w:val="0"/>
              <w:pageBreakBefore w:val="0"/>
              <w:widowControl/>
              <w:numPr>
                <w:ilvl w:val="0"/>
                <w:numId w:val="6"/>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加强固体废物污染防治。施工期生活垃圾集中收集交由环卫部门处理，废装修材料收集后运至建筑垃圾堆存处。运营 期的生活垃圾、废包装由当地环卫部门统一清运；切袋边角料全 部用作造粒，回用于生产过程；废油墨空桶、废活性炭、废润滑油和废机油属于危险废物，集中收集后定期交由有危险废物处置资质单位处置，危废处置应满足《危险废物贮存污染控制标准》(GB18597-2001)及《危险废物收集、贮存、运输技术规范》(HJ2025- 2012)中有关危险废物收集、贮存要求，并按照《危险 废物贮存污染控制标准》(GB18597-2001)建设危废暂存间应。</w:t>
            </w:r>
          </w:p>
          <w:p>
            <w:pPr>
              <w:keepNext w:val="0"/>
              <w:keepLines w:val="0"/>
              <w:pageBreakBefore w:val="0"/>
              <w:widowControl/>
              <w:numPr>
                <w:ilvl w:val="0"/>
                <w:numId w:val="6"/>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加强应急管理。制定完善突发环境污染事故应急预案及相应的应急措施，加强环境管理，确保环境安全。</w:t>
            </w:r>
          </w:p>
          <w:p>
            <w:pPr>
              <w:keepNext w:val="0"/>
              <w:keepLines w:val="0"/>
              <w:pageBreakBefore w:val="0"/>
              <w:widowControl/>
              <w:numPr>
                <w:ilvl w:val="0"/>
                <w:numId w:val="5"/>
              </w:numPr>
              <w:kinsoku/>
              <w:wordWrap/>
              <w:overflowPunct/>
              <w:topLinePunct w:val="0"/>
              <w:autoSpaceDE/>
              <w:autoSpaceDN/>
              <w:bidi w:val="0"/>
              <w:adjustRightInd w:val="0"/>
              <w:snapToGrid w:val="0"/>
              <w:spacing w:beforeAutospacing="0" w:after="0" w:afterAutospacing="0" w:line="360" w:lineRule="auto"/>
              <w:ind w:left="0" w:leftChars="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项目建设和运行中应注意以下事项</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（一）认真落实环境保护“三同时”制度。将环境保护设施 建设纳入施工合同，并在项目建设过程中严格落实各项环境保护对策措施。</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报告表》经批准后，建设项目的性质、规模、地点、采用的生产工艺或者防治污染、防止生态破坏的措施五个因素中的一项或一项以上发生重大变动的，建设单位应当重新向审批部门报批《报告表》。本批复自下达之日起超过五年，项目方决定 开工建设的，《报告表》应报原审批部门重新审核。</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（三）建设项目竣工后，你单位应根据《建设项目竣工环境 保护验收暂行办法》（国环规环评（2017）4号）组织环境保护 竣工验收，验收结果向社会公开。</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四、主动接受监督</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你单位在项目建设中、建设后应主动接受各级生态环境部门 的监督检查。该项目的日常环境监督管理工作由安顺市生态环境 局镇宁分局负责。</w:t>
            </w:r>
          </w:p>
          <w:p>
            <w:pPr>
              <w:pStyle w:val="2"/>
              <w:keepNext w:val="0"/>
              <w:keepLines w:val="0"/>
              <w:pageBreakBefore w:val="0"/>
              <w:widowControl/>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sz w:val="24"/>
                <w:szCs w:val="24"/>
              </w:rPr>
            </w:pPr>
          </w:p>
          <w:p>
            <w:pPr>
              <w:bidi w:val="0"/>
              <w:rPr>
                <w:rFonts w:hint="default"/>
              </w:rPr>
            </w:pPr>
          </w:p>
          <w:p>
            <w:pPr>
              <w:bidi w:val="0"/>
              <w:rPr>
                <w:rFonts w:hint="default"/>
              </w:rPr>
            </w:pPr>
          </w:p>
          <w:p>
            <w:pPr>
              <w:bidi w:val="0"/>
              <w:rPr>
                <w:rFonts w:hint="default"/>
              </w:rPr>
            </w:pPr>
          </w:p>
          <w:p>
            <w:pPr>
              <w:bidi w:val="0"/>
              <w:rPr>
                <w:rFonts w:hint="default"/>
              </w:rPr>
            </w:pPr>
          </w:p>
        </w:tc>
      </w:tr>
    </w:tbl>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olor w:val="000000"/>
          <w:sz w:val="21"/>
          <w:szCs w:val="21"/>
        </w:rPr>
      </w:pPr>
      <w:r>
        <w:rPr>
          <w:rFonts w:hint="eastAsia" w:ascii="宋体" w:hAnsi="宋体" w:eastAsia="宋体"/>
          <w:color w:val="000000"/>
          <w:sz w:val="21"/>
          <w:szCs w:val="21"/>
        </w:rPr>
        <w:br w:type="page"/>
      </w:r>
    </w:p>
    <w:p>
      <w:pPr>
        <w:spacing w:after="0" w:afterLines="0" w:line="360" w:lineRule="auto"/>
        <w:outlineLvl w:val="0"/>
        <w:rPr>
          <w:rFonts w:hint="eastAsia" w:eastAsia="仿宋_GB2312"/>
          <w:b/>
          <w:color w:val="000000"/>
          <w:sz w:val="21"/>
          <w:szCs w:val="21"/>
          <w:lang w:eastAsia="zh-CN"/>
        </w:rPr>
      </w:pPr>
      <w:bookmarkStart w:id="5" w:name="_Toc7429"/>
      <w:r>
        <w:rPr>
          <w:rFonts w:hint="eastAsia" w:eastAsia="仿宋_GB2312"/>
          <w:b/>
          <w:color w:val="000000"/>
          <w:sz w:val="21"/>
          <w:szCs w:val="21"/>
          <w:lang w:eastAsia="zh-CN"/>
        </w:rPr>
        <w:t>表五：验收监测内容</w:t>
      </w:r>
      <w:bookmarkEnd w:id="5"/>
    </w:p>
    <w:tbl>
      <w:tblPr>
        <w:tblStyle w:val="11"/>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9" w:hRule="atLeast"/>
          <w:jc w:val="center"/>
        </w:trPr>
        <w:tc>
          <w:tcPr>
            <w:tcW w:w="8924" w:type="dxa"/>
            <w:noWrap w:val="0"/>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before="73" w:beforeLines="20" w:after="0" w:line="360" w:lineRule="auto"/>
              <w:textAlignment w:val="auto"/>
              <w:rPr>
                <w:rFonts w:hint="eastAsia" w:ascii="宋体" w:hAnsi="宋体" w:eastAsia="宋体"/>
                <w:color w:val="000000"/>
                <w:sz w:val="24"/>
                <w:szCs w:val="24"/>
              </w:rPr>
            </w:pPr>
            <w:r>
              <w:rPr>
                <w:rFonts w:hint="eastAsia" w:ascii="宋体" w:hAnsi="宋体" w:eastAsia="宋体"/>
                <w:color w:val="000000"/>
                <w:sz w:val="24"/>
                <w:szCs w:val="24"/>
              </w:rPr>
              <w:t>验收监测质量保证及质量控制：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一、</w:t>
            </w:r>
            <w:r>
              <w:rPr>
                <w:rFonts w:hint="eastAsia" w:ascii="宋体" w:hAnsi="宋体" w:eastAsia="宋体"/>
                <w:color w:val="000000"/>
                <w:sz w:val="24"/>
                <w:szCs w:val="24"/>
              </w:rPr>
              <w:t>验收监测质量保证</w:t>
            </w:r>
          </w:p>
          <w:p>
            <w:pPr>
              <w:pStyle w:val="15"/>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现场取样监测期间</w:t>
            </w:r>
            <w:r>
              <w:rPr>
                <w:rFonts w:hint="default" w:ascii="Times New Roman" w:hAnsi="Times New Roman" w:cs="Times New Roman"/>
                <w:color w:val="000000"/>
                <w:sz w:val="24"/>
                <w:szCs w:val="24"/>
                <w:lang w:val="en-US" w:eastAsia="zh-CN"/>
              </w:rPr>
              <w:t>，及时了解生产工况，保证企业正常生产；</w:t>
            </w:r>
          </w:p>
          <w:p>
            <w:pPr>
              <w:pStyle w:val="15"/>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cs="Times New Roman"/>
                <w:color w:val="000000"/>
                <w:sz w:val="24"/>
                <w:szCs w:val="24"/>
                <w:lang w:val="en-US" w:eastAsia="zh-CN"/>
              </w:rPr>
            </w:pPr>
            <w:r>
              <w:rPr>
                <w:rFonts w:hint="eastAsia" w:cs="Times New Roman"/>
                <w:color w:val="000000"/>
                <w:sz w:val="24"/>
                <w:szCs w:val="24"/>
                <w:lang w:val="en-US" w:eastAsia="zh-CN"/>
              </w:rPr>
              <w:t>现场监测及实验室分析等相关技术人员经培训并考核合格上岗；</w:t>
            </w:r>
          </w:p>
          <w:p>
            <w:pPr>
              <w:pStyle w:val="15"/>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cs="Times New Roman"/>
                <w:color w:val="000000"/>
                <w:sz w:val="24"/>
                <w:szCs w:val="24"/>
                <w:lang w:val="en-US" w:eastAsia="zh-CN"/>
              </w:rPr>
            </w:pPr>
            <w:r>
              <w:rPr>
                <w:rFonts w:hint="eastAsia" w:cs="Times New Roman"/>
                <w:color w:val="000000"/>
                <w:sz w:val="24"/>
                <w:szCs w:val="24"/>
                <w:lang w:val="en-US" w:eastAsia="zh-CN"/>
              </w:rPr>
              <w:t>样品的采集、运输、保存和分析均按照相关标准和规范以及本公司质量要求进行；</w:t>
            </w:r>
          </w:p>
          <w:p>
            <w:pPr>
              <w:pStyle w:val="15"/>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cs="Times New Roman"/>
                <w:color w:val="000000"/>
                <w:sz w:val="24"/>
                <w:szCs w:val="24"/>
                <w:lang w:val="en-US" w:eastAsia="zh-CN"/>
              </w:rPr>
            </w:pPr>
            <w:r>
              <w:rPr>
                <w:rFonts w:hint="eastAsia" w:cs="Times New Roman"/>
                <w:color w:val="000000"/>
                <w:sz w:val="24"/>
                <w:szCs w:val="24"/>
                <w:lang w:val="en-US" w:eastAsia="zh-CN"/>
              </w:rPr>
              <w:t>监测及分析仪器定期校准/检定，并进行相应维护保养，保证其符合有关标准和技术的要求；</w:t>
            </w:r>
          </w:p>
          <w:p>
            <w:pPr>
              <w:pStyle w:val="15"/>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cs="Times New Roman"/>
                <w:color w:val="000000"/>
                <w:sz w:val="24"/>
                <w:szCs w:val="24"/>
                <w:lang w:val="en-US" w:eastAsia="zh-CN"/>
              </w:rPr>
            </w:pPr>
            <w:r>
              <w:rPr>
                <w:rFonts w:hint="eastAsia" w:cs="Times New Roman"/>
                <w:color w:val="000000"/>
                <w:sz w:val="24"/>
                <w:szCs w:val="24"/>
                <w:lang w:val="en-US" w:eastAsia="zh-CN"/>
              </w:rPr>
              <w:t>各项原始记录严格按监测技术规范有关要求认真填写和数据处理；</w:t>
            </w:r>
          </w:p>
          <w:p>
            <w:pPr>
              <w:pStyle w:val="15"/>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cs="Times New Roman"/>
                <w:color w:val="000000"/>
                <w:sz w:val="24"/>
                <w:szCs w:val="24"/>
                <w:lang w:val="en-US" w:eastAsia="zh-CN"/>
              </w:rPr>
            </w:pPr>
            <w:r>
              <w:rPr>
                <w:rFonts w:hint="eastAsia" w:cs="Times New Roman"/>
                <w:color w:val="000000"/>
                <w:sz w:val="24"/>
                <w:szCs w:val="24"/>
                <w:lang w:val="en-US" w:eastAsia="zh-CN"/>
              </w:rPr>
              <w:t>监测报告进行三级审核，确保监测数据的有效性、真实性。</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sz w:val="24"/>
                <w:szCs w:val="24"/>
                <w:lang w:eastAsia="zh-CN"/>
              </w:rPr>
            </w:pPr>
            <w:r>
              <w:rPr>
                <w:rFonts w:hint="eastAsia" w:ascii="宋体" w:hAnsi="宋体" w:cs="宋体"/>
                <w:color w:val="000000"/>
                <w:sz w:val="24"/>
                <w:szCs w:val="24"/>
                <w:lang w:eastAsia="zh-CN"/>
              </w:rPr>
              <w:t>监测分析方法及使用仪器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宋体" w:hAnsi="宋体" w:cs="宋体"/>
                <w:color w:val="000000"/>
                <w:szCs w:val="21"/>
                <w:lang w:val="en-US" w:eastAsia="zh-CN"/>
              </w:rPr>
            </w:pPr>
            <w:r>
              <w:rPr>
                <w:rFonts w:hint="eastAsia" w:ascii="宋体" w:hAnsi="宋体" w:cs="宋体"/>
                <w:color w:val="000000"/>
                <w:szCs w:val="21"/>
                <w:lang w:eastAsia="zh-CN"/>
              </w:rPr>
              <w:t>表</w:t>
            </w:r>
            <w:r>
              <w:rPr>
                <w:rFonts w:hint="default" w:ascii="Times New Roman" w:hAnsi="Times New Roman" w:cs="Times New Roman"/>
                <w:color w:val="000000"/>
                <w:szCs w:val="21"/>
                <w:lang w:val="en-US" w:eastAsia="zh-CN"/>
              </w:rPr>
              <w:t xml:space="preserve">5 </w:t>
            </w:r>
            <w:r>
              <w:rPr>
                <w:rFonts w:hint="eastAsia" w:ascii="宋体" w:hAnsi="宋体" w:cs="宋体"/>
                <w:color w:val="000000"/>
                <w:szCs w:val="21"/>
                <w:lang w:val="en-US" w:eastAsia="zh-CN"/>
              </w:rPr>
              <w:t xml:space="preserve"> 监测分析方法及使用仪器</w:t>
            </w:r>
          </w:p>
          <w:tbl>
            <w:tblPr>
              <w:tblStyle w:val="11"/>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3220"/>
              <w:gridCol w:w="1470"/>
              <w:gridCol w:w="1310"/>
              <w:gridCol w:w="128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blHeader/>
                <w:jc w:val="center"/>
              </w:trPr>
              <w:tc>
                <w:tcPr>
                  <w:tcW w:w="133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tc>
              <w:tc>
                <w:tcPr>
                  <w:tcW w:w="32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检测方法（</w:t>
                  </w:r>
                  <w:r>
                    <w:rPr>
                      <w:rFonts w:hint="default" w:ascii="Times New Roman" w:hAnsi="Times New Roman" w:eastAsia="宋体" w:cs="Times New Roman"/>
                      <w:b w:val="0"/>
                      <w:bCs w:val="0"/>
                      <w:sz w:val="21"/>
                      <w:szCs w:val="21"/>
                      <w:lang w:eastAsia="zh-CN"/>
                    </w:rPr>
                    <w:t>依据</w:t>
                  </w:r>
                  <w:r>
                    <w:rPr>
                      <w:rFonts w:hint="default" w:ascii="Times New Roman" w:hAnsi="Times New Roman" w:eastAsia="宋体" w:cs="Times New Roman"/>
                      <w:b w:val="0"/>
                      <w:bCs w:val="0"/>
                      <w:sz w:val="21"/>
                      <w:szCs w:val="21"/>
                    </w:rPr>
                    <w:t>）</w:t>
                  </w:r>
                </w:p>
              </w:tc>
              <w:tc>
                <w:tcPr>
                  <w:tcW w:w="27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使用仪器</w:t>
                  </w:r>
                </w:p>
              </w:tc>
              <w:tc>
                <w:tcPr>
                  <w:tcW w:w="128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方法检</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566" w:hRule="atLeast"/>
                <w:tblHeader/>
                <w:jc w:val="center"/>
              </w:trPr>
              <w:tc>
                <w:tcPr>
                  <w:tcW w:w="133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rPr>
                  </w:pPr>
                </w:p>
              </w:tc>
              <w:tc>
                <w:tcPr>
                  <w:tcW w:w="32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rPr>
                  </w:pPr>
                </w:p>
              </w:tc>
              <w:tc>
                <w:tcPr>
                  <w:tcW w:w="147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名称</w:t>
                  </w:r>
                </w:p>
              </w:tc>
              <w:tc>
                <w:tcPr>
                  <w:tcW w:w="13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型号</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879" w:hRule="atLeast"/>
                <w:jc w:val="center"/>
              </w:trPr>
              <w:tc>
                <w:tcPr>
                  <w:tcW w:w="13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Cs/>
                      <w:color w:val="000000"/>
                      <w:sz w:val="21"/>
                      <w:szCs w:val="21"/>
                      <w:lang w:eastAsia="zh-CN"/>
                    </w:rPr>
                    <w:t>颗粒物</w:t>
                  </w:r>
                </w:p>
              </w:tc>
              <w:tc>
                <w:tcPr>
                  <w:tcW w:w="32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eastAsia="zh-CN"/>
                    </w:rPr>
                    <w:t>环境空气</w:t>
                  </w:r>
                  <w:r>
                    <w:rPr>
                      <w:rFonts w:hint="default" w:ascii="Times New Roman" w:hAnsi="Times New Roman" w:eastAsia="宋体" w:cs="Times New Roman"/>
                      <w:sz w:val="21"/>
                      <w:szCs w:val="21"/>
                      <w:lang w:val="en-US" w:eastAsia="zh-CN"/>
                    </w:rPr>
                    <w:t xml:space="preserve"> 总悬浮颗粒物的测定 </w:t>
                  </w:r>
                  <w:r>
                    <w:rPr>
                      <w:rFonts w:hint="default" w:ascii="Times New Roman" w:hAnsi="Times New Roman" w:eastAsia="宋体" w:cs="Times New Roman"/>
                      <w:sz w:val="21"/>
                      <w:szCs w:val="21"/>
                    </w:rPr>
                    <w:t xml:space="preserve">重量法 </w:t>
                  </w:r>
                  <w:r>
                    <w:rPr>
                      <w:rFonts w:hint="default" w:ascii="Times New Roman" w:hAnsi="Times New Roman" w:eastAsia="宋体" w:cs="Times New Roman"/>
                      <w:sz w:val="21"/>
                      <w:szCs w:val="21"/>
                      <w:lang w:val="en-US" w:eastAsia="zh-CN"/>
                    </w:rPr>
                    <w:t>GB/T 15432-1995</w:t>
                  </w:r>
                </w:p>
              </w:tc>
              <w:tc>
                <w:tcPr>
                  <w:tcW w:w="147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电子天平</w:t>
                  </w:r>
                </w:p>
              </w:tc>
              <w:tc>
                <w:tcPr>
                  <w:tcW w:w="13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AB145S</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0.001mg/m</w:t>
                  </w:r>
                  <w:r>
                    <w:rPr>
                      <w:rFonts w:hint="default" w:ascii="Times New Roman" w:hAnsi="Times New Roman" w:eastAsia="宋体" w:cs="Times New Roman"/>
                      <w:b w:val="0"/>
                      <w:bCs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933" w:hRule="atLeast"/>
                <w:jc w:val="center"/>
              </w:trPr>
              <w:tc>
                <w:tcPr>
                  <w:tcW w:w="13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lang w:eastAsia="zh-CN"/>
                    </w:rPr>
                    <w:t>非甲烷总烃</w:t>
                  </w:r>
                </w:p>
              </w:tc>
              <w:tc>
                <w:tcPr>
                  <w:tcW w:w="32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固定污染源废气</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总烃、甲烷和非甲烷总烃的测定</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气相色谱</w:t>
                  </w:r>
                </w:p>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HJ 38-2017</w:t>
                  </w:r>
                </w:p>
              </w:tc>
              <w:tc>
                <w:tcPr>
                  <w:tcW w:w="14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气相色谱仪</w:t>
                  </w:r>
                </w:p>
              </w:tc>
              <w:tc>
                <w:tcPr>
                  <w:tcW w:w="13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sz w:val="21"/>
                      <w:szCs w:val="21"/>
                      <w:u w:val="none"/>
                      <w:lang w:val="en-US" w:eastAsia="zh-CN" w:bidi="ar-SA"/>
                    </w:rPr>
                  </w:pPr>
                  <w:r>
                    <w:rPr>
                      <w:rFonts w:hint="default" w:ascii="Times New Roman" w:hAnsi="Times New Roman" w:cs="Times New Roman"/>
                      <w:szCs w:val="22"/>
                    </w:rPr>
                    <w:t>7890B</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eastAsia" w:ascii="Times New Roman" w:hAnsi="Times New Roman" w:eastAsia="宋体" w:cs="Times New Roman"/>
                      <w:b w:val="0"/>
                      <w:bCs w:val="0"/>
                      <w:sz w:val="21"/>
                      <w:szCs w:val="21"/>
                      <w:lang w:val="en-US" w:eastAsia="zh-CN" w:bidi="ar-SA"/>
                    </w:rPr>
                    <w:t>0.007</w:t>
                  </w:r>
                  <w:r>
                    <w:rPr>
                      <w:rFonts w:hint="default" w:ascii="Times New Roman" w:hAnsi="Times New Roman" w:eastAsia="宋体" w:cs="Times New Roman"/>
                      <w:b w:val="0"/>
                      <w:bCs w:val="0"/>
                      <w:sz w:val="21"/>
                      <w:szCs w:val="21"/>
                      <w:lang w:val="en-US" w:eastAsia="zh-CN"/>
                    </w:rPr>
                    <w:t>mg/m</w:t>
                  </w:r>
                  <w:r>
                    <w:rPr>
                      <w:rFonts w:hint="default" w:ascii="Times New Roman" w:hAnsi="Times New Roman" w:eastAsia="宋体" w:cs="Times New Roman"/>
                      <w:b w:val="0"/>
                      <w:bCs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732" w:hRule="atLeast"/>
                <w:jc w:val="center"/>
              </w:trPr>
              <w:tc>
                <w:tcPr>
                  <w:tcW w:w="13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sz w:val="21"/>
                      <w:szCs w:val="21"/>
                      <w:lang w:val="en-US" w:eastAsia="zh-CN" w:bidi="ar-SA"/>
                    </w:rPr>
                  </w:pPr>
                  <w:r>
                    <w:rPr>
                      <w:rFonts w:hint="default" w:ascii="Times New Roman" w:hAnsi="Times New Roman" w:eastAsia="宋体" w:cs="Times New Roman"/>
                      <w:b w:val="0"/>
                      <w:bCs w:val="0"/>
                      <w:sz w:val="21"/>
                      <w:szCs w:val="21"/>
                      <w:lang w:val="en-US" w:eastAsia="zh-CN"/>
                    </w:rPr>
                    <w:t>pH</w:t>
                  </w:r>
                </w:p>
              </w:tc>
              <w:tc>
                <w:tcPr>
                  <w:tcW w:w="32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b w:val="0"/>
                      <w:bCs w:val="0"/>
                      <w:sz w:val="21"/>
                      <w:szCs w:val="21"/>
                      <w:lang w:val="en-US" w:eastAsia="zh-CN"/>
                    </w:rPr>
                    <w:t>水质 pH值的测定 玻璃电极法GB 6920-86</w:t>
                  </w:r>
                </w:p>
              </w:tc>
              <w:tc>
                <w:tcPr>
                  <w:tcW w:w="147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笔式酸度计</w:t>
                  </w:r>
                </w:p>
              </w:tc>
              <w:tc>
                <w:tcPr>
                  <w:tcW w:w="13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Ph-100B</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754" w:hRule="atLeast"/>
                <w:jc w:val="center"/>
              </w:trPr>
              <w:tc>
                <w:tcPr>
                  <w:tcW w:w="13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sz w:val="21"/>
                      <w:szCs w:val="21"/>
                      <w:lang w:val="en-US" w:eastAsia="zh-CN" w:bidi="ar-SA"/>
                    </w:rPr>
                  </w:pPr>
                  <w:r>
                    <w:rPr>
                      <w:rFonts w:hint="default" w:ascii="Times New Roman" w:hAnsi="Times New Roman" w:eastAsia="宋体" w:cs="Times New Roman"/>
                      <w:bCs/>
                      <w:color w:val="000000"/>
                      <w:sz w:val="21"/>
                      <w:szCs w:val="21"/>
                      <w:lang w:eastAsia="zh-CN"/>
                    </w:rPr>
                    <w:t>悬浮物</w:t>
                  </w:r>
                </w:p>
              </w:tc>
              <w:tc>
                <w:tcPr>
                  <w:tcW w:w="32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水质 悬浮物的测定 重量法</w:t>
                  </w:r>
                </w:p>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GB 11901-89</w:t>
                  </w:r>
                </w:p>
              </w:tc>
              <w:tc>
                <w:tcPr>
                  <w:tcW w:w="147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电子天平</w:t>
                  </w:r>
                </w:p>
              </w:tc>
              <w:tc>
                <w:tcPr>
                  <w:tcW w:w="13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FA2004N</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715" w:hRule="atLeast"/>
                <w:jc w:val="center"/>
              </w:trPr>
              <w:tc>
                <w:tcPr>
                  <w:tcW w:w="13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sz w:val="21"/>
                      <w:szCs w:val="21"/>
                      <w:lang w:val="en-US" w:eastAsia="zh-CN" w:bidi="ar-SA"/>
                    </w:rPr>
                  </w:pPr>
                  <w:r>
                    <w:rPr>
                      <w:rFonts w:hint="default" w:ascii="Times New Roman" w:hAnsi="Times New Roman" w:eastAsia="宋体" w:cs="Times New Roman"/>
                      <w:bCs/>
                      <w:color w:val="000000"/>
                      <w:sz w:val="21"/>
                      <w:szCs w:val="21"/>
                      <w:lang w:val="en-US" w:eastAsia="zh-CN"/>
                    </w:rPr>
                    <w:t>五日生化需氧量</w:t>
                  </w:r>
                </w:p>
              </w:tc>
              <w:tc>
                <w:tcPr>
                  <w:tcW w:w="32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水质 五日生化需氧量的测定 稀释接种法HJ</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05-2009</w:t>
                  </w:r>
                </w:p>
              </w:tc>
              <w:tc>
                <w:tcPr>
                  <w:tcW w:w="147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eastAsia="zh-CN"/>
                    </w:rPr>
                    <w:t>滴定管</w:t>
                  </w:r>
                </w:p>
              </w:tc>
              <w:tc>
                <w:tcPr>
                  <w:tcW w:w="13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787" w:hRule="atLeast"/>
                <w:jc w:val="center"/>
              </w:trPr>
              <w:tc>
                <w:tcPr>
                  <w:tcW w:w="13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sz w:val="21"/>
                      <w:szCs w:val="21"/>
                      <w:lang w:val="en-US" w:eastAsia="zh-CN" w:bidi="ar-SA"/>
                    </w:rPr>
                  </w:pPr>
                  <w:r>
                    <w:rPr>
                      <w:rFonts w:hint="default" w:ascii="Times New Roman" w:hAnsi="Times New Roman" w:eastAsia="宋体" w:cs="Times New Roman"/>
                      <w:bCs/>
                      <w:color w:val="000000"/>
                      <w:sz w:val="21"/>
                      <w:szCs w:val="21"/>
                      <w:lang w:val="en-US" w:eastAsia="zh-CN"/>
                    </w:rPr>
                    <w:t>氨氮</w:t>
                  </w:r>
                </w:p>
              </w:tc>
              <w:tc>
                <w:tcPr>
                  <w:tcW w:w="32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水质 氨氮的测定 纳氏试剂分光光度法HJ 535-2009</w:t>
                  </w:r>
                </w:p>
              </w:tc>
              <w:tc>
                <w:tcPr>
                  <w:tcW w:w="147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紫外可见分光光度计</w:t>
                  </w:r>
                </w:p>
              </w:tc>
              <w:tc>
                <w:tcPr>
                  <w:tcW w:w="13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UV-9600</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773" w:hRule="atLeast"/>
                <w:jc w:val="center"/>
              </w:trPr>
              <w:tc>
                <w:tcPr>
                  <w:tcW w:w="13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sz w:val="21"/>
                      <w:szCs w:val="21"/>
                      <w:lang w:val="en-US" w:eastAsia="zh-CN" w:bidi="ar-SA"/>
                    </w:rPr>
                  </w:pPr>
                  <w:r>
                    <w:rPr>
                      <w:rFonts w:hint="default" w:ascii="Times New Roman" w:hAnsi="Times New Roman" w:eastAsia="宋体" w:cs="Times New Roman"/>
                      <w:bCs/>
                      <w:color w:val="000000"/>
                      <w:sz w:val="21"/>
                      <w:szCs w:val="21"/>
                      <w:lang w:val="en-US" w:eastAsia="zh-CN"/>
                    </w:rPr>
                    <w:t>化学需氧量</w:t>
                  </w:r>
                </w:p>
              </w:tc>
              <w:tc>
                <w:tcPr>
                  <w:tcW w:w="32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水质 化学需氧量的测定 重铬酸盐法</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HJ 828-2017</w:t>
                  </w:r>
                </w:p>
              </w:tc>
              <w:tc>
                <w:tcPr>
                  <w:tcW w:w="147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eastAsia="zh-CN"/>
                    </w:rPr>
                    <w:t>滴定管</w:t>
                  </w:r>
                </w:p>
              </w:tc>
              <w:tc>
                <w:tcPr>
                  <w:tcW w:w="13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944" w:hRule="atLeast"/>
                <w:jc w:val="center"/>
              </w:trPr>
              <w:tc>
                <w:tcPr>
                  <w:tcW w:w="13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val="en-US" w:eastAsia="zh-CN"/>
                    </w:rPr>
                    <w:t>等效A声级</w:t>
                  </w:r>
                </w:p>
              </w:tc>
              <w:tc>
                <w:tcPr>
                  <w:tcW w:w="32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工业企业厂界环境噪声排放标准GB 12348-2008</w:t>
                  </w:r>
                </w:p>
              </w:tc>
              <w:tc>
                <w:tcPr>
                  <w:tcW w:w="147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多功能声级计</w:t>
                  </w:r>
                </w:p>
              </w:tc>
              <w:tc>
                <w:tcPr>
                  <w:tcW w:w="13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AWA5688</w:t>
                  </w:r>
                </w:p>
              </w:tc>
              <w:tc>
                <w:tcPr>
                  <w:tcW w:w="128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验收监测内容：</w:t>
            </w:r>
          </w:p>
          <w:p>
            <w:pPr>
              <w:pStyle w:val="4"/>
              <w:keepNext/>
              <w:keepLines/>
              <w:pageBreakBefore w:val="0"/>
              <w:widowControl/>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b w:val="0"/>
                <w:color w:val="000000"/>
                <w:sz w:val="24"/>
                <w:szCs w:val="24"/>
                <w:lang w:val="en-US" w:eastAsia="zh-CN" w:bidi="ar-SA"/>
              </w:rPr>
            </w:pPr>
            <w:r>
              <w:rPr>
                <w:rFonts w:hint="eastAsia" w:ascii="Times New Roman" w:hAnsi="Times New Roman" w:eastAsia="宋体" w:cs="Times New Roman"/>
                <w:b w:val="0"/>
                <w:color w:val="000000"/>
                <w:sz w:val="24"/>
                <w:szCs w:val="24"/>
                <w:lang w:val="en-US" w:eastAsia="zh-CN" w:bidi="ar-SA"/>
              </w:rPr>
              <w:t>贵州明德工程咨询有限公司于2020年01月14日~2020年01月14日对该项目进行现场监测及采样。监测内容如下：</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废气监测</w:t>
            </w:r>
            <w:r>
              <w:rPr>
                <w:rFonts w:hint="default" w:ascii="Times New Roman" w:hAnsi="Times New Roman" w:eastAsia="宋体" w:cs="Times New Roman"/>
                <w:color w:val="000000"/>
                <w:sz w:val="24"/>
                <w:szCs w:val="24"/>
                <w:lang w:val="en-US" w:eastAsia="zh-CN"/>
              </w:rPr>
              <w:t>：详见表</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-1.</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表</w:t>
            </w:r>
            <w:r>
              <w:rPr>
                <w:rFonts w:hint="eastAsia" w:ascii="Times New Roman" w:hAnsi="Times New Roman" w:eastAsia="宋体" w:cs="Times New Roman"/>
                <w:color w:val="000000"/>
                <w:sz w:val="21"/>
                <w:szCs w:val="21"/>
                <w:lang w:val="en-US" w:eastAsia="zh-CN"/>
              </w:rPr>
              <w:t>5-1 废气监测内容</w:t>
            </w:r>
          </w:p>
          <w:tbl>
            <w:tblPr>
              <w:tblStyle w:val="12"/>
              <w:tblW w:w="868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3017"/>
              <w:gridCol w:w="1621"/>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416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监测点位</w:t>
                  </w:r>
                </w:p>
              </w:tc>
              <w:tc>
                <w:tcPr>
                  <w:tcW w:w="16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监测项目</w:t>
                  </w:r>
                </w:p>
              </w:tc>
              <w:tc>
                <w:tcPr>
                  <w:tcW w:w="2894"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trPr>
              <w:tc>
                <w:tcPr>
                  <w:tcW w:w="1148"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无组织废气</w:t>
                  </w:r>
                </w:p>
              </w:tc>
              <w:tc>
                <w:tcPr>
                  <w:tcW w:w="3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厂界上风向设置一个参照点，下风向浓度最高点设置3个监控点（</w:t>
                  </w:r>
                  <w:r>
                    <w:rPr>
                      <w:rFonts w:hint="eastAsia" w:ascii="宋体" w:hAnsi="宋体" w:eastAsia="宋体" w:cs="宋体"/>
                      <w:color w:val="000000"/>
                      <w:sz w:val="21"/>
                      <w:szCs w:val="21"/>
                      <w:vertAlign w:val="baseline"/>
                      <w:lang w:val="en-US" w:eastAsia="zh-CN"/>
                    </w:rPr>
                    <w:t>○</w:t>
                  </w:r>
                  <w:r>
                    <w:rPr>
                      <w:rFonts w:hint="default" w:ascii="Times New Roman" w:hAnsi="Times New Roman" w:eastAsia="宋体" w:cs="Times New Roman"/>
                      <w:color w:val="000000"/>
                      <w:sz w:val="21"/>
                      <w:szCs w:val="21"/>
                      <w:vertAlign w:val="baseline"/>
                      <w:lang w:val="en-US" w:eastAsia="zh-CN"/>
                    </w:rPr>
                    <w:t>UE1~</w:t>
                  </w:r>
                  <w:r>
                    <w:rPr>
                      <w:rFonts w:hint="eastAsia" w:ascii="宋体" w:hAnsi="宋体" w:eastAsia="宋体" w:cs="宋体"/>
                      <w:color w:val="000000"/>
                      <w:sz w:val="21"/>
                      <w:szCs w:val="21"/>
                      <w:vertAlign w:val="baseline"/>
                      <w:lang w:val="en-US" w:eastAsia="zh-CN"/>
                    </w:rPr>
                    <w:t>○</w:t>
                  </w:r>
                  <w:r>
                    <w:rPr>
                      <w:rFonts w:hint="default" w:ascii="Times New Roman" w:hAnsi="Times New Roman" w:eastAsia="宋体" w:cs="Times New Roman"/>
                      <w:color w:val="000000"/>
                      <w:sz w:val="21"/>
                      <w:szCs w:val="21"/>
                      <w:vertAlign w:val="baseline"/>
                      <w:lang w:val="en-US" w:eastAsia="zh-CN"/>
                    </w:rPr>
                    <w:t>UE4）</w:t>
                  </w:r>
                </w:p>
              </w:tc>
              <w:tc>
                <w:tcPr>
                  <w:tcW w:w="16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颗粒物、非甲烷总烃</w:t>
                  </w:r>
                </w:p>
              </w:tc>
              <w:tc>
                <w:tcPr>
                  <w:tcW w:w="2894"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3次/天，2天</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color w:val="000000"/>
                <w:sz w:val="21"/>
                <w:szCs w:val="21"/>
              </w:rPr>
            </w:pP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eastAsia="zh-CN"/>
              </w:rPr>
              <w:t>噪声</w:t>
            </w:r>
            <w:r>
              <w:rPr>
                <w:rFonts w:hint="eastAsia" w:ascii="Times New Roman" w:hAnsi="Times New Roman" w:eastAsia="宋体" w:cs="Times New Roman"/>
                <w:color w:val="000000"/>
                <w:sz w:val="24"/>
                <w:szCs w:val="24"/>
                <w:lang w:val="en-US" w:eastAsia="zh-CN"/>
              </w:rPr>
              <w:t>：详见表5-2</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表5-2 噪声监测内容</w:t>
            </w:r>
          </w:p>
          <w:tbl>
            <w:tblPr>
              <w:tblStyle w:val="12"/>
              <w:tblW w:w="86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6"/>
              <w:gridCol w:w="2887"/>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2886"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监测点位</w:t>
                  </w:r>
                </w:p>
              </w:tc>
              <w:tc>
                <w:tcPr>
                  <w:tcW w:w="2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监测项目</w:t>
                  </w:r>
                </w:p>
              </w:tc>
              <w:tc>
                <w:tcPr>
                  <w:tcW w:w="2887"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2886"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厂界四周（</w:t>
                  </w:r>
                  <w:r>
                    <w:rPr>
                      <w:rFonts w:hint="default" w:ascii="Times New Roman" w:hAnsi="Times New Roman" w:eastAsia="宋体" w:cs="Times New Roman"/>
                      <w:color w:val="000000"/>
                      <w:sz w:val="21"/>
                      <w:szCs w:val="21"/>
                      <w:vertAlign w:val="baseline"/>
                      <w:lang w:val="en-US" w:eastAsia="zh-CN"/>
                    </w:rPr>
                    <w:t>▲N1~▲N4</w:t>
                  </w:r>
                  <w:r>
                    <w:rPr>
                      <w:rFonts w:hint="eastAsia" w:ascii="Times New Roman" w:hAnsi="Times New Roman" w:eastAsia="宋体" w:cs="Times New Roman"/>
                      <w:color w:val="000000"/>
                      <w:sz w:val="21"/>
                      <w:szCs w:val="21"/>
                      <w:vertAlign w:val="baseline"/>
                      <w:lang w:val="en-US" w:eastAsia="zh-CN"/>
                    </w:rPr>
                    <w:t>）</w:t>
                  </w:r>
                </w:p>
              </w:tc>
              <w:tc>
                <w:tcPr>
                  <w:tcW w:w="2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等效连续A声级</w:t>
                  </w:r>
                </w:p>
              </w:tc>
              <w:tc>
                <w:tcPr>
                  <w:tcW w:w="2887"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昼夜各一次，2天</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color w:val="000000"/>
                <w:sz w:val="21"/>
                <w:szCs w:val="21"/>
              </w:rPr>
            </w:pP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废水监测</w:t>
            </w:r>
            <w:r>
              <w:rPr>
                <w:rFonts w:hint="eastAsia" w:ascii="Times New Roman" w:hAnsi="Times New Roman" w:eastAsia="宋体" w:cs="Times New Roman"/>
                <w:color w:val="000000"/>
                <w:sz w:val="24"/>
                <w:szCs w:val="24"/>
                <w:lang w:eastAsia="zh-CN"/>
              </w:rPr>
              <w:t>：详见表</w:t>
            </w:r>
            <w:r>
              <w:rPr>
                <w:rFonts w:hint="eastAsia" w:ascii="Times New Roman" w:hAnsi="Times New Roman" w:eastAsia="宋体" w:cs="Times New Roman"/>
                <w:color w:val="000000"/>
                <w:sz w:val="24"/>
                <w:szCs w:val="24"/>
                <w:lang w:val="en-US" w:eastAsia="zh-CN"/>
              </w:rPr>
              <w:t>5-3</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表</w:t>
            </w:r>
            <w:r>
              <w:rPr>
                <w:rFonts w:hint="eastAsia" w:ascii="Times New Roman" w:hAnsi="Times New Roman" w:eastAsia="宋体" w:cs="Times New Roman"/>
                <w:color w:val="000000"/>
                <w:sz w:val="21"/>
                <w:szCs w:val="21"/>
                <w:lang w:val="en-US" w:eastAsia="zh-CN"/>
              </w:rPr>
              <w:t>5-3 废水监测内容</w:t>
            </w:r>
          </w:p>
          <w:tbl>
            <w:tblPr>
              <w:tblStyle w:val="12"/>
              <w:tblW w:w="87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3437"/>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899"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监测点位</w:t>
                  </w:r>
                </w:p>
              </w:tc>
              <w:tc>
                <w:tcPr>
                  <w:tcW w:w="34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监测项目</w:t>
                  </w:r>
                </w:p>
              </w:tc>
              <w:tc>
                <w:tcPr>
                  <w:tcW w:w="2364"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2899" w:type="dxa"/>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污水处理设施进口以及废水排放口</w:t>
                  </w:r>
                  <w:r>
                    <w:rPr>
                      <w:rFonts w:hint="default" w:ascii="Times New Roman" w:hAnsi="Times New Roman" w:eastAsia="宋体" w:cs="Times New Roman"/>
                      <w:color w:val="000000"/>
                      <w:sz w:val="21"/>
                      <w:szCs w:val="21"/>
                      <w:vertAlign w:val="baseline"/>
                      <w:lang w:val="en-US" w:eastAsia="zh-CN"/>
                    </w:rPr>
                    <w:t>（★IW1、★IW2）</w:t>
                  </w:r>
                </w:p>
              </w:tc>
              <w:tc>
                <w:tcPr>
                  <w:tcW w:w="34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pH、SS、COD</w:t>
                  </w:r>
                  <w:r>
                    <w:rPr>
                      <w:rFonts w:hint="eastAsia" w:ascii="Times New Roman" w:hAnsi="Times New Roman" w:eastAsia="宋体" w:cs="Times New Roman"/>
                      <w:color w:val="000000"/>
                      <w:sz w:val="21"/>
                      <w:szCs w:val="21"/>
                      <w:vertAlign w:val="subscript"/>
                      <w:lang w:val="en-US" w:eastAsia="zh-CN"/>
                    </w:rPr>
                    <w:t>Cr</w:t>
                  </w:r>
                  <w:r>
                    <w:rPr>
                      <w:rFonts w:hint="eastAsia" w:ascii="Times New Roman" w:hAnsi="Times New Roman" w:eastAsia="宋体" w:cs="Times New Roman"/>
                      <w:color w:val="000000"/>
                      <w:sz w:val="21"/>
                      <w:szCs w:val="21"/>
                      <w:vertAlign w:val="baseline"/>
                      <w:lang w:val="en-US" w:eastAsia="zh-CN"/>
                    </w:rPr>
                    <w:t>、BOD</w:t>
                  </w:r>
                  <w:r>
                    <w:rPr>
                      <w:rFonts w:hint="eastAsia" w:ascii="Times New Roman" w:hAnsi="Times New Roman" w:eastAsia="宋体" w:cs="Times New Roman"/>
                      <w:color w:val="000000"/>
                      <w:sz w:val="21"/>
                      <w:szCs w:val="21"/>
                      <w:vertAlign w:val="subscript"/>
                      <w:lang w:val="en-US" w:eastAsia="zh-CN"/>
                    </w:rPr>
                    <w:t>5</w:t>
                  </w:r>
                  <w:r>
                    <w:rPr>
                      <w:rFonts w:hint="eastAsia" w:ascii="Times New Roman" w:hAnsi="Times New Roman" w:eastAsia="宋体" w:cs="Times New Roman"/>
                      <w:color w:val="000000"/>
                      <w:sz w:val="21"/>
                      <w:szCs w:val="21"/>
                      <w:vertAlign w:val="baseline"/>
                      <w:lang w:val="en-US" w:eastAsia="zh-CN"/>
                    </w:rPr>
                    <w:t>、氨氮</w:t>
                  </w:r>
                </w:p>
              </w:tc>
              <w:tc>
                <w:tcPr>
                  <w:tcW w:w="2364" w:type="dxa"/>
                  <w:tcBorders>
                    <w:top w:val="single" w:color="auto" w:sz="4" w:space="0"/>
                    <w:left w:val="single" w:color="auto" w:sz="4" w:space="0"/>
                    <w:bottom w:val="single" w:color="auto" w:sz="4" w:space="0"/>
                    <w:right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4次/天，2天</w:t>
                  </w:r>
                </w:p>
              </w:tc>
            </w:tr>
          </w:tbl>
          <w:p>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default" w:eastAsia="仿宋_GB2312"/>
                <w:color w:val="000000"/>
                <w:szCs w:val="21"/>
                <w:lang w:val="en-US" w:eastAsia="zh-CN"/>
              </w:rPr>
            </w:pPr>
          </w:p>
        </w:tc>
      </w:tr>
    </w:tbl>
    <w:p>
      <w:pPr>
        <w:rPr>
          <w:rFonts w:hint="eastAsia" w:eastAsia="仿宋_GB2312"/>
          <w:color w:val="000000"/>
          <w:sz w:val="21"/>
          <w:szCs w:val="21"/>
        </w:rPr>
      </w:pPr>
      <w:r>
        <w:rPr>
          <w:rFonts w:hint="eastAsia" w:eastAsia="仿宋_GB2312"/>
          <w:color w:val="000000"/>
          <w:sz w:val="21"/>
          <w:szCs w:val="21"/>
        </w:rPr>
        <w:br w:type="page"/>
      </w:r>
    </w:p>
    <w:p>
      <w:pPr>
        <w:spacing w:after="0" w:afterLines="0" w:line="360" w:lineRule="auto"/>
        <w:outlineLvl w:val="0"/>
        <w:rPr>
          <w:rFonts w:hint="default" w:eastAsia="仿宋_GB2312"/>
          <w:b/>
          <w:color w:val="000000"/>
          <w:sz w:val="21"/>
          <w:szCs w:val="21"/>
          <w:lang w:val="en-US" w:eastAsia="zh-CN"/>
        </w:rPr>
      </w:pPr>
      <w:bookmarkStart w:id="6" w:name="_Toc14456"/>
      <w:r>
        <w:rPr>
          <w:rFonts w:hint="eastAsia" w:eastAsia="仿宋_GB2312"/>
          <w:b/>
          <w:color w:val="000000"/>
          <w:sz w:val="21"/>
          <w:szCs w:val="21"/>
          <w:lang w:eastAsia="zh-CN"/>
        </w:rPr>
        <w:t>表</w:t>
      </w:r>
      <w:r>
        <w:rPr>
          <w:rFonts w:hint="eastAsia" w:eastAsia="仿宋_GB2312"/>
          <w:b/>
          <w:color w:val="000000"/>
          <w:sz w:val="21"/>
          <w:szCs w:val="21"/>
          <w:lang w:val="en-US" w:eastAsia="zh-CN"/>
        </w:rPr>
        <w:t>六：监测结果</w:t>
      </w:r>
      <w:bookmarkEnd w:id="6"/>
    </w:p>
    <w:tbl>
      <w:tblPr>
        <w:tblStyle w:val="11"/>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4" w:hRule="atLeast"/>
          <w:jc w:val="center"/>
        </w:trPr>
        <w:tc>
          <w:tcPr>
            <w:tcW w:w="9362" w:type="dxa"/>
            <w:noWrap w:val="0"/>
            <w:vAlign w:val="top"/>
          </w:tcPr>
          <w:p>
            <w:pPr>
              <w:keepNext w:val="0"/>
              <w:keepLines w:val="0"/>
              <w:pageBreakBefore w:val="0"/>
              <w:widowControl/>
              <w:kinsoku/>
              <w:wordWrap/>
              <w:overflowPunct/>
              <w:topLinePunct w:val="0"/>
              <w:autoSpaceDE/>
              <w:autoSpaceDN/>
              <w:bidi w:val="0"/>
              <w:adjustRightInd w:val="0"/>
              <w:snapToGrid w:val="0"/>
              <w:spacing w:before="63" w:beforeLines="20" w:after="0" w:line="360" w:lineRule="auto"/>
              <w:textAlignment w:val="auto"/>
              <w:rPr>
                <w:rFonts w:hint="eastAsia" w:ascii="宋体" w:hAnsi="宋体" w:eastAsia="宋体"/>
                <w:color w:val="000000"/>
                <w:sz w:val="24"/>
                <w:szCs w:val="24"/>
              </w:rPr>
            </w:pPr>
            <w:r>
              <w:rPr>
                <w:rFonts w:hint="eastAsia" w:ascii="宋体" w:hAnsi="宋体" w:eastAsia="宋体"/>
                <w:color w:val="000000"/>
                <w:sz w:val="24"/>
                <w:szCs w:val="24"/>
                <w:lang w:eastAsia="zh-CN"/>
              </w:rPr>
              <w:t>一、</w:t>
            </w:r>
            <w:r>
              <w:rPr>
                <w:rFonts w:hint="eastAsia" w:ascii="宋体" w:hAnsi="宋体" w:eastAsia="宋体"/>
                <w:color w:val="000000"/>
                <w:sz w:val="24"/>
                <w:szCs w:val="24"/>
              </w:rPr>
              <w:t>验收监测期间生产工况记录：</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eastAsia="zh-CN"/>
              </w:rPr>
              <w:t>贵州明德工程咨询有限公司于</w:t>
            </w:r>
            <w:r>
              <w:rPr>
                <w:rFonts w:hint="eastAsia" w:ascii="Times New Roman" w:hAnsi="Times New Roman" w:eastAsia="宋体" w:cs="Times New Roman"/>
                <w:color w:val="000000"/>
                <w:sz w:val="24"/>
                <w:szCs w:val="24"/>
                <w:lang w:val="en-US" w:eastAsia="zh-CN"/>
              </w:rPr>
              <w:t>2020年01月14日~2020年01月15日对本项目进行现场监测，监测期间生产工况详见表6-1</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eastAsia="仿宋_GB2312"/>
                <w:color w:val="000000"/>
                <w:sz w:val="21"/>
                <w:szCs w:val="21"/>
                <w:vertAlign w:val="baseline"/>
              </w:rPr>
            </w:pPr>
            <w:r>
              <w:rPr>
                <w:rFonts w:hint="eastAsia" w:ascii="Times New Roman" w:hAnsi="Times New Roman" w:eastAsia="宋体" w:cs="Times New Roman"/>
                <w:color w:val="000000"/>
                <w:sz w:val="21"/>
                <w:szCs w:val="21"/>
                <w:lang w:val="en-US" w:eastAsia="zh-CN"/>
              </w:rPr>
              <w:t>表6-1 验收监测期间生产工况一览表</w:t>
            </w:r>
          </w:p>
          <w:tbl>
            <w:tblPr>
              <w:tblStyle w:val="12"/>
              <w:tblW w:w="879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2974"/>
              <w:gridCol w:w="3046"/>
              <w:gridCol w:w="13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42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监测时间</w:t>
                  </w:r>
                </w:p>
              </w:tc>
              <w:tc>
                <w:tcPr>
                  <w:tcW w:w="2974"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设计生产能力</w:t>
                  </w:r>
                </w:p>
              </w:tc>
              <w:tc>
                <w:tcPr>
                  <w:tcW w:w="3046"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实际生产能力</w:t>
                  </w:r>
                </w:p>
              </w:tc>
              <w:tc>
                <w:tcPr>
                  <w:tcW w:w="135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生产负荷（%）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42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2020.01.14</w:t>
                  </w:r>
                </w:p>
              </w:tc>
              <w:tc>
                <w:tcPr>
                  <w:tcW w:w="2974"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生活用可降解塑料袋</w:t>
                  </w:r>
                  <w:r>
                    <w:rPr>
                      <w:rFonts w:hint="eastAsia" w:ascii="Times New Roman" w:hAnsi="Times New Roman" w:eastAsia="宋体" w:cs="Times New Roman"/>
                      <w:color w:val="000000"/>
                      <w:sz w:val="21"/>
                      <w:szCs w:val="21"/>
                      <w:lang w:val="en-US" w:eastAsia="zh-CN"/>
                    </w:rPr>
                    <w:t>2400</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/a</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lang w:eastAsia="zh-CN"/>
                    </w:rPr>
                    <w:t>工业包装可降解塑料袋</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00t</w:t>
                  </w:r>
                  <w:r>
                    <w:rPr>
                      <w:rFonts w:hint="eastAsia" w:ascii="Times New Roman" w:hAnsi="Times New Roman" w:eastAsia="宋体" w:cs="Times New Roman"/>
                      <w:color w:val="000000"/>
                      <w:sz w:val="21"/>
                      <w:szCs w:val="21"/>
                      <w:lang w:val="en-US" w:eastAsia="zh-CN"/>
                    </w:rPr>
                    <w:t>/a</w:t>
                  </w:r>
                </w:p>
              </w:tc>
              <w:tc>
                <w:tcPr>
                  <w:tcW w:w="3046"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生活用可降解塑料袋</w:t>
                  </w:r>
                  <w:r>
                    <w:rPr>
                      <w:rFonts w:hint="eastAsia" w:ascii="Times New Roman" w:hAnsi="Times New Roman" w:eastAsia="宋体" w:cs="Times New Roman"/>
                      <w:color w:val="000000"/>
                      <w:sz w:val="21"/>
                      <w:szCs w:val="21"/>
                      <w:lang w:val="en-US" w:eastAsia="zh-CN"/>
                    </w:rPr>
                    <w:t>7.5</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/d</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color w:val="000000"/>
                      <w:sz w:val="21"/>
                      <w:szCs w:val="21"/>
                      <w:lang w:eastAsia="zh-CN"/>
                    </w:rPr>
                    <w:t>工业包装可降解塑料袋</w:t>
                  </w:r>
                  <w:r>
                    <w:rPr>
                      <w:rFonts w:hint="eastAsia" w:ascii="Times New Roman" w:hAnsi="Times New Roman" w:eastAsia="宋体" w:cs="Times New Roman"/>
                      <w:color w:val="000000"/>
                      <w:sz w:val="21"/>
                      <w:szCs w:val="21"/>
                      <w:lang w:val="en-US" w:eastAsia="zh-CN"/>
                    </w:rPr>
                    <w:t>0.3</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/d</w:t>
                  </w:r>
                </w:p>
              </w:tc>
              <w:tc>
                <w:tcPr>
                  <w:tcW w:w="135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93.6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42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2020.01.15</w:t>
                  </w:r>
                </w:p>
              </w:tc>
              <w:tc>
                <w:tcPr>
                  <w:tcW w:w="2974"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color w:val="000000"/>
                      <w:sz w:val="21"/>
                      <w:szCs w:val="21"/>
                      <w:lang w:eastAsia="zh-CN"/>
                    </w:rPr>
                    <w:t>生活用可降解塑料袋</w:t>
                  </w:r>
                  <w:r>
                    <w:rPr>
                      <w:rFonts w:hint="eastAsia" w:ascii="Times New Roman" w:hAnsi="Times New Roman" w:eastAsia="宋体" w:cs="Times New Roman"/>
                      <w:color w:val="000000"/>
                      <w:sz w:val="21"/>
                      <w:szCs w:val="21"/>
                      <w:lang w:val="en-US" w:eastAsia="zh-CN"/>
                    </w:rPr>
                    <w:t>2400</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/a</w:t>
                  </w:r>
                  <w:r>
                    <w:rPr>
                      <w:rFonts w:hint="default" w:ascii="Times New Roman" w:hAnsi="Times New Roman" w:eastAsia="宋体" w:cs="Times New Roman"/>
                      <w:color w:val="000000"/>
                      <w:sz w:val="21"/>
                      <w:szCs w:val="21"/>
                      <w:lang w:eastAsia="zh-CN"/>
                    </w:rPr>
                    <w:t>、工业包装可降解塑料袋</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00t</w:t>
                  </w:r>
                  <w:r>
                    <w:rPr>
                      <w:rFonts w:hint="eastAsia" w:ascii="Times New Roman" w:hAnsi="Times New Roman" w:eastAsia="宋体" w:cs="Times New Roman"/>
                      <w:color w:val="000000"/>
                      <w:sz w:val="21"/>
                      <w:szCs w:val="21"/>
                      <w:lang w:val="en-US" w:eastAsia="zh-CN"/>
                    </w:rPr>
                    <w:t>/a</w:t>
                  </w:r>
                </w:p>
              </w:tc>
              <w:tc>
                <w:tcPr>
                  <w:tcW w:w="3046"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生活用可降解塑料袋</w:t>
                  </w:r>
                  <w:r>
                    <w:rPr>
                      <w:rFonts w:hint="eastAsia" w:ascii="Times New Roman" w:hAnsi="Times New Roman" w:eastAsia="宋体" w:cs="Times New Roman"/>
                      <w:color w:val="000000"/>
                      <w:sz w:val="21"/>
                      <w:szCs w:val="21"/>
                      <w:lang w:val="en-US" w:eastAsia="zh-CN"/>
                    </w:rPr>
                    <w:t>7.5</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/d</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color w:val="000000"/>
                      <w:sz w:val="21"/>
                      <w:szCs w:val="21"/>
                      <w:lang w:eastAsia="zh-CN"/>
                    </w:rPr>
                    <w:t>工业包装可降解塑料袋</w:t>
                  </w:r>
                  <w:r>
                    <w:rPr>
                      <w:rFonts w:hint="eastAsia" w:ascii="Times New Roman" w:hAnsi="Times New Roman" w:eastAsia="宋体" w:cs="Times New Roman"/>
                      <w:color w:val="000000"/>
                      <w:sz w:val="21"/>
                      <w:szCs w:val="21"/>
                      <w:lang w:val="en-US" w:eastAsia="zh-CN"/>
                    </w:rPr>
                    <w:t>0.3</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/d</w:t>
                  </w:r>
                </w:p>
              </w:tc>
              <w:tc>
                <w:tcPr>
                  <w:tcW w:w="135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color w:val="000000"/>
                      <w:sz w:val="21"/>
                      <w:szCs w:val="21"/>
                      <w:vertAlign w:val="baseline"/>
                      <w:lang w:val="en-US" w:eastAsia="zh-CN"/>
                    </w:rPr>
                    <w:t>93.6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798" w:type="dxa"/>
                  <w:gridSpan w:val="4"/>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left"/>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lang w:eastAsia="zh-CN"/>
                    </w:rPr>
                    <w:t>注：以上工况为监测当日工况数据</w:t>
                  </w:r>
                  <w:r>
                    <w:rPr>
                      <w:rFonts w:hint="eastAsia" w:ascii="Times New Roman" w:hAnsi="Times New Roman" w:eastAsia="宋体" w:cs="Times New Roman"/>
                      <w:color w:val="000000"/>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before="63" w:beforeLines="20" w:after="0" w:line="360" w:lineRule="auto"/>
              <w:ind w:firstLine="480" w:firstLineChars="200"/>
              <w:jc w:val="left"/>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4"/>
                <w:szCs w:val="24"/>
                <w:lang w:eastAsia="zh-CN"/>
              </w:rPr>
              <w:t>由上表可知监测期间该项目生产工况大于</w:t>
            </w:r>
            <w:r>
              <w:rPr>
                <w:rFonts w:hint="eastAsia" w:ascii="Times New Roman" w:hAnsi="Times New Roman" w:eastAsia="宋体" w:cs="Times New Roman"/>
                <w:color w:val="000000"/>
                <w:sz w:val="24"/>
                <w:szCs w:val="24"/>
                <w:lang w:val="en-US" w:eastAsia="zh-CN"/>
              </w:rPr>
              <w:t>75%，属正常生产状态，符合验收条件。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0" w:hRule="atLeast"/>
          <w:jc w:val="center"/>
        </w:trPr>
        <w:tc>
          <w:tcPr>
            <w:tcW w:w="9362"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二、</w:t>
            </w:r>
            <w:r>
              <w:rPr>
                <w:rFonts w:hint="eastAsia" w:ascii="宋体" w:hAnsi="宋体" w:eastAsia="宋体" w:cs="宋体"/>
                <w:sz w:val="24"/>
                <w:szCs w:val="24"/>
              </w:rPr>
              <w:t>验收监测结果：</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该项目废气监测结果见表6-2，监测点位示意图见图6-1。</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表6-2 无组织废气监测结果</w:t>
            </w:r>
          </w:p>
          <w:tbl>
            <w:tblPr>
              <w:tblStyle w:val="11"/>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40"/>
              <w:gridCol w:w="503"/>
              <w:gridCol w:w="1033"/>
              <w:gridCol w:w="2053"/>
              <w:gridCol w:w="1087"/>
              <w:gridCol w:w="1087"/>
              <w:gridCol w:w="1087"/>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atLeast"/>
                <w:tblHeader/>
                <w:jc w:val="center"/>
              </w:trPr>
              <w:tc>
                <w:tcPr>
                  <w:tcW w:w="1140"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检测点位</w:t>
                  </w:r>
                </w:p>
              </w:tc>
              <w:tc>
                <w:tcPr>
                  <w:tcW w:w="50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采样日期</w:t>
                  </w:r>
                </w:p>
              </w:tc>
              <w:tc>
                <w:tcPr>
                  <w:tcW w:w="103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检测项目</w:t>
                  </w: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样品编号</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检测结果</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扣除参照点结果</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标准限值</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上风向</w:t>
                  </w:r>
                </w:p>
              </w:tc>
              <w:tc>
                <w:tcPr>
                  <w:tcW w:w="503" w:type="dxa"/>
                  <w:vMerge w:val="restart"/>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2020.01.14</w:t>
                  </w:r>
                </w:p>
              </w:tc>
              <w:tc>
                <w:tcPr>
                  <w:tcW w:w="1033"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颗粒物</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（μg/m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vertAlign w:val="baseline"/>
                      <w:lang w:val="en-US" w:eastAsia="zh-CN"/>
                    </w:rPr>
                    <w:t>）</w:t>
                  </w: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UE1-101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88</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UE1-102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65</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UE1-103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88</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下风向1</w:t>
                  </w: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UE2-101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138</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50</w:t>
                  </w:r>
                </w:p>
              </w:tc>
              <w:tc>
                <w:tcPr>
                  <w:tcW w:w="1087"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1000.0</w:t>
                  </w:r>
                </w:p>
              </w:tc>
              <w:tc>
                <w:tcPr>
                  <w:tcW w:w="1087"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UE2-102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152</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87</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UE2-103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147</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59</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下风向2</w:t>
                  </w: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UE3-101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130</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42</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UE3-102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128</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63</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UE3-103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123</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35</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下风向3</w:t>
                  </w: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UE4-101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93</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UE4-102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107</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42</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UE4-103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bidi="ar-SA"/>
                    </w:rPr>
                    <w:t>117</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29</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上风向</w:t>
                  </w:r>
                </w:p>
              </w:tc>
              <w:tc>
                <w:tcPr>
                  <w:tcW w:w="503" w:type="dxa"/>
                  <w:vMerge w:val="restart"/>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113" w:leftChars="0" w:right="113" w:righ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2020.01.15</w:t>
                  </w:r>
                </w:p>
              </w:tc>
              <w:tc>
                <w:tcPr>
                  <w:tcW w:w="1033"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颗粒物</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（μg/m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vertAlign w:val="baseline"/>
                      <w:lang w:val="en-US" w:eastAsia="zh-CN"/>
                    </w:rPr>
                    <w:t>）</w:t>
                  </w: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UE1-201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80</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UE1-202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78</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UE1-203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93</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下风向1</w:t>
                  </w:r>
                </w:p>
              </w:tc>
              <w:tc>
                <w:tcPr>
                  <w:tcW w:w="503" w:type="dxa"/>
                  <w:vMerge w:val="restart"/>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113" w:leftChars="0" w:right="113" w:righ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2020.01.15</w:t>
                  </w:r>
                </w:p>
              </w:tc>
              <w:tc>
                <w:tcPr>
                  <w:tcW w:w="1033"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颗粒物</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（μg/m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vertAlign w:val="baseline"/>
                      <w:lang w:val="en-US" w:eastAsia="zh-CN"/>
                    </w:rPr>
                    <w:t>）</w:t>
                  </w: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UE2-201</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138</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58</w:t>
                  </w:r>
                </w:p>
              </w:tc>
              <w:tc>
                <w:tcPr>
                  <w:tcW w:w="1087"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1000.0</w:t>
                  </w:r>
                </w:p>
              </w:tc>
              <w:tc>
                <w:tcPr>
                  <w:tcW w:w="1087"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UE2-202</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158</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80</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UE2-203</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163</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70</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下风向2</w:t>
                  </w: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UE3-201</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120</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40</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UE3-202</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123</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45</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UE3-203</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117</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下风向3</w:t>
                  </w: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UE4-201</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158</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78</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UE4-202</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163</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85</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UE4-203</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145</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52</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上风向</w:t>
                  </w:r>
                </w:p>
              </w:tc>
              <w:tc>
                <w:tcPr>
                  <w:tcW w:w="503" w:type="dxa"/>
                  <w:vMerge w:val="restart"/>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113" w:leftChars="0" w:right="113" w:righ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2020.01.14</w:t>
                  </w:r>
                </w:p>
              </w:tc>
              <w:tc>
                <w:tcPr>
                  <w:tcW w:w="1033"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非甲烷总烃</w:t>
                  </w:r>
                  <w:r>
                    <w:rPr>
                      <w:rFonts w:hint="default" w:ascii="Times New Roman" w:hAnsi="Times New Roman" w:eastAsia="宋体"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w:t>
                  </w:r>
                  <w:r>
                    <w:rPr>
                      <w:rFonts w:hint="default" w:ascii="Times New Roman" w:hAnsi="Times New Roman" w:eastAsia="宋体" w:cs="Times New Roman"/>
                      <w:color w:val="000000"/>
                      <w:sz w:val="21"/>
                      <w:szCs w:val="21"/>
                      <w:vertAlign w:val="baseline"/>
                      <w:lang w:val="en-US" w:eastAsia="zh-CN"/>
                    </w:rPr>
                    <w:t>g/m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vertAlign w:val="baseline"/>
                      <w:lang w:val="en-US" w:eastAsia="zh-CN"/>
                    </w:rPr>
                    <w:t>）</w:t>
                  </w: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w:t>
                  </w:r>
                  <w:r>
                    <w:rPr>
                      <w:rFonts w:hint="eastAsia" w:ascii="Times New Roman" w:hAnsi="Times New Roman" w:eastAsia="宋体" w:cs="Times New Roman"/>
                      <w:color w:val="000000"/>
                      <w:sz w:val="21"/>
                      <w:szCs w:val="21"/>
                      <w:vertAlign w:val="baseline"/>
                      <w:lang w:val="en-US" w:eastAsia="zh-CN"/>
                    </w:rPr>
                    <w:t>-104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bCs/>
                      <w:sz w:val="21"/>
                      <w:szCs w:val="21"/>
                      <w:vertAlign w:val="baseline"/>
                      <w:lang w:val="en-US" w:eastAsia="zh-CN"/>
                    </w:rPr>
                    <w:t>0.27</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10</w:t>
                  </w:r>
                </w:p>
              </w:tc>
              <w:tc>
                <w:tcPr>
                  <w:tcW w:w="1087"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w:t>
                  </w:r>
                  <w:r>
                    <w:rPr>
                      <w:rFonts w:hint="eastAsia" w:ascii="Times New Roman" w:hAnsi="Times New Roman" w:eastAsia="宋体" w:cs="Times New Roman"/>
                      <w:color w:val="000000"/>
                      <w:sz w:val="21"/>
                      <w:szCs w:val="21"/>
                      <w:vertAlign w:val="baseline"/>
                      <w:lang w:val="en-US" w:eastAsia="zh-CN"/>
                    </w:rPr>
                    <w:t>-105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0.72</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w:t>
                  </w:r>
                  <w:r>
                    <w:rPr>
                      <w:rFonts w:hint="eastAsia" w:ascii="Times New Roman" w:hAnsi="Times New Roman" w:eastAsia="宋体" w:cs="Times New Roman"/>
                      <w:color w:val="000000"/>
                      <w:sz w:val="21"/>
                      <w:szCs w:val="21"/>
                      <w:vertAlign w:val="baseline"/>
                      <w:lang w:val="en-US" w:eastAsia="zh-CN"/>
                    </w:rPr>
                    <w:t>-106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ND</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下风向1</w:t>
                  </w: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w:t>
                  </w:r>
                  <w:r>
                    <w:rPr>
                      <w:rFonts w:hint="eastAsia" w:ascii="Times New Roman" w:hAnsi="Times New Roman" w:eastAsia="宋体" w:cs="Times New Roman"/>
                      <w:color w:val="000000"/>
                      <w:sz w:val="21"/>
                      <w:szCs w:val="21"/>
                      <w:vertAlign w:val="baseline"/>
                      <w:lang w:val="en-US" w:eastAsia="zh-CN"/>
                    </w:rPr>
                    <w:t>-104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0.24</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w:t>
                  </w:r>
                  <w:r>
                    <w:rPr>
                      <w:rFonts w:hint="eastAsia" w:ascii="Times New Roman" w:hAnsi="Times New Roman" w:eastAsia="宋体" w:cs="Times New Roman"/>
                      <w:color w:val="000000"/>
                      <w:sz w:val="21"/>
                      <w:szCs w:val="21"/>
                      <w:vertAlign w:val="baseline"/>
                      <w:lang w:val="en-US" w:eastAsia="zh-CN"/>
                    </w:rPr>
                    <w:t>-105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0.26</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w:t>
                  </w:r>
                  <w:r>
                    <w:rPr>
                      <w:rFonts w:hint="eastAsia" w:ascii="Times New Roman" w:hAnsi="Times New Roman" w:eastAsia="宋体" w:cs="Times New Roman"/>
                      <w:color w:val="000000"/>
                      <w:sz w:val="21"/>
                      <w:szCs w:val="21"/>
                      <w:vertAlign w:val="baseline"/>
                      <w:lang w:val="en-US" w:eastAsia="zh-CN"/>
                    </w:rPr>
                    <w:t>-106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0.35</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下风向2</w:t>
                  </w: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w:t>
                  </w:r>
                  <w:r>
                    <w:rPr>
                      <w:rFonts w:hint="eastAsia" w:ascii="Times New Roman" w:hAnsi="Times New Roman" w:eastAsia="宋体" w:cs="Times New Roman"/>
                      <w:color w:val="000000"/>
                      <w:sz w:val="21"/>
                      <w:szCs w:val="21"/>
                      <w:vertAlign w:val="baseline"/>
                      <w:lang w:val="en-US" w:eastAsia="zh-CN"/>
                    </w:rPr>
                    <w:t>-104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0.78</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w:t>
                  </w:r>
                  <w:r>
                    <w:rPr>
                      <w:rFonts w:hint="eastAsia" w:ascii="Times New Roman" w:hAnsi="Times New Roman" w:eastAsia="宋体" w:cs="Times New Roman"/>
                      <w:color w:val="000000"/>
                      <w:sz w:val="21"/>
                      <w:szCs w:val="21"/>
                      <w:vertAlign w:val="baseline"/>
                      <w:lang w:val="en-US" w:eastAsia="zh-CN"/>
                    </w:rPr>
                    <w:t>-105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0.76</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w:t>
                  </w:r>
                  <w:r>
                    <w:rPr>
                      <w:rFonts w:hint="eastAsia" w:ascii="Times New Roman" w:hAnsi="Times New Roman" w:eastAsia="宋体" w:cs="Times New Roman"/>
                      <w:color w:val="000000"/>
                      <w:sz w:val="21"/>
                      <w:szCs w:val="21"/>
                      <w:vertAlign w:val="baseline"/>
                      <w:lang w:val="en-US" w:eastAsia="zh-CN"/>
                    </w:rPr>
                    <w:t>-106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0.76</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下风向3</w:t>
                  </w: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w:t>
                  </w:r>
                  <w:r>
                    <w:rPr>
                      <w:rFonts w:hint="eastAsia" w:ascii="Times New Roman" w:hAnsi="Times New Roman" w:eastAsia="宋体" w:cs="Times New Roman"/>
                      <w:color w:val="000000"/>
                      <w:sz w:val="21"/>
                      <w:szCs w:val="21"/>
                      <w:vertAlign w:val="baseline"/>
                      <w:lang w:val="en-US" w:eastAsia="zh-CN"/>
                    </w:rPr>
                    <w:t>-104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0.78</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w:t>
                  </w:r>
                  <w:r>
                    <w:rPr>
                      <w:rFonts w:hint="eastAsia" w:ascii="Times New Roman" w:hAnsi="Times New Roman" w:eastAsia="宋体" w:cs="Times New Roman"/>
                      <w:color w:val="000000"/>
                      <w:sz w:val="21"/>
                      <w:szCs w:val="21"/>
                      <w:vertAlign w:val="baseline"/>
                      <w:lang w:val="en-US" w:eastAsia="zh-CN"/>
                    </w:rPr>
                    <w:t>-105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0.81</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w:t>
                  </w:r>
                  <w:r>
                    <w:rPr>
                      <w:rFonts w:hint="eastAsia" w:ascii="Times New Roman" w:hAnsi="Times New Roman" w:eastAsia="宋体" w:cs="Times New Roman"/>
                      <w:color w:val="000000"/>
                      <w:sz w:val="21"/>
                      <w:szCs w:val="21"/>
                      <w:vertAlign w:val="baseline"/>
                      <w:lang w:val="en-US" w:eastAsia="zh-CN"/>
                    </w:rPr>
                    <w:t>-106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0.08</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上风向</w:t>
                  </w:r>
                </w:p>
              </w:tc>
              <w:tc>
                <w:tcPr>
                  <w:tcW w:w="503" w:type="dxa"/>
                  <w:vMerge w:val="restart"/>
                  <w:noWrap w:val="0"/>
                  <w:textDirection w:val="btL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113" w:leftChars="0" w:right="113" w:righ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2020.01.15</w:t>
                  </w:r>
                </w:p>
              </w:tc>
              <w:tc>
                <w:tcPr>
                  <w:tcW w:w="1033"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非甲烷总烃</w:t>
                  </w:r>
                  <w:r>
                    <w:rPr>
                      <w:rFonts w:hint="default" w:ascii="Times New Roman" w:hAnsi="Times New Roman" w:eastAsia="宋体"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m</w:t>
                  </w:r>
                  <w:r>
                    <w:rPr>
                      <w:rFonts w:hint="default" w:ascii="Times New Roman" w:hAnsi="Times New Roman" w:eastAsia="宋体" w:cs="Times New Roman"/>
                      <w:color w:val="000000"/>
                      <w:sz w:val="21"/>
                      <w:szCs w:val="21"/>
                      <w:vertAlign w:val="baseline"/>
                      <w:lang w:val="en-US" w:eastAsia="zh-CN"/>
                    </w:rPr>
                    <w:t>g/m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vertAlign w:val="baseline"/>
                      <w:lang w:val="en-US" w:eastAsia="zh-CN"/>
                    </w:rPr>
                    <w:t>）</w:t>
                  </w: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UE1-20</w:t>
                  </w:r>
                  <w:r>
                    <w:rPr>
                      <w:rFonts w:hint="eastAsia" w:ascii="Times New Roman" w:hAnsi="Times New Roman" w:eastAsia="宋体" w:cs="Times New Roman"/>
                      <w:color w:val="000000"/>
                      <w:sz w:val="21"/>
                      <w:szCs w:val="21"/>
                      <w:vertAlign w:val="baseline"/>
                      <w:lang w:val="en-US" w:eastAsia="zh-CN"/>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0.12</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10</w:t>
                  </w:r>
                </w:p>
              </w:tc>
              <w:tc>
                <w:tcPr>
                  <w:tcW w:w="1087"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UE1-20</w:t>
                  </w:r>
                  <w:r>
                    <w:rPr>
                      <w:rFonts w:hint="eastAsia" w:ascii="Times New Roman" w:hAnsi="Times New Roman" w:eastAsia="宋体" w:cs="Times New Roman"/>
                      <w:color w:val="000000"/>
                      <w:sz w:val="21"/>
                      <w:szCs w:val="21"/>
                      <w:vertAlign w:val="baseline"/>
                      <w:lang w:val="en-US" w:eastAsia="zh-CN"/>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0.09</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UE1-20</w:t>
                  </w:r>
                  <w:r>
                    <w:rPr>
                      <w:rFonts w:hint="eastAsia" w:ascii="Times New Roman" w:hAnsi="Times New Roman" w:eastAsia="宋体" w:cs="Times New Roman"/>
                      <w:color w:val="000000"/>
                      <w:sz w:val="21"/>
                      <w:szCs w:val="21"/>
                      <w:vertAlign w:val="baseline"/>
                      <w:lang w:val="en-US" w:eastAsia="zh-CN"/>
                    </w:rPr>
                    <w:t>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0.09</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下风向1</w:t>
                  </w: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UE2-20</w:t>
                  </w:r>
                  <w:r>
                    <w:rPr>
                      <w:rFonts w:hint="eastAsia" w:ascii="Times New Roman" w:hAnsi="Times New Roman" w:eastAsia="宋体" w:cs="Times New Roman"/>
                      <w:color w:val="000000"/>
                      <w:sz w:val="21"/>
                      <w:szCs w:val="21"/>
                      <w:vertAlign w:val="baseline"/>
                      <w:lang w:val="en-US" w:eastAsia="zh-CN"/>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0.29</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UE2-20</w:t>
                  </w:r>
                  <w:r>
                    <w:rPr>
                      <w:rFonts w:hint="eastAsia" w:ascii="Times New Roman" w:hAnsi="Times New Roman" w:eastAsia="宋体" w:cs="Times New Roman"/>
                      <w:color w:val="000000"/>
                      <w:sz w:val="21"/>
                      <w:szCs w:val="21"/>
                      <w:vertAlign w:val="baseline"/>
                      <w:lang w:val="en-US" w:eastAsia="zh-CN"/>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0.07</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UE2-20</w:t>
                  </w:r>
                  <w:r>
                    <w:rPr>
                      <w:rFonts w:hint="eastAsia" w:ascii="Times New Roman" w:hAnsi="Times New Roman" w:eastAsia="宋体" w:cs="Times New Roman"/>
                      <w:color w:val="000000"/>
                      <w:sz w:val="21"/>
                      <w:szCs w:val="21"/>
                      <w:vertAlign w:val="baseline"/>
                      <w:lang w:val="en-US" w:eastAsia="zh-CN"/>
                    </w:rPr>
                    <w:t>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0.11</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下风向2</w:t>
                  </w: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UE3-20</w:t>
                  </w:r>
                  <w:r>
                    <w:rPr>
                      <w:rFonts w:hint="eastAsia" w:ascii="Times New Roman" w:hAnsi="Times New Roman" w:eastAsia="宋体" w:cs="Times New Roman"/>
                      <w:color w:val="000000"/>
                      <w:sz w:val="21"/>
                      <w:szCs w:val="21"/>
                      <w:vertAlign w:val="baseline"/>
                      <w:lang w:val="en-US" w:eastAsia="zh-CN"/>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0.49</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UE3-20</w:t>
                  </w:r>
                  <w:r>
                    <w:rPr>
                      <w:rFonts w:hint="eastAsia" w:ascii="Times New Roman" w:hAnsi="Times New Roman" w:eastAsia="宋体" w:cs="Times New Roman"/>
                      <w:color w:val="000000"/>
                      <w:sz w:val="21"/>
                      <w:szCs w:val="21"/>
                      <w:vertAlign w:val="baseline"/>
                      <w:lang w:val="en-US" w:eastAsia="zh-CN"/>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0.77</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UE3-20</w:t>
                  </w:r>
                  <w:r>
                    <w:rPr>
                      <w:rFonts w:hint="eastAsia" w:ascii="Times New Roman" w:hAnsi="Times New Roman" w:eastAsia="宋体" w:cs="Times New Roman"/>
                      <w:color w:val="000000"/>
                      <w:sz w:val="21"/>
                      <w:szCs w:val="21"/>
                      <w:vertAlign w:val="baseline"/>
                      <w:lang w:val="en-US" w:eastAsia="zh-CN"/>
                    </w:rPr>
                    <w:t>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bCs/>
                      <w:sz w:val="21"/>
                      <w:szCs w:val="21"/>
                      <w:vertAlign w:val="baseline"/>
                      <w:lang w:val="en-US" w:eastAsia="zh-CN"/>
                    </w:rPr>
                    <w:t>0.27</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下风向3</w:t>
                  </w: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UE4-20</w:t>
                  </w:r>
                  <w:r>
                    <w:rPr>
                      <w:rFonts w:hint="eastAsia" w:ascii="Times New Roman" w:hAnsi="Times New Roman" w:eastAsia="宋体" w:cs="Times New Roman"/>
                      <w:color w:val="000000"/>
                      <w:sz w:val="21"/>
                      <w:szCs w:val="21"/>
                      <w:vertAlign w:val="baseline"/>
                      <w:lang w:val="en-US" w:eastAsia="zh-CN"/>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0.72</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UE4-20</w:t>
                  </w:r>
                  <w:r>
                    <w:rPr>
                      <w:rFonts w:hint="eastAsia" w:ascii="Times New Roman" w:hAnsi="Times New Roman" w:eastAsia="宋体" w:cs="Times New Roman"/>
                      <w:color w:val="000000"/>
                      <w:sz w:val="21"/>
                      <w:szCs w:val="21"/>
                      <w:vertAlign w:val="baseline"/>
                      <w:lang w:val="en-US" w:eastAsia="zh-CN"/>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ND</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1" w:hRule="exact"/>
                <w:jc w:val="center"/>
              </w:trPr>
              <w:tc>
                <w:tcPr>
                  <w:tcW w:w="114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50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33"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2053"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MDJ</w:t>
                  </w:r>
                  <w:r>
                    <w:rPr>
                      <w:rFonts w:hint="eastAsia" w:ascii="Times New Roman" w:hAnsi="Times New Roman" w:eastAsia="宋体" w:cs="Times New Roman"/>
                      <w:color w:val="000000"/>
                      <w:sz w:val="21"/>
                      <w:szCs w:val="21"/>
                      <w:vertAlign w:val="baseline"/>
                      <w:lang w:val="en-US" w:eastAsia="zh-CN"/>
                    </w:rPr>
                    <w:t>19-0440</w:t>
                  </w:r>
                  <w:r>
                    <w:rPr>
                      <w:rFonts w:hint="default" w:ascii="Times New Roman" w:hAnsi="Times New Roman" w:eastAsia="宋体" w:cs="Times New Roman"/>
                      <w:color w:val="000000"/>
                      <w:sz w:val="21"/>
                      <w:szCs w:val="21"/>
                      <w:vertAlign w:val="baseline"/>
                      <w:lang w:val="en-US" w:eastAsia="zh-CN"/>
                    </w:rPr>
                    <w:t>UE4-20</w:t>
                  </w:r>
                  <w:r>
                    <w:rPr>
                      <w:rFonts w:hint="eastAsia" w:ascii="Times New Roman" w:hAnsi="Times New Roman" w:eastAsia="宋体" w:cs="Times New Roman"/>
                      <w:color w:val="000000"/>
                      <w:sz w:val="21"/>
                      <w:szCs w:val="21"/>
                      <w:vertAlign w:val="baseline"/>
                      <w:lang w:val="en-US" w:eastAsia="zh-CN"/>
                    </w:rPr>
                    <w:t>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bidi="ar-SA"/>
                    </w:rPr>
                    <w:t>0.24</w:t>
                  </w:r>
                </w:p>
              </w:tc>
              <w:tc>
                <w:tcPr>
                  <w:tcW w:w="108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87"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rPr>
                <w:rFonts w:hint="default"/>
                <w:lang w:val="en-US" w:eastAsia="zh-CN"/>
              </w:rPr>
            </w:pPr>
          </w:p>
          <w:p>
            <w:pPr>
              <w:keepNext w:val="0"/>
              <w:keepLines w:val="0"/>
              <w:pageBreakBefore w:val="0"/>
              <w:widowControl/>
              <w:numPr>
                <w:ilvl w:val="0"/>
                <w:numId w:val="10"/>
              </w:numPr>
              <w:kinsoku/>
              <w:wordWrap/>
              <w:overflowPunct/>
              <w:topLinePunct w:val="0"/>
              <w:autoSpaceDE/>
              <w:autoSpaceDN/>
              <w:bidi w:val="0"/>
              <w:adjustRightInd w:val="0"/>
              <w:snapToGrid w:val="0"/>
              <w:spacing w:before="63" w:beforeLines="20" w:after="0" w:line="360" w:lineRule="auto"/>
              <w:ind w:left="0" w:leftChars="0" w:firstLine="0" w:firstLineChars="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该项目噪声监测结果见表6-3</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表6-3 噪声监测结果</w:t>
            </w:r>
          </w:p>
          <w:tbl>
            <w:tblPr>
              <w:tblStyle w:val="12"/>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241"/>
              <w:gridCol w:w="1061"/>
              <w:gridCol w:w="1061"/>
              <w:gridCol w:w="1200"/>
              <w:gridCol w:w="1140"/>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blHeader/>
                <w:jc w:val="center"/>
              </w:trPr>
              <w:tc>
                <w:tcPr>
                  <w:tcW w:w="1740"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监测点位</w:t>
                  </w:r>
                </w:p>
              </w:tc>
              <w:tc>
                <w:tcPr>
                  <w:tcW w:w="1241"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监测日期</w:t>
                  </w:r>
                </w:p>
              </w:tc>
              <w:tc>
                <w:tcPr>
                  <w:tcW w:w="2122" w:type="dxa"/>
                  <w:gridSpan w:val="2"/>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监测结果（dB）</w:t>
                  </w:r>
                </w:p>
              </w:tc>
              <w:tc>
                <w:tcPr>
                  <w:tcW w:w="2340" w:type="dxa"/>
                  <w:gridSpan w:val="2"/>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标准限值（dB）</w:t>
                  </w:r>
                </w:p>
              </w:tc>
              <w:tc>
                <w:tcPr>
                  <w:tcW w:w="1173"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jc w:val="center"/>
              </w:trPr>
              <w:tc>
                <w:tcPr>
                  <w:tcW w:w="17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241"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昼间</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夜间</w:t>
                  </w:r>
                </w:p>
              </w:tc>
              <w:tc>
                <w:tcPr>
                  <w:tcW w:w="1200"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color w:val="000000"/>
                      <w:sz w:val="21"/>
                      <w:szCs w:val="21"/>
                      <w:vertAlign w:val="baseline"/>
                      <w:lang w:val="en-US" w:eastAsia="zh-CN"/>
                    </w:rPr>
                    <w:t>昼间</w:t>
                  </w:r>
                </w:p>
              </w:tc>
              <w:tc>
                <w:tcPr>
                  <w:tcW w:w="1140"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eastAsia="宋体" w:cs="Times New Roman"/>
                      <w:color w:val="000000"/>
                      <w:sz w:val="21"/>
                      <w:szCs w:val="21"/>
                      <w:vertAlign w:val="baseline"/>
                      <w:lang w:val="en-US" w:eastAsia="zh-CN"/>
                    </w:rPr>
                    <w:t>夜间</w:t>
                  </w:r>
                </w:p>
              </w:tc>
              <w:tc>
                <w:tcPr>
                  <w:tcW w:w="1173"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0"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场界东侧界外1m</w:t>
                  </w:r>
                </w:p>
              </w:tc>
              <w:tc>
                <w:tcPr>
                  <w:tcW w:w="124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2020.01.14</w:t>
                  </w:r>
                </w:p>
              </w:tc>
              <w:tc>
                <w:tcPr>
                  <w:tcW w:w="106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59.3</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00"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6</w:t>
                  </w:r>
                  <w:r>
                    <w:rPr>
                      <w:rFonts w:hint="eastAsia" w:ascii="Times New Roman" w:hAnsi="Times New Roman" w:eastAsia="宋体" w:cs="Times New Roman"/>
                      <w:color w:val="000000"/>
                      <w:sz w:val="21"/>
                      <w:szCs w:val="21"/>
                      <w:vertAlign w:val="baseline"/>
                      <w:lang w:val="en-US" w:eastAsia="zh-CN"/>
                    </w:rPr>
                    <w:t>5</w:t>
                  </w:r>
                </w:p>
              </w:tc>
              <w:tc>
                <w:tcPr>
                  <w:tcW w:w="1140"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5</w:t>
                  </w:r>
                  <w:r>
                    <w:rPr>
                      <w:rFonts w:hint="eastAsia" w:ascii="Times New Roman" w:hAnsi="Times New Roman" w:eastAsia="宋体" w:cs="Times New Roman"/>
                      <w:color w:val="000000"/>
                      <w:sz w:val="21"/>
                      <w:szCs w:val="21"/>
                      <w:vertAlign w:val="baseline"/>
                      <w:lang w:val="en-US" w:eastAsia="zh-CN"/>
                    </w:rPr>
                    <w:t>5</w:t>
                  </w:r>
                </w:p>
              </w:tc>
              <w:tc>
                <w:tcPr>
                  <w:tcW w:w="1173"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24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201910.11</w:t>
                  </w:r>
                </w:p>
              </w:tc>
              <w:tc>
                <w:tcPr>
                  <w:tcW w:w="106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60.4</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0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73"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0"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场界南侧界外1m</w:t>
                  </w:r>
                </w:p>
              </w:tc>
              <w:tc>
                <w:tcPr>
                  <w:tcW w:w="124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2020.01.14</w:t>
                  </w:r>
                </w:p>
              </w:tc>
              <w:tc>
                <w:tcPr>
                  <w:tcW w:w="106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44.1</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0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73"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24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201910.11</w:t>
                  </w:r>
                </w:p>
              </w:tc>
              <w:tc>
                <w:tcPr>
                  <w:tcW w:w="106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49.3</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0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73"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0"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场界西侧界外1m</w:t>
                  </w:r>
                </w:p>
              </w:tc>
              <w:tc>
                <w:tcPr>
                  <w:tcW w:w="124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2020.01.14</w:t>
                  </w:r>
                </w:p>
              </w:tc>
              <w:tc>
                <w:tcPr>
                  <w:tcW w:w="106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46.1</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0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73"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24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201910.11</w:t>
                  </w:r>
                </w:p>
              </w:tc>
              <w:tc>
                <w:tcPr>
                  <w:tcW w:w="106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49.9</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0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73"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0" w:type="dxa"/>
                  <w:vMerge w:val="restar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场界北侧界外1m</w:t>
                  </w:r>
                </w:p>
              </w:tc>
              <w:tc>
                <w:tcPr>
                  <w:tcW w:w="124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2020.01.14</w:t>
                  </w:r>
                </w:p>
              </w:tc>
              <w:tc>
                <w:tcPr>
                  <w:tcW w:w="106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51.7</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0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73"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0"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000000"/>
                      <w:sz w:val="21"/>
                      <w:szCs w:val="21"/>
                      <w:lang w:eastAsia="zh-CN"/>
                    </w:rPr>
                  </w:pPr>
                </w:p>
              </w:tc>
              <w:tc>
                <w:tcPr>
                  <w:tcW w:w="124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201910.11</w:t>
                  </w:r>
                </w:p>
              </w:tc>
              <w:tc>
                <w:tcPr>
                  <w:tcW w:w="106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46.8</w:t>
                  </w:r>
                </w:p>
              </w:tc>
              <w:tc>
                <w:tcPr>
                  <w:tcW w:w="106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0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40"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c>
                <w:tcPr>
                  <w:tcW w:w="1173"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616" w:type="dxa"/>
                  <w:gridSpan w:val="7"/>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before="95" w:beforeLines="30" w:after="0" w:afterLines="0"/>
                    <w:ind w:left="0" w:leftChars="0"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注：夜间未生产，未产生噪声污染。</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3、废水</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废水经封闭式管道直接进入园区污水处理厂，未做监测，情况说明详见附件。</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从监测结果</w:t>
            </w:r>
            <w:r>
              <w:rPr>
                <w:rFonts w:hint="eastAsia" w:ascii="Times New Roman" w:hAnsi="Times New Roman" w:eastAsia="宋体" w:cs="Times New Roman"/>
                <w:sz w:val="24"/>
                <w:szCs w:val="24"/>
                <w:lang w:val="en-US" w:eastAsia="zh-CN"/>
              </w:rPr>
              <w:t>可以看出：</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无组织废气非甲烷总烃监测结果达到《挥发性有机物无组织排放控制标准》（GB37822-2019）表A.1规定限值；</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噪声监测结果《工业企业厂界环境噪声排放标准》（GB 12348-2008）3类标准。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p>
          <w:p>
            <w:pPr>
              <w:pStyle w:val="2"/>
              <w:bidi w:val="0"/>
              <w:rPr>
                <w:rFonts w:hint="default"/>
                <w:lang w:val="en-US" w:eastAsia="zh-CN"/>
              </w:rPr>
            </w:pPr>
          </w:p>
        </w:tc>
      </w:tr>
    </w:tbl>
    <w:p>
      <w:pPr>
        <w:rPr>
          <w:rFonts w:hint="eastAsia" w:eastAsia="仿宋_GB2312"/>
          <w:b/>
          <w:color w:val="000000"/>
          <w:sz w:val="21"/>
          <w:szCs w:val="21"/>
          <w:lang w:eastAsia="zh-CN"/>
        </w:rPr>
      </w:pPr>
      <w:r>
        <w:rPr>
          <w:rFonts w:hint="eastAsia" w:eastAsia="仿宋_GB2312"/>
          <w:b/>
          <w:color w:val="000000"/>
          <w:sz w:val="21"/>
          <w:szCs w:val="21"/>
          <w:lang w:eastAsia="zh-CN"/>
        </w:rPr>
        <w:br w:type="page"/>
      </w:r>
    </w:p>
    <w:p>
      <w:pPr>
        <w:keepNext w:val="0"/>
        <w:keepLines w:val="0"/>
        <w:pageBreakBefore w:val="0"/>
        <w:widowControl/>
        <w:kinsoku/>
        <w:wordWrap/>
        <w:overflowPunct/>
        <w:topLinePunct w:val="0"/>
        <w:autoSpaceDE/>
        <w:autoSpaceDN/>
        <w:bidi w:val="0"/>
        <w:adjustRightInd w:val="0"/>
        <w:snapToGrid w:val="0"/>
        <w:spacing w:after="157" w:afterLines="50"/>
        <w:textAlignment w:val="auto"/>
        <w:outlineLvl w:val="0"/>
        <w:rPr>
          <w:rFonts w:hint="eastAsia" w:eastAsia="仿宋_GB2312"/>
          <w:b/>
          <w:color w:val="000000"/>
          <w:sz w:val="21"/>
          <w:szCs w:val="21"/>
          <w:lang w:eastAsia="zh-CN"/>
        </w:rPr>
      </w:pPr>
      <w:bookmarkStart w:id="7" w:name="_Toc8188"/>
      <w:r>
        <w:rPr>
          <w:rFonts w:hint="eastAsia" w:eastAsia="仿宋_GB2312"/>
          <w:b/>
          <w:color w:val="000000"/>
          <w:sz w:val="21"/>
          <w:szCs w:val="21"/>
          <w:lang w:eastAsia="zh-CN"/>
        </w:rPr>
        <w:t>表七：验收结论及建议</w:t>
      </w:r>
      <w:bookmarkEnd w:id="7"/>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rPr>
                <w:rFonts w:hint="eastAsia" w:ascii="宋体" w:hAnsi="宋体" w:eastAsia="宋体"/>
                <w:color w:val="000000"/>
                <w:sz w:val="24"/>
                <w:szCs w:val="24"/>
              </w:rPr>
            </w:pPr>
            <w:r>
              <w:rPr>
                <w:rFonts w:hint="eastAsia" w:ascii="宋体" w:hAnsi="宋体" w:eastAsia="宋体"/>
                <w:color w:val="000000"/>
                <w:sz w:val="24"/>
                <w:szCs w:val="24"/>
              </w:rPr>
              <w:t>验收监测结论：</w:t>
            </w:r>
          </w:p>
          <w:p>
            <w:pPr>
              <w:keepNext w:val="0"/>
              <w:keepLines w:val="0"/>
              <w:pageBreakBefore w:val="0"/>
              <w:widowControl w:val="0"/>
              <w:numPr>
                <w:ilvl w:val="0"/>
                <w:numId w:val="11"/>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该项目废气主要污染物为无组织排放的颗粒物、非甲烷总烃。无组织排放的颗粒物监测结果达到有组织排放颗粒物监测结果达到《大气污染物综合排放标准》（GB 16297-1996）表2无组织排放限值标准要求；</w:t>
            </w:r>
            <w:r>
              <w:rPr>
                <w:rFonts w:hint="eastAsia" w:ascii="Times New Roman" w:hAnsi="Times New Roman" w:eastAsia="宋体" w:cs="Times New Roman"/>
                <w:sz w:val="24"/>
                <w:szCs w:val="24"/>
                <w:lang w:val="en-US" w:eastAsia="zh-CN"/>
              </w:rPr>
              <w:t>无组织废气非甲烷总烃监测结果达到《挥发性有机物无组织排放控制标准》（GB37822-2019）表A.1规定限值</w:t>
            </w:r>
            <w:r>
              <w:rPr>
                <w:rFonts w:hint="eastAsia" w:ascii="Times New Roman" w:hAnsi="Times New Roman" w:eastAsia="宋体" w:cs="Times New Roman"/>
                <w:color w:val="000000"/>
                <w:sz w:val="24"/>
                <w:szCs w:val="24"/>
                <w:lang w:val="en-US" w:eastAsia="zh-CN"/>
              </w:rPr>
              <w:t>。</w:t>
            </w:r>
          </w:p>
          <w:p>
            <w:pPr>
              <w:keepNext w:val="0"/>
              <w:keepLines w:val="0"/>
              <w:pageBreakBefore w:val="0"/>
              <w:widowControl w:val="0"/>
              <w:numPr>
                <w:ilvl w:val="0"/>
                <w:numId w:val="11"/>
              </w:numPr>
              <w:kinsoku/>
              <w:wordWrap/>
              <w:overflowPunct/>
              <w:topLinePunct w:val="0"/>
              <w:autoSpaceDE/>
              <w:autoSpaceDN/>
              <w:bidi w:val="0"/>
              <w:adjustRightInd w:val="0"/>
              <w:snapToGrid w:val="0"/>
              <w:spacing w:after="0" w:afterLines="0" w:line="360" w:lineRule="auto"/>
              <w:ind w:left="0" w:leftChars="0" w:firstLine="480" w:firstLineChars="20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Chars="0" w:firstLine="480" w:firstLineChars="20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该项目厂界东、南、西、北侧界外1米的噪声监测结果均达到《工业企业厂界环境噪声排放标准》（GB 12348-2009）3类区域限值标准要求。</w:t>
            </w:r>
          </w:p>
          <w:p>
            <w:pPr>
              <w:keepNext w:val="0"/>
              <w:keepLines w:val="0"/>
              <w:pageBreakBefore w:val="0"/>
              <w:widowControl w:val="0"/>
              <w:numPr>
                <w:ilvl w:val="0"/>
                <w:numId w:val="11"/>
              </w:numPr>
              <w:kinsoku/>
              <w:wordWrap/>
              <w:overflowPunct/>
              <w:topLinePunct w:val="0"/>
              <w:autoSpaceDE/>
              <w:autoSpaceDN/>
              <w:bidi w:val="0"/>
              <w:adjustRightInd w:val="0"/>
              <w:snapToGrid w:val="0"/>
              <w:spacing w:after="0" w:afterLines="0" w:line="360" w:lineRule="auto"/>
              <w:ind w:left="0" w:leftChars="0" w:firstLine="480" w:firstLineChars="20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本项目废水经封闭式管道直接进入园区污水处理厂，未做监测。</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本项目产生的固体废物主要分为生产固废、危险废物。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生活垃圾、废包装材料依托园区垃圾收集池，委托环卫部门清运处理；切袋边角料回收造粒作生产原料；废活性炭、油墨空桶、废机油及废润滑油等危险废物暂存于危废暂存间，委托有资质的单位定期处置。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jc w:val="left"/>
              <w:textAlignment w:val="auto"/>
              <w:rPr>
                <w:rFonts w:hint="eastAsia" w:ascii="Times New Roman" w:hAnsi="Times New Roman" w:eastAsia="宋体" w:cs="Times New Roman"/>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建议：</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w:t>
            </w:r>
            <w:bookmarkStart w:id="8" w:name="_Toc8701"/>
            <w:bookmarkStart w:id="9" w:name="_Toc7543"/>
            <w:bookmarkStart w:id="10" w:name="_Toc1131"/>
            <w:bookmarkStart w:id="11" w:name="_Toc2288"/>
            <w:r>
              <w:rPr>
                <w:rFonts w:hint="eastAsia" w:ascii="Times New Roman" w:hAnsi="Times New Roman" w:eastAsia="宋体" w:cs="Times New Roman"/>
                <w:color w:val="000000"/>
                <w:sz w:val="24"/>
                <w:szCs w:val="24"/>
                <w:lang w:val="en-US" w:eastAsia="zh-CN"/>
              </w:rPr>
              <w:t>、严格遵守国家和地方的有关环保法律、法规，并落实报告表中提出的各项污染防治措施，实现污染物达标排放。</w:t>
            </w:r>
            <w:bookmarkEnd w:id="8"/>
            <w:bookmarkEnd w:id="9"/>
            <w:bookmarkEnd w:id="10"/>
            <w:bookmarkEnd w:id="11"/>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宋体" w:cs="Times New Roman"/>
                <w:color w:val="000000"/>
                <w:sz w:val="24"/>
                <w:szCs w:val="24"/>
                <w:lang w:val="en-US" w:eastAsia="zh-CN"/>
              </w:rPr>
            </w:pPr>
            <w:bookmarkStart w:id="12" w:name="_Toc25057"/>
            <w:bookmarkStart w:id="13" w:name="_Toc1901"/>
            <w:bookmarkStart w:id="14" w:name="_Toc19503"/>
            <w:bookmarkStart w:id="15" w:name="_Toc17074"/>
            <w:r>
              <w:rPr>
                <w:rFonts w:hint="eastAsia" w:ascii="Times New Roman" w:hAnsi="Times New Roman" w:eastAsia="宋体" w:cs="Times New Roman"/>
                <w:color w:val="000000"/>
                <w:sz w:val="24"/>
                <w:szCs w:val="24"/>
                <w:lang w:val="en-US" w:eastAsia="zh-CN"/>
              </w:rPr>
              <w:t>2、建议对工作人员进行专业的环保知识培训，加强环保意识。</w:t>
            </w:r>
            <w:bookmarkEnd w:id="12"/>
            <w:bookmarkEnd w:id="13"/>
            <w:bookmarkEnd w:id="14"/>
            <w:bookmarkEnd w:id="15"/>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宋体" w:cs="Times New Roman"/>
                <w:color w:val="000000"/>
                <w:sz w:val="24"/>
                <w:szCs w:val="24"/>
                <w:lang w:val="en-US" w:eastAsia="zh-CN"/>
              </w:rPr>
            </w:pPr>
            <w:bookmarkStart w:id="16" w:name="_Toc26541"/>
            <w:bookmarkStart w:id="17" w:name="_Toc6143"/>
            <w:bookmarkStart w:id="18" w:name="_Toc21958"/>
            <w:bookmarkStart w:id="19" w:name="_Toc17305"/>
            <w:r>
              <w:rPr>
                <w:rFonts w:hint="eastAsia" w:ascii="Times New Roman" w:hAnsi="Times New Roman" w:eastAsia="宋体" w:cs="Times New Roman"/>
                <w:color w:val="000000"/>
                <w:sz w:val="24"/>
                <w:szCs w:val="24"/>
                <w:lang w:val="en-US" w:eastAsia="zh-CN"/>
              </w:rPr>
              <w:t>3、加强厂区管理建设，使厂区工作环境保持干净整洁。</w:t>
            </w:r>
            <w:bookmarkEnd w:id="16"/>
            <w:bookmarkEnd w:id="17"/>
            <w:bookmarkEnd w:id="18"/>
            <w:bookmarkEnd w:id="19"/>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宋体" w:cs="Times New Roman"/>
                <w:color w:val="000000"/>
                <w:sz w:val="24"/>
                <w:szCs w:val="24"/>
                <w:lang w:val="en-US" w:eastAsia="zh-CN"/>
              </w:rPr>
            </w:pPr>
            <w:bookmarkStart w:id="20" w:name="_Toc17679"/>
            <w:bookmarkStart w:id="21" w:name="_Toc6359"/>
            <w:bookmarkStart w:id="22" w:name="_Toc25887"/>
            <w:bookmarkStart w:id="23" w:name="_Toc32030"/>
            <w:r>
              <w:rPr>
                <w:rFonts w:hint="eastAsia" w:ascii="Times New Roman" w:hAnsi="Times New Roman" w:eastAsia="宋体" w:cs="Times New Roman"/>
                <w:color w:val="000000"/>
                <w:sz w:val="24"/>
                <w:szCs w:val="24"/>
                <w:lang w:val="en-US" w:eastAsia="zh-CN"/>
              </w:rPr>
              <w:t>4、建立完整的环保手续档案。</w:t>
            </w:r>
            <w:bookmarkEnd w:id="20"/>
            <w:bookmarkEnd w:id="21"/>
            <w:bookmarkEnd w:id="22"/>
            <w:bookmarkEnd w:id="23"/>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5、加强环保设施的运行管理和日常维护，确保污染物长期稳定达标排放。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left"/>
              <w:textAlignment w:val="auto"/>
              <w:rPr>
                <w:rFonts w:hint="default" w:ascii="Times New Roman" w:hAnsi="Times New Roman" w:eastAsia="宋体" w:cs="Times New Roman"/>
                <w:color w:val="000000"/>
                <w:sz w:val="24"/>
                <w:szCs w:val="24"/>
                <w:lang w:val="en-US" w:eastAsia="zh-CN"/>
              </w:rPr>
            </w:pPr>
            <w:bookmarkStart w:id="24" w:name="_Toc32316"/>
            <w:bookmarkStart w:id="25" w:name="_Toc28859"/>
            <w:r>
              <w:rPr>
                <w:rFonts w:hint="eastAsia" w:ascii="Times New Roman" w:hAnsi="Times New Roman" w:eastAsia="宋体" w:cs="Times New Roman"/>
                <w:color w:val="000000"/>
                <w:sz w:val="24"/>
                <w:szCs w:val="24"/>
                <w:lang w:val="en-US" w:eastAsia="zh-CN"/>
              </w:rPr>
              <w:t>6、加强危险废物管理，按规范完善危废暂存间的建设，建立健全相应管理制度和管理档案。</w:t>
            </w:r>
            <w:bookmarkEnd w:id="24"/>
            <w:bookmarkEnd w:id="25"/>
          </w:p>
        </w:tc>
      </w:tr>
    </w:tbl>
    <w:p>
      <w:pPr>
        <w:keepNext w:val="0"/>
        <w:keepLines w:val="0"/>
        <w:pageBreakBefore w:val="0"/>
        <w:widowControl/>
        <w:kinsoku/>
        <w:wordWrap/>
        <w:overflowPunct/>
        <w:topLinePunct w:val="0"/>
        <w:autoSpaceDE/>
        <w:autoSpaceDN/>
        <w:bidi w:val="0"/>
        <w:adjustRightInd w:val="0"/>
        <w:snapToGrid w:val="0"/>
        <w:spacing w:before="63" w:beforeLines="20" w:after="0" w:line="360" w:lineRule="auto"/>
        <w:textAlignment w:val="auto"/>
        <w:rPr>
          <w:rFonts w:hint="eastAsia" w:ascii="宋体" w:hAnsi="宋体" w:eastAsia="宋体" w:cs="宋体"/>
          <w:sz w:val="24"/>
          <w:szCs w:val="24"/>
          <w:lang w:eastAsia="zh-CN"/>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before="63" w:beforeLines="20" w:after="0" w:line="360" w:lineRule="auto"/>
        <w:textAlignment w:val="auto"/>
        <w:outlineLvl w:val="0"/>
        <w:rPr>
          <w:rFonts w:hint="eastAsia" w:ascii="宋体" w:hAnsi="宋体" w:eastAsia="宋体" w:cs="宋体"/>
          <w:sz w:val="28"/>
          <w:szCs w:val="28"/>
          <w:lang w:eastAsia="zh-CN"/>
        </w:rPr>
      </w:pPr>
      <w:bookmarkStart w:id="26" w:name="_Toc581"/>
      <w:r>
        <w:rPr>
          <w:rFonts w:hint="eastAsia" w:ascii="宋体" w:hAnsi="宋体" w:eastAsia="宋体" w:cs="宋体"/>
          <w:sz w:val="24"/>
          <w:szCs w:val="24"/>
          <w:lang w:eastAsia="zh-CN"/>
        </w:rPr>
        <w:t>附表一：营运期环评及批复要求落实情况一览表</w:t>
      </w:r>
      <w:bookmarkEnd w:id="26"/>
    </w:p>
    <w:tbl>
      <w:tblPr>
        <w:tblStyle w:val="12"/>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987"/>
        <w:gridCol w:w="4329"/>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序号</w:t>
            </w:r>
          </w:p>
        </w:tc>
        <w:tc>
          <w:tcPr>
            <w:tcW w:w="1987"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环评要求</w:t>
            </w:r>
          </w:p>
        </w:tc>
        <w:tc>
          <w:tcPr>
            <w:tcW w:w="43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环评批复要求</w:t>
            </w:r>
          </w:p>
        </w:tc>
        <w:tc>
          <w:tcPr>
            <w:tcW w:w="2724"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废水</w:t>
            </w:r>
          </w:p>
        </w:tc>
        <w:tc>
          <w:tcPr>
            <w:tcW w:w="1987"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Chars="0" w:firstLine="420" w:firstLineChars="20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洗手水、车间清洗废水经沉淀后排入镇宁县污水处理厂；设备清洗后的清洗废水置于储罐内回用于生产</w:t>
            </w:r>
            <w:r>
              <w:rPr>
                <w:rFonts w:hint="eastAsia" w:ascii="Times New Roman" w:hAnsi="Times New Roman" w:eastAsia="宋体" w:cs="Times New Roman"/>
                <w:color w:val="000000"/>
                <w:sz w:val="21"/>
                <w:szCs w:val="21"/>
                <w:lang w:val="en-US" w:eastAsia="zh-CN"/>
              </w:rPr>
              <w:t>。</w:t>
            </w:r>
          </w:p>
        </w:tc>
        <w:tc>
          <w:tcPr>
            <w:tcW w:w="43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420" w:firstLineChars="200"/>
              <w:jc w:val="left"/>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运营期产生的生活污水、车间清洁废水经化粪池经化粪池预处理达到《污水排入城镇下水道水质标准》（GBT31962-2015）标准限值后排入镇宁自治县污水处理厂处理。</w:t>
            </w:r>
          </w:p>
        </w:tc>
        <w:tc>
          <w:tcPr>
            <w:tcW w:w="2724" w:type="dxa"/>
            <w:vAlign w:val="top"/>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color w:val="000000"/>
                <w:sz w:val="21"/>
                <w:szCs w:val="21"/>
                <w:lang w:val="en-US" w:eastAsia="zh-CN"/>
              </w:rPr>
              <w:t>洗手水、车间清洗废水经</w:t>
            </w:r>
            <w:r>
              <w:rPr>
                <w:rFonts w:hint="eastAsia" w:ascii="Times New Roman" w:hAnsi="Times New Roman" w:eastAsia="宋体" w:cs="Times New Roman"/>
                <w:color w:val="000000"/>
                <w:sz w:val="21"/>
                <w:szCs w:val="21"/>
                <w:lang w:val="en-US" w:eastAsia="zh-CN"/>
              </w:rPr>
              <w:t>封闭管道进入园区污水处理设施处理后</w:t>
            </w:r>
            <w:r>
              <w:rPr>
                <w:rFonts w:hint="default" w:ascii="Times New Roman" w:hAnsi="Times New Roman" w:eastAsia="宋体" w:cs="Times New Roman"/>
                <w:color w:val="000000"/>
                <w:sz w:val="21"/>
                <w:szCs w:val="21"/>
                <w:lang w:val="en-US" w:eastAsia="zh-CN"/>
              </w:rPr>
              <w:t>排入镇宁县污水处理厂；设备清洗后的清洗废水置于储罐内回用于生产</w:t>
            </w:r>
            <w:r>
              <w:rPr>
                <w:rFonts w:hint="eastAsia"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5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废气</w:t>
            </w:r>
          </w:p>
        </w:tc>
        <w:tc>
          <w:tcPr>
            <w:tcW w:w="1987"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Chars="0" w:firstLine="420" w:firstLineChars="200"/>
              <w:jc w:val="both"/>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吹膜、印刷、造粒废气采用“集气罩+UV光解+活性炭吸附设施”处理达标后经不低于15m高排气筒排放</w:t>
            </w:r>
          </w:p>
        </w:tc>
        <w:tc>
          <w:tcPr>
            <w:tcW w:w="43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运营期吹膜、印刷及造粒过程产生的有机废气，在产生位置上方设置集气罩对废气进行收集，然后 采用“UV光解处理设备+活性炭吸附处理装置”处理达标后，经由不低于15m高排气筒排放，有组织排放速率和排放浓度满足《合成树脂工业污染物排放标准》（GB31572-2015）中的大气污 染物排放限值，无组织排放满足《挥发性有机物无组织排放控制 标准》（GB37822-2019）中的无组织排放限值。</w:t>
            </w:r>
          </w:p>
        </w:tc>
        <w:tc>
          <w:tcPr>
            <w:tcW w:w="2724"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color w:val="000000"/>
                <w:sz w:val="21"/>
                <w:szCs w:val="21"/>
                <w:lang w:val="en-US" w:eastAsia="zh-CN"/>
              </w:rPr>
              <w:t>吹膜、印刷、造粒废气采用“集气罩+UV光解+活性炭吸附设施”处理达标后采取无组织排放，经监测，</w:t>
            </w:r>
            <w:r>
              <w:rPr>
                <w:rFonts w:hint="default" w:ascii="Times New Roman" w:hAnsi="Times New Roman" w:eastAsia="宋体" w:cs="Times New Roman"/>
                <w:bCs/>
                <w:sz w:val="21"/>
                <w:szCs w:val="21"/>
                <w:vertAlign w:val="baseline"/>
                <w:lang w:val="en-US" w:eastAsia="zh-CN"/>
              </w:rPr>
              <w:t>满足《挥发性有机物无组织排放控制标准》（GB37822-2019）中的无组织排放限值。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噪声</w:t>
            </w:r>
          </w:p>
        </w:tc>
        <w:tc>
          <w:tcPr>
            <w:tcW w:w="1987"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bidi="ar-SA"/>
              </w:rPr>
              <w:t>设备选型时优先选用振动小、噪声低的设备；高噪声设备进行隔声密闭处理。</w:t>
            </w:r>
          </w:p>
        </w:tc>
        <w:tc>
          <w:tcPr>
            <w:tcW w:w="43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运营期选用低噪声设备，采取消声、隔音、减振等降噪措施，加强厂区绿化，确保各场地厂界噪声值达到《工业企业厂界环境噪声排放标准》（GB12348-2008）中 3 类区标准。</w:t>
            </w:r>
          </w:p>
        </w:tc>
        <w:tc>
          <w:tcPr>
            <w:tcW w:w="2724"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已按要求实施，监测结果</w:t>
            </w:r>
            <w:r>
              <w:rPr>
                <w:rFonts w:hint="default" w:ascii="Times New Roman" w:hAnsi="Times New Roman" w:eastAsia="宋体" w:cs="Times New Roman"/>
                <w:bCs/>
                <w:sz w:val="21"/>
                <w:szCs w:val="21"/>
                <w:vertAlign w:val="baseline"/>
                <w:lang w:val="en-US" w:eastAsia="zh-CN"/>
              </w:rPr>
              <w:t>达到《工业企业厂界环境噪声排放标准》（GB12348-2008）中 3 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固废</w:t>
            </w:r>
          </w:p>
        </w:tc>
        <w:tc>
          <w:tcPr>
            <w:tcW w:w="1987"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Cs/>
                <w:sz w:val="21"/>
                <w:szCs w:val="21"/>
                <w:vertAlign w:val="baseline"/>
                <w:lang w:val="en-US" w:eastAsia="zh-CN"/>
              </w:rPr>
            </w:pPr>
            <w:r>
              <w:rPr>
                <w:rFonts w:hint="eastAsia" w:ascii="宋体" w:hAnsi="宋体" w:eastAsia="宋体" w:cs="宋体"/>
                <w:sz w:val="21"/>
                <w:szCs w:val="21"/>
              </w:rPr>
              <w:t>生活垃圾</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废包装材料依托园区垃圾收集池，</w:t>
            </w:r>
            <w:r>
              <w:rPr>
                <w:rFonts w:hint="eastAsia" w:ascii="宋体" w:hAnsi="宋体" w:eastAsia="宋体" w:cs="宋体"/>
                <w:sz w:val="21"/>
                <w:szCs w:val="21"/>
              </w:rPr>
              <w:t>委托环卫部门清运处理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切袋边角料回收造粒作生产原料；废活性炭、油墨空桶、废机油及废润滑油等危险废物暂存于危废暂存间，委托有资质的单位定期处置。</w:t>
            </w:r>
          </w:p>
        </w:tc>
        <w:tc>
          <w:tcPr>
            <w:tcW w:w="43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运营期的生活垃圾、废包装由当地环卫部门统一清运；切袋边角料全 部用作造粒，回用于生产过程；废油墨空桶、废活性炭、废润滑 油和废机油属于危险废物，集中收集后定期交由有危险废物处置 资质单位处置，危废处置应满足《危险废物贮存污染控制标准》( GB18597- 2001)及《危险废物收集、贮存、运输技术规范》 (HJ2025- 2012)中有关危险废物收集、贮存要求，并按照《危险 废物贮存污染控制标准》( GB18597- 2001)建设危废暂存间应。</w:t>
            </w:r>
          </w:p>
        </w:tc>
        <w:tc>
          <w:tcPr>
            <w:tcW w:w="2724"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已按要求实施</w:t>
            </w:r>
          </w:p>
        </w:tc>
      </w:tr>
    </w:tbl>
    <w:p>
      <w:pPr>
        <w:keepNext w:val="0"/>
        <w:keepLines w:val="0"/>
        <w:pageBreakBefore w:val="0"/>
        <w:widowControl/>
        <w:kinsoku/>
        <w:wordWrap/>
        <w:overflowPunct/>
        <w:topLinePunct w:val="0"/>
        <w:autoSpaceDE/>
        <w:autoSpaceDN/>
        <w:bidi w:val="0"/>
        <w:adjustRightInd w:val="0"/>
        <w:snapToGrid w:val="0"/>
        <w:spacing w:before="63" w:beforeLines="20" w:after="0" w:line="360" w:lineRule="auto"/>
        <w:textAlignment w:val="auto"/>
        <w:rPr>
          <w:rFonts w:hint="eastAsia" w:ascii="宋体" w:hAnsi="宋体" w:eastAsia="宋体" w:cs="宋体"/>
          <w:sz w:val="18"/>
          <w:szCs w:val="18"/>
          <w:lang w:eastAsia="zh-CN"/>
        </w:rPr>
        <w:sectPr>
          <w:footerReference r:id="rId6"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outlineLvl w:val="0"/>
        <w:rPr>
          <w:rFonts w:hint="eastAsia" w:ascii="宋体" w:hAnsi="宋体" w:eastAsia="宋体" w:cs="宋体"/>
          <w:sz w:val="24"/>
          <w:szCs w:val="24"/>
          <w:lang w:eastAsia="zh-CN"/>
        </w:rPr>
      </w:pPr>
      <w:bookmarkStart w:id="27" w:name="_Toc32159"/>
      <w:r>
        <w:rPr>
          <w:rFonts w:hint="eastAsia" w:ascii="宋体" w:hAnsi="宋体" w:eastAsia="宋体" w:cs="宋体"/>
          <w:sz w:val="24"/>
          <w:szCs w:val="24"/>
          <w:lang w:eastAsia="zh-CN"/>
        </w:rPr>
        <w:t>附表二：“三同时”验收登记表</w:t>
      </w:r>
      <w:bookmarkEnd w:id="27"/>
    </w:p>
    <w:p>
      <w:pPr>
        <w:jc w:val="center"/>
        <w:rPr>
          <w:rFonts w:hint="eastAsia" w:ascii="黑体" w:eastAsia="黑体"/>
          <w:b/>
          <w:sz w:val="36"/>
          <w:szCs w:val="36"/>
        </w:rPr>
      </w:pPr>
      <w:r>
        <w:rPr>
          <w:rFonts w:hint="eastAsia" w:ascii="黑体" w:eastAsia="黑体"/>
          <w:b/>
          <w:sz w:val="36"/>
          <w:szCs w:val="36"/>
        </w:rPr>
        <w:t>建设项目工程竣工环境保护“三同时”验收登记表</w:t>
      </w:r>
    </w:p>
    <w:p>
      <w:pPr>
        <w:ind w:firstLine="1760" w:firstLineChars="800"/>
        <w:rPr>
          <w:szCs w:val="21"/>
        </w:rPr>
      </w:pPr>
      <w:r>
        <w:rPr>
          <w:szCs w:val="21"/>
        </w:rPr>
        <w:t>填表单位（盖章）：</w:t>
      </w:r>
      <w:r>
        <w:rPr>
          <w:rFonts w:hint="eastAsia" w:eastAsia="楷体_GB2312"/>
          <w:szCs w:val="21"/>
        </w:rPr>
        <w:t xml:space="preserve">            </w:t>
      </w:r>
      <w:r>
        <w:rPr>
          <w:rFonts w:eastAsia="楷体_GB2312"/>
          <w:szCs w:val="21"/>
        </w:rPr>
        <w:t xml:space="preserve"> </w:t>
      </w:r>
      <w:r>
        <w:rPr>
          <w:szCs w:val="21"/>
        </w:rPr>
        <w:t xml:space="preserve">                                                 填表人（签字）：                               项目经办人（签字）：        </w:t>
      </w:r>
    </w:p>
    <w:tbl>
      <w:tblPr>
        <w:tblStyle w:val="11"/>
        <w:tblW w:w="21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65"/>
        <w:gridCol w:w="1209"/>
        <w:gridCol w:w="1286"/>
        <w:gridCol w:w="258"/>
        <w:gridCol w:w="1030"/>
        <w:gridCol w:w="642"/>
        <w:gridCol w:w="258"/>
        <w:gridCol w:w="515"/>
        <w:gridCol w:w="644"/>
        <w:gridCol w:w="642"/>
        <w:gridCol w:w="773"/>
        <w:gridCol w:w="771"/>
        <w:gridCol w:w="1415"/>
        <w:gridCol w:w="1934"/>
        <w:gridCol w:w="1286"/>
        <w:gridCol w:w="1288"/>
        <w:gridCol w:w="1286"/>
        <w:gridCol w:w="644"/>
        <w:gridCol w:w="642"/>
        <w:gridCol w:w="933"/>
        <w:gridCol w:w="611"/>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restart"/>
            <w:noWrap w:val="0"/>
            <w:textDirection w:val="tbRlV"/>
            <w:vAlign w:val="center"/>
          </w:tcPr>
          <w:p>
            <w:pPr>
              <w:keepNext w:val="0"/>
              <w:keepLines w:val="0"/>
              <w:pageBreakBefore w:val="0"/>
              <w:widowControl/>
              <w:kinsoku/>
              <w:overflowPunct/>
              <w:topLinePunct w:val="0"/>
              <w:autoSpaceDE/>
              <w:autoSpaceDN/>
              <w:bidi w:val="0"/>
              <w:adjustRightInd w:val="0"/>
              <w:snapToGrid w:val="0"/>
              <w:spacing w:after="0" w:line="240" w:lineRule="auto"/>
              <w:ind w:left="113" w:right="113"/>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 设 项 目</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项目名称</w:t>
            </w:r>
          </w:p>
        </w:tc>
        <w:tc>
          <w:tcPr>
            <w:tcW w:w="6819" w:type="dxa"/>
            <w:gridSpan w:val="10"/>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eastAsia" w:ascii="宋体" w:hAnsi="宋体" w:eastAsia="宋体"/>
                <w:color w:val="000000"/>
                <w:sz w:val="21"/>
                <w:szCs w:val="21"/>
                <w:lang w:eastAsia="zh-CN"/>
              </w:rPr>
              <w:t>镇宁自治县RLH可生物降解塑料项目</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建设地点</w:t>
            </w:r>
          </w:p>
        </w:tc>
        <w:tc>
          <w:tcPr>
            <w:tcW w:w="7786" w:type="dxa"/>
            <w:gridSpan w:val="8"/>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eastAsia" w:ascii="宋体" w:hAnsi="宋体" w:eastAsia="宋体"/>
                <w:color w:val="000000"/>
                <w:sz w:val="21"/>
                <w:szCs w:val="21"/>
                <w:lang w:eastAsia="zh-CN"/>
              </w:rPr>
              <w:t>贵州省安顺市镇宁布依族苗族自治县环翠街道刘关村日用快消品产业园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行业类别</w:t>
            </w:r>
          </w:p>
        </w:tc>
        <w:tc>
          <w:tcPr>
            <w:tcW w:w="6819" w:type="dxa"/>
            <w:gridSpan w:val="10"/>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val="0"/>
                <w:bCs/>
                <w:sz w:val="18"/>
                <w:szCs w:val="18"/>
                <w:lang w:val="en-US" w:eastAsia="zh-CN"/>
              </w:rPr>
              <w:t>塑料薄膜制造（C2921）</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建设性质</w:t>
            </w:r>
          </w:p>
        </w:tc>
        <w:tc>
          <w:tcPr>
            <w:tcW w:w="7786" w:type="dxa"/>
            <w:gridSpan w:val="8"/>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ind w:firstLine="181" w:firstLineChars="100"/>
              <w:textAlignment w:val="auto"/>
              <w:rPr>
                <w:rFonts w:hint="default" w:ascii="Times New Roman" w:hAnsi="Times New Roman" w:eastAsia="宋体" w:cs="Times New Roman"/>
                <w:b/>
                <w:sz w:val="18"/>
                <w:szCs w:val="18"/>
              </w:rPr>
            </w:pPr>
            <w:r>
              <w:rPr>
                <w:rFonts w:hint="eastAsia" w:ascii="宋体" w:hAnsi="宋体" w:eastAsia="宋体" w:cs="宋体"/>
                <w:b/>
                <w:sz w:val="18"/>
                <w:szCs w:val="18"/>
                <w:lang w:eastAsia="zh-CN"/>
              </w:rPr>
              <w:t>☑</w:t>
            </w:r>
            <w:r>
              <w:rPr>
                <w:rFonts w:hint="default" w:ascii="Times New Roman" w:hAnsi="Times New Roman" w:eastAsia="宋体" w:cs="Times New Roman"/>
                <w:b/>
                <w:sz w:val="18"/>
                <w:szCs w:val="18"/>
              </w:rPr>
              <w:t xml:space="preserve">新 建                </w:t>
            </w:r>
            <w:r>
              <w:rPr>
                <w:rFonts w:hint="eastAsia" w:ascii="宋体" w:hAnsi="宋体" w:eastAsia="宋体" w:cs="宋体"/>
                <w:b/>
                <w:sz w:val="18"/>
                <w:szCs w:val="18"/>
              </w:rPr>
              <w:t xml:space="preserve">  □</w:t>
            </w:r>
            <w:r>
              <w:rPr>
                <w:rFonts w:hint="default" w:ascii="Times New Roman" w:hAnsi="Times New Roman" w:eastAsia="宋体" w:cs="Times New Roman"/>
                <w:b/>
                <w:sz w:val="18"/>
                <w:szCs w:val="18"/>
              </w:rPr>
              <w:t xml:space="preserve">改 扩 建               </w:t>
            </w:r>
            <w:r>
              <w:rPr>
                <w:rFonts w:hint="eastAsia" w:ascii="宋体" w:hAnsi="宋体" w:eastAsia="宋体" w:cs="宋体"/>
                <w:b/>
                <w:sz w:val="18"/>
                <w:szCs w:val="18"/>
                <w:lang w:eastAsia="zh-CN"/>
              </w:rPr>
              <w:t>□</w:t>
            </w:r>
            <w:r>
              <w:rPr>
                <w:rFonts w:hint="default" w:ascii="Times New Roman" w:hAnsi="Times New Roman" w:eastAsia="宋体" w:cs="Times New Roman"/>
                <w:b/>
                <w:sz w:val="18"/>
                <w:szCs w:val="18"/>
              </w:rPr>
              <w:t>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设计生产能力</w:t>
            </w:r>
          </w:p>
        </w:tc>
        <w:tc>
          <w:tcPr>
            <w:tcW w:w="2574" w:type="dxa"/>
            <w:gridSpan w:val="3"/>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Cs/>
                <w:kern w:val="0"/>
                <w:sz w:val="18"/>
                <w:szCs w:val="18"/>
              </w:rPr>
              <w:t>生活用可降解塑料袋</w:t>
            </w:r>
            <w:r>
              <w:rPr>
                <w:rFonts w:hint="default" w:ascii="Times New Roman" w:hAnsi="Times New Roman" w:eastAsia="宋体" w:cs="Times New Roman"/>
                <w:bCs/>
                <w:kern w:val="0"/>
                <w:sz w:val="18"/>
                <w:szCs w:val="18"/>
                <w:lang w:val="en-US" w:eastAsia="zh-CN"/>
              </w:rPr>
              <w:t>2400t/a；</w:t>
            </w:r>
            <w:r>
              <w:rPr>
                <w:rFonts w:hint="default" w:ascii="Times New Roman" w:hAnsi="Times New Roman" w:eastAsia="宋体" w:cs="Times New Roman"/>
                <w:bCs/>
                <w:kern w:val="0"/>
                <w:sz w:val="18"/>
                <w:szCs w:val="18"/>
              </w:rPr>
              <w:t>工业包装可降解塑料袋</w:t>
            </w:r>
            <w:r>
              <w:rPr>
                <w:rFonts w:hint="default" w:ascii="Times New Roman" w:hAnsi="Times New Roman" w:eastAsia="宋体" w:cs="Times New Roman"/>
                <w:bCs/>
                <w:kern w:val="0"/>
                <w:sz w:val="18"/>
                <w:szCs w:val="18"/>
                <w:lang w:val="en-US" w:eastAsia="zh-CN"/>
              </w:rPr>
              <w:t>100t/a</w:t>
            </w:r>
          </w:p>
        </w:tc>
        <w:tc>
          <w:tcPr>
            <w:tcW w:w="2059"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建设项目开工日期</w:t>
            </w:r>
          </w:p>
        </w:tc>
        <w:tc>
          <w:tcPr>
            <w:tcW w:w="2186" w:type="dxa"/>
            <w:gridSpan w:val="3"/>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2019.08</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实际生产能力</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bidi="ar-SA"/>
              </w:rPr>
            </w:pPr>
            <w:r>
              <w:rPr>
                <w:rFonts w:hint="default" w:ascii="Times New Roman" w:hAnsi="Times New Roman" w:eastAsia="宋体" w:cs="Times New Roman"/>
                <w:bCs/>
                <w:kern w:val="0"/>
                <w:sz w:val="18"/>
                <w:szCs w:val="18"/>
              </w:rPr>
              <w:t>生活用可降解塑料袋</w:t>
            </w:r>
            <w:r>
              <w:rPr>
                <w:rFonts w:hint="default" w:ascii="Times New Roman" w:hAnsi="Times New Roman" w:eastAsia="宋体" w:cs="Times New Roman"/>
                <w:bCs/>
                <w:kern w:val="0"/>
                <w:sz w:val="18"/>
                <w:szCs w:val="18"/>
                <w:lang w:val="en-US" w:eastAsia="zh-CN"/>
              </w:rPr>
              <w:t>2400t/a；</w:t>
            </w:r>
            <w:r>
              <w:rPr>
                <w:rFonts w:hint="default" w:ascii="Times New Roman" w:hAnsi="Times New Roman" w:eastAsia="宋体" w:cs="Times New Roman"/>
                <w:bCs/>
                <w:kern w:val="0"/>
                <w:sz w:val="18"/>
                <w:szCs w:val="18"/>
              </w:rPr>
              <w:t>工业包装可降解塑料袋</w:t>
            </w:r>
            <w:r>
              <w:rPr>
                <w:rFonts w:hint="default" w:ascii="Times New Roman" w:hAnsi="Times New Roman" w:eastAsia="宋体" w:cs="Times New Roman"/>
                <w:bCs/>
                <w:kern w:val="0"/>
                <w:sz w:val="18"/>
                <w:szCs w:val="18"/>
                <w:lang w:val="en-US" w:eastAsia="zh-CN"/>
              </w:rPr>
              <w:t>100t/a</w:t>
            </w:r>
          </w:p>
        </w:tc>
        <w:tc>
          <w:tcPr>
            <w:tcW w:w="1930"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投入试运行日期</w:t>
            </w:r>
          </w:p>
        </w:tc>
        <w:tc>
          <w:tcPr>
            <w:tcW w:w="3282"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ind w:firstLine="181" w:firstLineChars="100"/>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2019.12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投资总概算（万元）</w:t>
            </w:r>
          </w:p>
        </w:tc>
        <w:tc>
          <w:tcPr>
            <w:tcW w:w="6819" w:type="dxa"/>
            <w:gridSpan w:val="10"/>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2190</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环保投资总概算（万元）</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43.1</w:t>
            </w:r>
          </w:p>
        </w:tc>
        <w:tc>
          <w:tcPr>
            <w:tcW w:w="1930"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所占比例（%）</w:t>
            </w:r>
          </w:p>
        </w:tc>
        <w:tc>
          <w:tcPr>
            <w:tcW w:w="3282"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环评审批部门</w:t>
            </w:r>
          </w:p>
        </w:tc>
        <w:tc>
          <w:tcPr>
            <w:tcW w:w="6819" w:type="dxa"/>
            <w:gridSpan w:val="10"/>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eastAsia" w:ascii="宋体" w:hAnsi="宋体" w:eastAsia="宋体"/>
                <w:color w:val="000000"/>
                <w:sz w:val="21"/>
                <w:szCs w:val="21"/>
                <w:lang w:eastAsia="zh-CN"/>
              </w:rPr>
              <w:t>安顺市生态环境局</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批准文号</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eastAsia="zh-CN"/>
              </w:rPr>
              <w:t>惠环审</w:t>
            </w:r>
            <w:r>
              <w:rPr>
                <w:rFonts w:hint="eastAsia" w:ascii="Times New Roman" w:hAnsi="Times New Roman" w:eastAsia="宋体" w:cs="Times New Roman"/>
                <w:b/>
                <w:sz w:val="18"/>
                <w:szCs w:val="18"/>
                <w:lang w:val="en-US" w:eastAsia="zh-CN"/>
              </w:rPr>
              <w:t>[2018]29号</w:t>
            </w:r>
          </w:p>
        </w:tc>
        <w:tc>
          <w:tcPr>
            <w:tcW w:w="1930"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批准时间</w:t>
            </w:r>
          </w:p>
        </w:tc>
        <w:tc>
          <w:tcPr>
            <w:tcW w:w="3282"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2019.09.18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初步设计审批部门</w:t>
            </w:r>
          </w:p>
        </w:tc>
        <w:tc>
          <w:tcPr>
            <w:tcW w:w="6819" w:type="dxa"/>
            <w:gridSpan w:val="10"/>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批准文号</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w:t>
            </w:r>
          </w:p>
        </w:tc>
        <w:tc>
          <w:tcPr>
            <w:tcW w:w="1930"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批准时间</w:t>
            </w:r>
          </w:p>
        </w:tc>
        <w:tc>
          <w:tcPr>
            <w:tcW w:w="3282"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环保验收审批部门</w:t>
            </w:r>
          </w:p>
        </w:tc>
        <w:tc>
          <w:tcPr>
            <w:tcW w:w="6819" w:type="dxa"/>
            <w:gridSpan w:val="10"/>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批准文号</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w:t>
            </w:r>
          </w:p>
        </w:tc>
        <w:tc>
          <w:tcPr>
            <w:tcW w:w="1930"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批准时间</w:t>
            </w:r>
          </w:p>
        </w:tc>
        <w:tc>
          <w:tcPr>
            <w:tcW w:w="3282"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环保设施设计单位</w:t>
            </w:r>
          </w:p>
        </w:tc>
        <w:tc>
          <w:tcPr>
            <w:tcW w:w="3989" w:type="dxa"/>
            <w:gridSpan w:val="6"/>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eastAsia" w:ascii="宋体" w:hAnsi="宋体" w:eastAsia="宋体"/>
                <w:color w:val="000000"/>
                <w:sz w:val="21"/>
                <w:szCs w:val="21"/>
                <w:lang w:eastAsia="zh-CN"/>
              </w:rPr>
              <w:t>安顺瑞力恒塑业发展有限公司</w:t>
            </w:r>
          </w:p>
        </w:tc>
        <w:tc>
          <w:tcPr>
            <w:tcW w:w="2830"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环保设施施工单位</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eastAsia" w:ascii="宋体" w:hAnsi="宋体" w:eastAsia="宋体"/>
                <w:color w:val="000000"/>
                <w:sz w:val="21"/>
                <w:szCs w:val="21"/>
                <w:lang w:eastAsia="zh-CN"/>
              </w:rPr>
              <w:t>安顺瑞力恒塑业发展有限公司</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环保设施监测单位</w:t>
            </w:r>
          </w:p>
        </w:tc>
        <w:tc>
          <w:tcPr>
            <w:tcW w:w="5212" w:type="dxa"/>
            <w:gridSpan w:val="6"/>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贵州明德工程咨询有限公司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实际总投资（万元）</w:t>
            </w:r>
          </w:p>
        </w:tc>
        <w:tc>
          <w:tcPr>
            <w:tcW w:w="6819" w:type="dxa"/>
            <w:gridSpan w:val="10"/>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2190</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实际环保投资（万元）</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43.1</w:t>
            </w:r>
          </w:p>
        </w:tc>
        <w:tc>
          <w:tcPr>
            <w:tcW w:w="1930"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所占比例（%）</w:t>
            </w:r>
          </w:p>
        </w:tc>
        <w:tc>
          <w:tcPr>
            <w:tcW w:w="3282"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废水治理（万元）</w:t>
            </w: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0</w:t>
            </w:r>
          </w:p>
        </w:tc>
        <w:tc>
          <w:tcPr>
            <w:tcW w:w="1930" w:type="dxa"/>
            <w:gridSpan w:val="3"/>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废气治理（万元）</w:t>
            </w:r>
          </w:p>
        </w:tc>
        <w:tc>
          <w:tcPr>
            <w:tcW w:w="1417" w:type="dxa"/>
            <w:gridSpan w:val="3"/>
            <w:noWrap w:val="0"/>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40</w:t>
            </w:r>
          </w:p>
        </w:tc>
        <w:tc>
          <w:tcPr>
            <w:tcW w:w="1415"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噪声治理（万元）</w:t>
            </w:r>
          </w:p>
        </w:tc>
        <w:tc>
          <w:tcPr>
            <w:tcW w:w="771"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0</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固废治理（万元）</w:t>
            </w:r>
          </w:p>
        </w:tc>
        <w:tc>
          <w:tcPr>
            <w:tcW w:w="1286" w:type="dxa"/>
            <w:noWrap w:val="0"/>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3.1</w:t>
            </w: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绿化及生态（万元）</w:t>
            </w:r>
          </w:p>
        </w:tc>
        <w:tc>
          <w:tcPr>
            <w:tcW w:w="1930" w:type="dxa"/>
            <w:gridSpan w:val="2"/>
            <w:noWrap w:val="0"/>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0</w:t>
            </w:r>
          </w:p>
        </w:tc>
        <w:tc>
          <w:tcPr>
            <w:tcW w:w="1575"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其它（万元）</w:t>
            </w:r>
          </w:p>
        </w:tc>
        <w:tc>
          <w:tcPr>
            <w:tcW w:w="1707" w:type="dxa"/>
            <w:gridSpan w:val="2"/>
            <w:noWrap w:val="0"/>
            <w:vAlign w:val="center"/>
          </w:tcPr>
          <w:p>
            <w:pPr>
              <w:keepNext w:val="0"/>
              <w:keepLines w:val="0"/>
              <w:pageBreakBefore w:val="0"/>
              <w:widowControl/>
              <w:kinsoku/>
              <w:wordWrap w:val="0"/>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新增废水处理设施能力</w:t>
            </w:r>
          </w:p>
        </w:tc>
        <w:tc>
          <w:tcPr>
            <w:tcW w:w="6819" w:type="dxa"/>
            <w:gridSpan w:val="10"/>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t/d</w:t>
            </w: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新增废气处理设施能力</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           Nm</w:t>
            </w:r>
            <w:r>
              <w:rPr>
                <w:rFonts w:hint="default" w:ascii="Times New Roman" w:hAnsi="Times New Roman" w:eastAsia="宋体" w:cs="Times New Roman"/>
                <w:b/>
                <w:sz w:val="18"/>
                <w:szCs w:val="18"/>
                <w:vertAlign w:val="superscript"/>
              </w:rPr>
              <w:t>3</w:t>
            </w:r>
            <w:r>
              <w:rPr>
                <w:rFonts w:hint="default" w:ascii="Times New Roman" w:hAnsi="Times New Roman" w:eastAsia="宋体" w:cs="Times New Roman"/>
                <w:b/>
                <w:sz w:val="18"/>
                <w:szCs w:val="18"/>
              </w:rPr>
              <w:t>/h</w:t>
            </w:r>
          </w:p>
        </w:tc>
        <w:tc>
          <w:tcPr>
            <w:tcW w:w="1930"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年平均工作时</w:t>
            </w:r>
          </w:p>
        </w:tc>
        <w:tc>
          <w:tcPr>
            <w:tcW w:w="3282"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3334" w:type="dxa"/>
            <w:gridSpan w:val="3"/>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建设单位</w:t>
            </w:r>
          </w:p>
        </w:tc>
        <w:tc>
          <w:tcPr>
            <w:tcW w:w="3474" w:type="dxa"/>
            <w:gridSpan w:val="5"/>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rPr>
            </w:pPr>
            <w:r>
              <w:rPr>
                <w:rFonts w:hint="eastAsia" w:ascii="宋体" w:hAnsi="宋体" w:eastAsia="宋体"/>
                <w:color w:val="000000"/>
                <w:sz w:val="21"/>
                <w:szCs w:val="21"/>
                <w:lang w:eastAsia="zh-CN"/>
              </w:rPr>
              <w:t>安顺瑞力恒塑业发展有限公司</w:t>
            </w:r>
          </w:p>
        </w:tc>
        <w:tc>
          <w:tcPr>
            <w:tcW w:w="115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邮政编码</w:t>
            </w:r>
          </w:p>
        </w:tc>
        <w:tc>
          <w:tcPr>
            <w:tcW w:w="2186" w:type="dxa"/>
            <w:gridSpan w:val="3"/>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val="en-US" w:eastAsia="zh-CN"/>
              </w:rPr>
            </w:pPr>
          </w:p>
        </w:tc>
        <w:tc>
          <w:tcPr>
            <w:tcW w:w="3349"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联系电话</w:t>
            </w: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val="en-US" w:eastAsia="zh-CN"/>
              </w:rPr>
            </w:pPr>
          </w:p>
        </w:tc>
        <w:tc>
          <w:tcPr>
            <w:tcW w:w="1930"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环评单位</w:t>
            </w:r>
          </w:p>
        </w:tc>
        <w:tc>
          <w:tcPr>
            <w:tcW w:w="3282"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rPr>
            </w:pPr>
            <w:r>
              <w:rPr>
                <w:rFonts w:hint="eastAsia" w:ascii="宋体" w:hAnsi="宋体" w:eastAsia="宋体"/>
                <w:color w:val="000000"/>
                <w:sz w:val="21"/>
                <w:szCs w:val="21"/>
                <w:lang w:eastAsia="zh-CN"/>
              </w:rPr>
              <w:t>贵州怡宁环保技术咨询有限公司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0" w:hRule="atLeast"/>
        </w:trPr>
        <w:tc>
          <w:tcPr>
            <w:tcW w:w="760" w:type="dxa"/>
            <w:vMerge w:val="restart"/>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pacing w:val="20"/>
                <w:sz w:val="18"/>
                <w:szCs w:val="18"/>
              </w:rPr>
              <w:t>污染物排放达标与总量控制（工业建设项目详填）</w:t>
            </w:r>
          </w:p>
        </w:tc>
        <w:tc>
          <w:tcPr>
            <w:tcW w:w="2574" w:type="dxa"/>
            <w:gridSpan w:val="2"/>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污染物</w:t>
            </w:r>
          </w:p>
        </w:tc>
        <w:tc>
          <w:tcPr>
            <w:tcW w:w="1544" w:type="dxa"/>
            <w:gridSpan w:val="2"/>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原有排</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放量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(1) </w:t>
            </w:r>
          </w:p>
        </w:tc>
        <w:tc>
          <w:tcPr>
            <w:tcW w:w="2445" w:type="dxa"/>
            <w:gridSpan w:val="4"/>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本期工程实际排</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放浓度</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(2)</w:t>
            </w:r>
          </w:p>
        </w:tc>
        <w:tc>
          <w:tcPr>
            <w:tcW w:w="1286" w:type="dxa"/>
            <w:gridSpan w:val="2"/>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本期工程允许排</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放浓度</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(3)</w:t>
            </w:r>
          </w:p>
        </w:tc>
        <w:tc>
          <w:tcPr>
            <w:tcW w:w="1544" w:type="dxa"/>
            <w:gridSpan w:val="2"/>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本期工程产生量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(4)</w:t>
            </w:r>
          </w:p>
        </w:tc>
        <w:tc>
          <w:tcPr>
            <w:tcW w:w="1415" w:type="dxa"/>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本期工程自身削减量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(5)</w:t>
            </w:r>
          </w:p>
        </w:tc>
        <w:tc>
          <w:tcPr>
            <w:tcW w:w="1934" w:type="dxa"/>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本期工程实际排</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放量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(6)</w:t>
            </w:r>
          </w:p>
        </w:tc>
        <w:tc>
          <w:tcPr>
            <w:tcW w:w="1286" w:type="dxa"/>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本期工程核定排</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放总量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(7)</w:t>
            </w:r>
          </w:p>
        </w:tc>
        <w:tc>
          <w:tcPr>
            <w:tcW w:w="1288" w:type="dxa"/>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本期工程“以新带老”削减量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5"/>
                <w:szCs w:val="15"/>
              </w:rPr>
            </w:pPr>
            <w:r>
              <w:rPr>
                <w:rFonts w:hint="default" w:ascii="Times New Roman" w:hAnsi="Times New Roman" w:eastAsia="宋体" w:cs="Times New Roman"/>
                <w:b/>
                <w:sz w:val="18"/>
                <w:szCs w:val="18"/>
              </w:rPr>
              <w:t>(8)</w:t>
            </w:r>
          </w:p>
        </w:tc>
        <w:tc>
          <w:tcPr>
            <w:tcW w:w="1286" w:type="dxa"/>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全厂实际排放总量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(9)</w:t>
            </w:r>
          </w:p>
        </w:tc>
        <w:tc>
          <w:tcPr>
            <w:tcW w:w="1286" w:type="dxa"/>
            <w:gridSpan w:val="2"/>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全厂核定排放总量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(10)</w:t>
            </w:r>
          </w:p>
        </w:tc>
        <w:tc>
          <w:tcPr>
            <w:tcW w:w="1544" w:type="dxa"/>
            <w:gridSpan w:val="2"/>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区域平衡替代削减量</w:t>
            </w:r>
          </w:p>
          <w:p>
            <w:pPr>
              <w:keepNext w:val="0"/>
              <w:keepLines w:val="0"/>
              <w:pageBreakBefore w:val="0"/>
              <w:widowControl/>
              <w:kinsoku/>
              <w:overflowPunct/>
              <w:topLinePunct w:val="0"/>
              <w:autoSpaceDE/>
              <w:autoSpaceDN/>
              <w:bidi w:val="0"/>
              <w:adjustRightInd w:val="0"/>
              <w:snapToGrid w:val="0"/>
              <w:spacing w:after="0" w:line="240" w:lineRule="auto"/>
              <w:ind w:firstLine="90" w:firstLineChars="50"/>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(11)</w:t>
            </w:r>
          </w:p>
        </w:tc>
        <w:tc>
          <w:tcPr>
            <w:tcW w:w="1096" w:type="dxa"/>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排放增减量</w:t>
            </w:r>
          </w:p>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废水</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 </w:t>
            </w: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化学需氧量 </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氨      氮</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石油类</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废气</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二氧化硫</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 </w:t>
            </w: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shd w:val="clear" w:color="auto" w:fill="auto"/>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烟    尘</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工业粉尘</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氮氧化物</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57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工业固体废物</w:t>
            </w: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365" w:type="dxa"/>
            <w:vMerge w:val="restart"/>
            <w:noWrap w:val="0"/>
            <w:textDirection w:val="tbRlV"/>
            <w:vAlign w:val="center"/>
          </w:tcPr>
          <w:p>
            <w:pPr>
              <w:keepNext w:val="0"/>
              <w:keepLines w:val="0"/>
              <w:pageBreakBefore w:val="0"/>
              <w:widowControl/>
              <w:kinsoku/>
              <w:overflowPunct/>
              <w:topLinePunct w:val="0"/>
              <w:autoSpaceDE/>
              <w:autoSpaceDN/>
              <w:bidi w:val="0"/>
              <w:adjustRightInd w:val="0"/>
              <w:snapToGrid w:val="0"/>
              <w:spacing w:after="0" w:line="240" w:lineRule="auto"/>
              <w:ind w:left="113" w:right="113"/>
              <w:jc w:val="distribute"/>
              <w:textAlignment w:val="auto"/>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与项目有关的其它特征污染物</w:t>
            </w:r>
          </w:p>
        </w:tc>
        <w:tc>
          <w:tcPr>
            <w:tcW w:w="1209"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365" w:type="dxa"/>
            <w:vMerge w:val="continue"/>
            <w:noWrap w:val="0"/>
            <w:textDirection w:val="tbRlV"/>
            <w:vAlign w:val="center"/>
          </w:tcPr>
          <w:p>
            <w:pPr>
              <w:keepNext w:val="0"/>
              <w:keepLines w:val="0"/>
              <w:pageBreakBefore w:val="0"/>
              <w:widowControl/>
              <w:kinsoku/>
              <w:overflowPunct/>
              <w:topLinePunct w:val="0"/>
              <w:autoSpaceDE/>
              <w:autoSpaceDN/>
              <w:bidi w:val="0"/>
              <w:adjustRightInd w:val="0"/>
              <w:snapToGrid w:val="0"/>
              <w:spacing w:after="0" w:line="240" w:lineRule="auto"/>
              <w:ind w:left="113" w:right="113"/>
              <w:jc w:val="distribute"/>
              <w:textAlignment w:val="auto"/>
              <w:rPr>
                <w:rFonts w:hint="default" w:ascii="Times New Roman" w:hAnsi="Times New Roman" w:eastAsia="宋体" w:cs="Times New Roman"/>
                <w:b/>
                <w:sz w:val="18"/>
                <w:szCs w:val="18"/>
              </w:rPr>
            </w:pPr>
          </w:p>
        </w:tc>
        <w:tc>
          <w:tcPr>
            <w:tcW w:w="1209"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365" w:type="dxa"/>
            <w:vMerge w:val="continue"/>
            <w:noWrap w:val="0"/>
            <w:textDirection w:val="tbRlV"/>
            <w:vAlign w:val="center"/>
          </w:tcPr>
          <w:p>
            <w:pPr>
              <w:keepNext w:val="0"/>
              <w:keepLines w:val="0"/>
              <w:pageBreakBefore w:val="0"/>
              <w:widowControl/>
              <w:kinsoku/>
              <w:overflowPunct/>
              <w:topLinePunct w:val="0"/>
              <w:autoSpaceDE/>
              <w:autoSpaceDN/>
              <w:bidi w:val="0"/>
              <w:adjustRightInd w:val="0"/>
              <w:snapToGrid w:val="0"/>
              <w:spacing w:after="0" w:line="240" w:lineRule="auto"/>
              <w:ind w:left="113" w:right="113"/>
              <w:jc w:val="distribute"/>
              <w:textAlignment w:val="auto"/>
              <w:rPr>
                <w:rFonts w:hint="default" w:ascii="Times New Roman" w:hAnsi="Times New Roman" w:eastAsia="宋体" w:cs="Times New Roman"/>
                <w:b/>
                <w:sz w:val="18"/>
                <w:szCs w:val="18"/>
              </w:rPr>
            </w:pPr>
          </w:p>
        </w:tc>
        <w:tc>
          <w:tcPr>
            <w:tcW w:w="1209"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760" w:type="dxa"/>
            <w:vMerge w:val="continue"/>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365" w:type="dxa"/>
            <w:vMerge w:val="continue"/>
            <w:noWrap w:val="0"/>
            <w:textDirection w:val="tbRlV"/>
            <w:vAlign w:val="center"/>
          </w:tcPr>
          <w:p>
            <w:pPr>
              <w:keepNext w:val="0"/>
              <w:keepLines w:val="0"/>
              <w:pageBreakBefore w:val="0"/>
              <w:widowControl/>
              <w:kinsoku/>
              <w:overflowPunct/>
              <w:topLinePunct w:val="0"/>
              <w:autoSpaceDE/>
              <w:autoSpaceDN/>
              <w:bidi w:val="0"/>
              <w:adjustRightInd w:val="0"/>
              <w:snapToGrid w:val="0"/>
              <w:spacing w:after="0" w:line="240" w:lineRule="auto"/>
              <w:ind w:left="113" w:right="113"/>
              <w:jc w:val="distribute"/>
              <w:textAlignment w:val="auto"/>
              <w:rPr>
                <w:rFonts w:hint="default" w:ascii="Times New Roman" w:hAnsi="Times New Roman" w:eastAsia="宋体" w:cs="Times New Roman"/>
                <w:b/>
                <w:sz w:val="18"/>
                <w:szCs w:val="18"/>
              </w:rPr>
            </w:pPr>
          </w:p>
        </w:tc>
        <w:tc>
          <w:tcPr>
            <w:tcW w:w="1209"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distribute"/>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2445" w:type="dxa"/>
            <w:gridSpan w:val="4"/>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415"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934"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8"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286"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544" w:type="dxa"/>
            <w:gridSpan w:val="2"/>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c>
          <w:tcPr>
            <w:tcW w:w="1096" w:type="dxa"/>
            <w:noWrap w:val="0"/>
            <w:vAlign w:val="center"/>
          </w:tcPr>
          <w:p>
            <w:pPr>
              <w:keepNext w:val="0"/>
              <w:keepLines w:val="0"/>
              <w:pageBreakBefore w:val="0"/>
              <w:widowControl/>
              <w:kinsoku/>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z w:val="18"/>
                <w:szCs w:val="18"/>
              </w:rPr>
            </w:pPr>
          </w:p>
        </w:tc>
      </w:tr>
    </w:tbl>
    <w:p>
      <w:pPr>
        <w:keepNext w:val="0"/>
        <w:keepLines w:val="0"/>
        <w:pageBreakBefore w:val="0"/>
        <w:widowControl/>
        <w:kinsoku/>
        <w:wordWrap/>
        <w:overflowPunct/>
        <w:topLinePunct w:val="0"/>
        <w:autoSpaceDE/>
        <w:autoSpaceDN/>
        <w:bidi w:val="0"/>
        <w:adjustRightInd w:val="0"/>
        <w:snapToGrid w:val="0"/>
        <w:spacing w:after="0"/>
        <w:ind w:firstLine="1813" w:firstLineChars="1204"/>
        <w:textAlignment w:val="auto"/>
        <w:rPr>
          <w:rFonts w:hint="default" w:ascii="Times New Roman" w:hAnsi="Times New Roman" w:eastAsia="宋体" w:cs="Times New Roman"/>
          <w:sz w:val="15"/>
          <w:szCs w:val="15"/>
        </w:rPr>
      </w:pPr>
      <w:r>
        <w:rPr>
          <w:rFonts w:hint="default" w:ascii="Times New Roman" w:hAnsi="Times New Roman" w:eastAsia="宋体" w:cs="Times New Roman"/>
          <w:b/>
          <w:sz w:val="15"/>
          <w:szCs w:val="15"/>
        </w:rPr>
        <w:t>注</w:t>
      </w:r>
      <w:r>
        <w:rPr>
          <w:rFonts w:hint="default" w:ascii="Times New Roman" w:hAnsi="Times New Roman" w:eastAsia="宋体" w:cs="Times New Roman"/>
          <w:sz w:val="15"/>
          <w:szCs w:val="15"/>
        </w:rPr>
        <w:t>：1、排放增减量：（+）表示增加，（-）表示减少</w:t>
      </w:r>
    </w:p>
    <w:p>
      <w:pPr>
        <w:keepNext w:val="0"/>
        <w:keepLines w:val="0"/>
        <w:pageBreakBefore w:val="0"/>
        <w:widowControl/>
        <w:kinsoku/>
        <w:wordWrap/>
        <w:overflowPunct/>
        <w:topLinePunct w:val="0"/>
        <w:autoSpaceDE/>
        <w:autoSpaceDN/>
        <w:bidi w:val="0"/>
        <w:adjustRightInd w:val="0"/>
        <w:snapToGrid w:val="0"/>
        <w:spacing w:after="0"/>
        <w:ind w:firstLine="2103" w:firstLineChars="1402"/>
        <w:textAlignment w:val="auto"/>
        <w:rPr>
          <w:rFonts w:hint="default" w:ascii="Times New Roman" w:hAnsi="Times New Roman" w:eastAsia="宋体" w:cs="Times New Roman"/>
          <w:sz w:val="15"/>
          <w:szCs w:val="15"/>
        </w:rPr>
      </w:pPr>
      <w:r>
        <w:rPr>
          <w:rFonts w:hint="default" w:ascii="Times New Roman" w:hAnsi="Times New Roman" w:eastAsia="宋体" w:cs="Times New Roman"/>
          <w:sz w:val="15"/>
          <w:szCs w:val="15"/>
        </w:rPr>
        <w:t>2、(12)=(6)-(8)-(11)，（9）= (4)-(5)-(8)- (11) +（1）</w:t>
      </w:r>
    </w:p>
    <w:p>
      <w:pPr>
        <w:keepNext w:val="0"/>
        <w:keepLines w:val="0"/>
        <w:pageBreakBefore w:val="0"/>
        <w:widowControl/>
        <w:kinsoku/>
        <w:wordWrap/>
        <w:overflowPunct/>
        <w:topLinePunct w:val="0"/>
        <w:autoSpaceDE/>
        <w:autoSpaceDN/>
        <w:bidi w:val="0"/>
        <w:adjustRightInd w:val="0"/>
        <w:snapToGrid w:val="0"/>
        <w:spacing w:after="0"/>
        <w:ind w:firstLine="2100" w:firstLineChars="1400"/>
        <w:textAlignment w:val="auto"/>
        <w:rPr>
          <w:rFonts w:hint="default" w:ascii="Times New Roman" w:hAnsi="Times New Roman" w:eastAsia="宋体" w:cs="Times New Roman"/>
          <w:sz w:val="15"/>
          <w:szCs w:val="15"/>
        </w:rPr>
      </w:pPr>
      <w:r>
        <w:rPr>
          <w:rFonts w:hint="default" w:ascii="Times New Roman" w:hAnsi="Times New Roman" w:eastAsia="宋体" w:cs="Times New Roman"/>
          <w:sz w:val="15"/>
          <w:szCs w:val="15"/>
        </w:rPr>
        <w:t>3、计量单位：废水排放量——万吨/年；废气排放量——万标立方米/年；工业固体废物排放量——万吨/年； 水污染物排放浓度——毫克/升；</w:t>
      </w:r>
    </w:p>
    <w:p>
      <w:pPr>
        <w:keepNext w:val="0"/>
        <w:keepLines w:val="0"/>
        <w:pageBreakBefore w:val="0"/>
        <w:widowControl/>
        <w:kinsoku/>
        <w:wordWrap/>
        <w:overflowPunct/>
        <w:topLinePunct w:val="0"/>
        <w:autoSpaceDE/>
        <w:autoSpaceDN/>
        <w:bidi w:val="0"/>
        <w:adjustRightInd w:val="0"/>
        <w:snapToGrid w:val="0"/>
        <w:spacing w:after="0"/>
        <w:ind w:firstLine="2325" w:firstLineChars="1550"/>
        <w:textAlignment w:val="auto"/>
        <w:rPr>
          <w:rFonts w:hint="default" w:ascii="Times New Roman" w:hAnsi="Times New Roman" w:eastAsia="宋体" w:cs="Times New Roman"/>
          <w:sz w:val="15"/>
          <w:szCs w:val="15"/>
        </w:rPr>
        <w:sectPr>
          <w:pgSz w:w="23757" w:h="16783" w:orient="landscape"/>
          <w:pgMar w:top="1800" w:right="1440" w:bottom="1800" w:left="1440" w:header="851" w:footer="992" w:gutter="0"/>
          <w:pgNumType w:fmt="decimal"/>
          <w:cols w:space="425" w:num="1"/>
          <w:docGrid w:type="lines" w:linePitch="312" w:charSpace="0"/>
        </w:sectPr>
      </w:pPr>
      <w:r>
        <w:rPr>
          <w:rFonts w:hint="default" w:ascii="Times New Roman" w:hAnsi="Times New Roman" w:eastAsia="宋体" w:cs="Times New Roman"/>
          <w:sz w:val="15"/>
          <w:szCs w:val="15"/>
        </w:rPr>
        <w:t>大气污染物排放浓度——毫克/立方米</w:t>
      </w:r>
      <w:r>
        <w:rPr>
          <w:rFonts w:hint="default" w:ascii="Times New Roman" w:hAnsi="Times New Roman" w:eastAsia="宋体" w:cs="Times New Roman"/>
        </w:rPr>
        <w:t>；</w:t>
      </w:r>
      <w:r>
        <w:rPr>
          <w:rFonts w:hint="default" w:ascii="Times New Roman" w:hAnsi="Times New Roman" w:eastAsia="宋体" w:cs="Times New Roman"/>
          <w:sz w:val="15"/>
          <w:szCs w:val="15"/>
        </w:rPr>
        <w:t>水污染物排放量——吨/年；大气污染物排放量——吨/年</w:t>
      </w:r>
    </w:p>
    <w:p>
      <w:pPr>
        <w:keepNext w:val="0"/>
        <w:keepLines w:val="0"/>
        <w:pageBreakBefore w:val="0"/>
        <w:widowControl/>
        <w:kinsoku/>
        <w:wordWrap/>
        <w:overflowPunct/>
        <w:topLinePunct w:val="0"/>
        <w:autoSpaceDE/>
        <w:autoSpaceDN/>
        <w:bidi w:val="0"/>
        <w:adjustRightInd w:val="0"/>
        <w:snapToGrid w:val="0"/>
        <w:spacing w:after="0"/>
        <w:jc w:val="both"/>
        <w:textAlignment w:val="auto"/>
        <w:outlineLvl w:val="0"/>
        <w:rPr>
          <w:rFonts w:hint="eastAsia" w:ascii="宋体" w:hAnsi="宋体" w:eastAsia="宋体" w:cs="宋体"/>
          <w:sz w:val="24"/>
          <w:szCs w:val="24"/>
          <w:lang w:eastAsia="zh-CN"/>
        </w:rPr>
      </w:pPr>
      <w:bookmarkStart w:id="28" w:name="_Toc7904"/>
      <w:r>
        <w:rPr>
          <w:rFonts w:hint="eastAsia" w:ascii="宋体" w:hAnsi="宋体" w:eastAsia="宋体" w:cs="宋体"/>
          <w:sz w:val="24"/>
          <w:szCs w:val="24"/>
          <w:lang w:eastAsia="zh-CN"/>
        </w:rPr>
        <w:t>附图一：地理位置图</w:t>
      </w:r>
      <w:bookmarkEnd w:id="28"/>
    </w:p>
    <w:p>
      <w:pPr>
        <w:keepNext w:val="0"/>
        <w:keepLines w:val="0"/>
        <w:pageBreakBefore w:val="0"/>
        <w:widowControl/>
        <w:kinsoku/>
        <w:wordWrap/>
        <w:overflowPunct/>
        <w:topLinePunct w:val="0"/>
        <w:autoSpaceDE/>
        <w:autoSpaceDN/>
        <w:bidi w:val="0"/>
        <w:adjustRightInd w:val="0"/>
        <w:snapToGrid w:val="0"/>
        <w:spacing w:after="0"/>
        <w:jc w:val="center"/>
        <w:textAlignment w:val="auto"/>
      </w:pPr>
      <w:r>
        <w:drawing>
          <wp:inline distT="0" distB="0" distL="114300" distR="114300">
            <wp:extent cx="6809740" cy="476313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809740" cy="4763135"/>
                    </a:xfrm>
                    <a:prstGeom prst="rect">
                      <a:avLst/>
                    </a:prstGeom>
                    <a:noFill/>
                    <a:ln>
                      <a:noFill/>
                    </a:ln>
                  </pic:spPr>
                </pic:pic>
              </a:graphicData>
            </a:graphic>
          </wp:inline>
        </w:drawing>
      </w:r>
    </w:p>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eastAsia="zh-CN"/>
        </w:rPr>
        <w:t>图</w:t>
      </w:r>
      <w:r>
        <w:rPr>
          <w:rFonts w:hint="eastAsia" w:ascii="宋体" w:hAnsi="宋体" w:eastAsia="宋体"/>
          <w:color w:val="000000"/>
          <w:sz w:val="21"/>
          <w:szCs w:val="21"/>
          <w:lang w:val="en-US" w:eastAsia="zh-CN"/>
        </w:rPr>
        <w:t>1 项目地理位置图</w:t>
      </w:r>
    </w:p>
    <w:p>
      <w:pPr>
        <w:rPr>
          <w:rFonts w:hint="eastAsia" w:ascii="宋体" w:hAnsi="宋体" w:eastAsia="宋体"/>
          <w:color w:val="000000"/>
          <w:sz w:val="21"/>
          <w:szCs w:val="21"/>
          <w:lang w:val="en-US" w:eastAsia="zh-CN"/>
        </w:rPr>
        <w:sectPr>
          <w:pgSz w:w="16783" w:h="11850" w:orient="landscape"/>
          <w:pgMar w:top="1800" w:right="1440" w:bottom="1800" w:left="1440" w:header="851" w:footer="992" w:gutter="0"/>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jc w:val="both"/>
        <w:textAlignment w:val="auto"/>
        <w:outlineLvl w:val="0"/>
        <w:rPr>
          <w:rFonts w:hint="eastAsia" w:ascii="宋体" w:hAnsi="宋体" w:eastAsia="宋体" w:cs="宋体"/>
          <w:sz w:val="24"/>
          <w:szCs w:val="24"/>
          <w:lang w:eastAsia="zh-CN"/>
        </w:rPr>
      </w:pPr>
      <w:bookmarkStart w:id="29" w:name="_Toc21345"/>
      <w:r>
        <w:rPr>
          <w:rFonts w:hint="eastAsia" w:ascii="宋体" w:hAnsi="宋体" w:eastAsia="宋体" w:cs="宋体"/>
          <w:sz w:val="24"/>
          <w:szCs w:val="24"/>
          <w:lang w:eastAsia="zh-CN"/>
        </w:rPr>
        <w:t>附图二：平面布局图</w:t>
      </w:r>
      <w:bookmarkEnd w:id="29"/>
    </w:p>
    <w:p>
      <w:pPr>
        <w:jc w:val="center"/>
      </w:pPr>
      <w:r>
        <w:drawing>
          <wp:inline distT="0" distB="0" distL="114300" distR="114300">
            <wp:extent cx="7031990" cy="4498340"/>
            <wp:effectExtent l="0" t="0" r="1651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7031990" cy="44983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图</w:t>
      </w:r>
      <w:r>
        <w:rPr>
          <w:rFonts w:hint="default" w:ascii="Times New Roman" w:hAnsi="Times New Roman" w:eastAsia="宋体" w:cs="Times New Roman"/>
          <w:sz w:val="24"/>
          <w:szCs w:val="24"/>
          <w:lang w:val="en-US" w:eastAsia="zh-CN"/>
        </w:rPr>
        <w:t xml:space="preserve">2 </w:t>
      </w:r>
      <w:r>
        <w:rPr>
          <w:rFonts w:hint="eastAsia" w:ascii="宋体" w:hAnsi="宋体" w:eastAsia="宋体" w:cs="宋体"/>
          <w:sz w:val="24"/>
          <w:szCs w:val="24"/>
          <w:lang w:val="en-US" w:eastAsia="zh-CN"/>
        </w:rPr>
        <w:t>平面布局示意图</w:t>
      </w:r>
    </w:p>
    <w:p>
      <w:pPr>
        <w:pStyle w:val="4"/>
        <w:outlineLvl w:val="9"/>
        <w:rPr>
          <w:rFonts w:hint="eastAsia"/>
          <w:lang w:val="en-US" w:eastAsia="zh-CN"/>
        </w:rPr>
        <w:sectPr>
          <w:pgSz w:w="16783" w:h="11850" w:orient="landscape"/>
          <w:pgMar w:top="1800" w:right="1440" w:bottom="1800" w:left="1440" w:header="851" w:footer="992" w:gutter="0"/>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jc w:val="both"/>
        <w:textAlignment w:val="auto"/>
        <w:outlineLvl w:val="0"/>
        <w:rPr>
          <w:rFonts w:hint="default" w:ascii="宋体" w:hAnsi="宋体" w:eastAsia="宋体" w:cs="宋体"/>
          <w:sz w:val="24"/>
          <w:szCs w:val="24"/>
          <w:lang w:val="en-US" w:eastAsia="zh-CN"/>
        </w:rPr>
      </w:pPr>
      <w:bookmarkStart w:id="30" w:name="_Toc13954"/>
      <w:r>
        <w:rPr>
          <w:rFonts w:hint="eastAsia" w:ascii="宋体" w:hAnsi="宋体" w:eastAsia="宋体" w:cs="宋体"/>
          <w:sz w:val="24"/>
          <w:szCs w:val="24"/>
          <w:lang w:val="en-US" w:eastAsia="zh-CN"/>
        </w:rPr>
        <w:t>附图三 现场监测照片</w:t>
      </w:r>
      <w:bookmarkEnd w:id="30"/>
    </w:p>
    <w:tbl>
      <w:tblPr>
        <w:tblStyle w:val="12"/>
        <w:tblW w:w="9283"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1"/>
        <w:gridCol w:w="4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4" w:hRule="atLeast"/>
        </w:trPr>
        <w:tc>
          <w:tcPr>
            <w:tcW w:w="464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bCs/>
                <w:sz w:val="21"/>
                <w:szCs w:val="21"/>
                <w:vertAlign w:val="baseline"/>
                <w:lang w:val="en-US" w:eastAsia="zh-CN"/>
              </w:rPr>
              <w:drawing>
                <wp:inline distT="0" distB="0" distL="114300" distR="114300">
                  <wp:extent cx="2560320" cy="1915160"/>
                  <wp:effectExtent l="0" t="0" r="11430" b="8890"/>
                  <wp:docPr id="13" name="图片 13" descr="上风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上风向 (2)"/>
                          <pic:cNvPicPr>
                            <a:picLocks noChangeAspect="1"/>
                          </pic:cNvPicPr>
                        </pic:nvPicPr>
                        <pic:blipFill>
                          <a:blip r:embed="rId11"/>
                          <a:stretch>
                            <a:fillRect/>
                          </a:stretch>
                        </pic:blipFill>
                        <pic:spPr>
                          <a:xfrm>
                            <a:off x="0" y="0"/>
                            <a:ext cx="2560320" cy="1915160"/>
                          </a:xfrm>
                          <a:prstGeom prst="rect">
                            <a:avLst/>
                          </a:prstGeom>
                        </pic:spPr>
                      </pic:pic>
                    </a:graphicData>
                  </a:graphic>
                </wp:inline>
              </w:drawing>
            </w:r>
          </w:p>
        </w:tc>
        <w:tc>
          <w:tcPr>
            <w:tcW w:w="4642"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bCs/>
                <w:sz w:val="21"/>
                <w:szCs w:val="21"/>
                <w:vertAlign w:val="baseline"/>
                <w:lang w:val="en-US" w:eastAsia="zh-CN"/>
              </w:rPr>
              <w:drawing>
                <wp:inline distT="0" distB="0" distL="114300" distR="114300">
                  <wp:extent cx="2560320" cy="1915160"/>
                  <wp:effectExtent l="0" t="0" r="11430" b="8890"/>
                  <wp:docPr id="14" name="图片 14" descr="下风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下风向"/>
                          <pic:cNvPicPr>
                            <a:picLocks noChangeAspect="1"/>
                          </pic:cNvPicPr>
                        </pic:nvPicPr>
                        <pic:blipFill>
                          <a:blip r:embed="rId12"/>
                          <a:stretch>
                            <a:fillRect/>
                          </a:stretch>
                        </pic:blipFill>
                        <pic:spPr>
                          <a:xfrm>
                            <a:off x="0" y="0"/>
                            <a:ext cx="2560320" cy="1915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64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i w:val="0"/>
                <w:color w:val="auto"/>
                <w:sz w:val="21"/>
                <w:szCs w:val="21"/>
                <w:u w:val="none"/>
                <w:lang w:val="en-US" w:eastAsia="zh-CN"/>
              </w:rPr>
              <w:t>上风向</w:t>
            </w:r>
          </w:p>
        </w:tc>
        <w:tc>
          <w:tcPr>
            <w:tcW w:w="4642"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i w:val="0"/>
                <w:color w:val="auto"/>
                <w:sz w:val="21"/>
                <w:szCs w:val="21"/>
                <w:u w:val="none"/>
                <w:lang w:val="en-US" w:eastAsia="zh-CN"/>
              </w:rPr>
              <w:t>下风向1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464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bCs/>
                <w:sz w:val="21"/>
                <w:szCs w:val="21"/>
                <w:vertAlign w:val="baseline"/>
                <w:lang w:val="en-US" w:eastAsia="zh-CN"/>
              </w:rPr>
              <w:drawing>
                <wp:inline distT="0" distB="0" distL="114300" distR="114300">
                  <wp:extent cx="2560320" cy="1915160"/>
                  <wp:effectExtent l="0" t="0" r="11430" b="8890"/>
                  <wp:docPr id="15" name="图片 15" descr="下风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下风向 (2)"/>
                          <pic:cNvPicPr>
                            <a:picLocks noChangeAspect="1"/>
                          </pic:cNvPicPr>
                        </pic:nvPicPr>
                        <pic:blipFill>
                          <a:blip r:embed="rId13"/>
                          <a:stretch>
                            <a:fillRect/>
                          </a:stretch>
                        </pic:blipFill>
                        <pic:spPr>
                          <a:xfrm>
                            <a:off x="0" y="0"/>
                            <a:ext cx="2560320" cy="1915160"/>
                          </a:xfrm>
                          <a:prstGeom prst="rect">
                            <a:avLst/>
                          </a:prstGeom>
                        </pic:spPr>
                      </pic:pic>
                    </a:graphicData>
                  </a:graphic>
                </wp:inline>
              </w:drawing>
            </w:r>
          </w:p>
        </w:tc>
        <w:tc>
          <w:tcPr>
            <w:tcW w:w="4642"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bCs/>
                <w:sz w:val="21"/>
                <w:szCs w:val="21"/>
                <w:vertAlign w:val="baseline"/>
                <w:lang w:val="en-US" w:eastAsia="zh-CN"/>
              </w:rPr>
              <w:drawing>
                <wp:inline distT="0" distB="0" distL="114300" distR="114300">
                  <wp:extent cx="2560320" cy="1915160"/>
                  <wp:effectExtent l="0" t="0" r="11430" b="8890"/>
                  <wp:docPr id="16" name="图片 16" descr="下风向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下风向 (3)"/>
                          <pic:cNvPicPr>
                            <a:picLocks noChangeAspect="1"/>
                          </pic:cNvPicPr>
                        </pic:nvPicPr>
                        <pic:blipFill>
                          <a:blip r:embed="rId14"/>
                          <a:stretch>
                            <a:fillRect/>
                          </a:stretch>
                        </pic:blipFill>
                        <pic:spPr>
                          <a:xfrm>
                            <a:off x="0" y="0"/>
                            <a:ext cx="2560320" cy="1915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41"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i w:val="0"/>
                <w:color w:val="auto"/>
                <w:sz w:val="21"/>
                <w:szCs w:val="21"/>
                <w:u w:val="none"/>
                <w:lang w:val="en-US" w:eastAsia="zh-CN"/>
              </w:rPr>
              <w:t>下风向</w:t>
            </w:r>
            <w:r>
              <w:rPr>
                <w:rFonts w:hint="eastAsia" w:cs="Times New Roman"/>
                <w:i w:val="0"/>
                <w:color w:val="auto"/>
                <w:sz w:val="21"/>
                <w:szCs w:val="21"/>
                <w:u w:val="none"/>
                <w:lang w:val="en-US" w:eastAsia="zh-CN"/>
              </w:rPr>
              <w:t>2</w:t>
            </w:r>
          </w:p>
        </w:tc>
        <w:tc>
          <w:tcPr>
            <w:tcW w:w="4642"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i w:val="0"/>
                <w:color w:val="auto"/>
                <w:sz w:val="21"/>
                <w:szCs w:val="21"/>
                <w:u w:val="none"/>
                <w:lang w:val="en-US" w:eastAsia="zh-CN"/>
              </w:rPr>
              <w:t>下风向</w:t>
            </w:r>
            <w:r>
              <w:rPr>
                <w:rFonts w:hint="eastAsia" w:cs="Times New Roman"/>
                <w:i w:val="0"/>
                <w:color w:val="auto"/>
                <w:sz w:val="21"/>
                <w:szCs w:val="21"/>
                <w:u w:val="none"/>
                <w:lang w:val="en-US" w:eastAsia="zh-CN"/>
              </w:rPr>
              <w:t>3</w:t>
            </w:r>
          </w:p>
        </w:tc>
      </w:tr>
    </w:tbl>
    <w:p>
      <w:pPr>
        <w:rPr>
          <w:rFonts w:hint="eastAsia"/>
          <w:lang w:eastAsia="zh-CN"/>
        </w:rPr>
      </w:pPr>
      <w:r>
        <w:rPr>
          <w:rFonts w:hint="eastAsia"/>
          <w:lang w:eastAsia="zh-CN"/>
        </w:rPr>
        <w:br w:type="page"/>
      </w:r>
    </w:p>
    <w:tbl>
      <w:tblPr>
        <w:tblStyle w:val="12"/>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0"/>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jc w:val="center"/>
        </w:trPr>
        <w:tc>
          <w:tcPr>
            <w:tcW w:w="466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bCs/>
                <w:sz w:val="21"/>
                <w:szCs w:val="21"/>
                <w:vertAlign w:val="baseline"/>
                <w:lang w:val="en-US" w:eastAsia="zh-CN"/>
              </w:rPr>
              <w:drawing>
                <wp:inline distT="0" distB="0" distL="114300" distR="114300">
                  <wp:extent cx="2560320" cy="1915160"/>
                  <wp:effectExtent l="0" t="0" r="11430" b="8890"/>
                  <wp:docPr id="17" name="图片 17" descr="厂界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厂界北"/>
                          <pic:cNvPicPr>
                            <a:picLocks noChangeAspect="1"/>
                          </pic:cNvPicPr>
                        </pic:nvPicPr>
                        <pic:blipFill>
                          <a:blip r:embed="rId15"/>
                          <a:stretch>
                            <a:fillRect/>
                          </a:stretch>
                        </pic:blipFill>
                        <pic:spPr>
                          <a:xfrm>
                            <a:off x="0" y="0"/>
                            <a:ext cx="2560320" cy="1915160"/>
                          </a:xfrm>
                          <a:prstGeom prst="rect">
                            <a:avLst/>
                          </a:prstGeom>
                        </pic:spPr>
                      </pic:pic>
                    </a:graphicData>
                  </a:graphic>
                </wp:inline>
              </w:drawing>
            </w:r>
          </w:p>
        </w:tc>
        <w:tc>
          <w:tcPr>
            <w:tcW w:w="466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bCs/>
                <w:vertAlign w:val="baseline"/>
                <w:lang w:val="en-US" w:eastAsia="zh-CN"/>
              </w:rPr>
              <w:drawing>
                <wp:inline distT="0" distB="0" distL="114300" distR="114300">
                  <wp:extent cx="2560320" cy="1920240"/>
                  <wp:effectExtent l="0" t="0" r="11430" b="3810"/>
                  <wp:docPr id="4" name="图片 4" descr="E:\环境报告\2020年\MDJ20-0094\MDP20-0094照片\N1东\IMG_20200528_165054.jpgIMG_20200528_16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环境报告\2020年\MDJ20-0094\MDP20-0094照片\N1东\IMG_20200528_165054.jpgIMG_20200528_165054"/>
                          <pic:cNvPicPr>
                            <a:picLocks noChangeAspect="1"/>
                          </pic:cNvPicPr>
                        </pic:nvPicPr>
                        <pic:blipFill>
                          <a:blip r:embed="rId16"/>
                          <a:srcRect/>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66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eastAsia" w:ascii="宋体" w:hAnsi="宋体" w:eastAsia="宋体" w:cs="宋体"/>
                <w:bCs/>
                <w:vertAlign w:val="baseline"/>
                <w:lang w:val="en-US" w:eastAsia="zh-CN"/>
              </w:rPr>
            </w:pPr>
            <w:r>
              <w:rPr>
                <w:rFonts w:hint="eastAsia" w:ascii="宋体" w:hAnsi="宋体" w:eastAsia="宋体" w:cs="宋体"/>
                <w:bCs/>
                <w:color w:val="000000"/>
                <w:sz w:val="21"/>
                <w:szCs w:val="21"/>
                <w:lang w:eastAsia="zh-CN"/>
              </w:rPr>
              <w:t>场界北侧界</w:t>
            </w:r>
          </w:p>
        </w:tc>
        <w:tc>
          <w:tcPr>
            <w:tcW w:w="466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eastAsia" w:ascii="宋体" w:hAnsi="宋体" w:eastAsia="宋体" w:cs="宋体"/>
                <w:bCs/>
                <w:vertAlign w:val="baseline"/>
                <w:lang w:val="en-US" w:eastAsia="zh-CN"/>
              </w:rPr>
            </w:pPr>
            <w:r>
              <w:rPr>
                <w:rFonts w:hint="eastAsia" w:ascii="宋体" w:hAnsi="宋体" w:eastAsia="宋体" w:cs="宋体"/>
                <w:bCs/>
                <w:color w:val="000000"/>
                <w:sz w:val="21"/>
                <w:szCs w:val="21"/>
                <w:lang w:eastAsia="zh-CN"/>
              </w:rPr>
              <w:t>场界东侧界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7" w:hRule="atLeast"/>
          <w:jc w:val="center"/>
        </w:trPr>
        <w:tc>
          <w:tcPr>
            <w:tcW w:w="466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bCs/>
                <w:vertAlign w:val="baseline"/>
                <w:lang w:val="en-US" w:eastAsia="zh-CN"/>
              </w:rPr>
              <w:drawing>
                <wp:inline distT="0" distB="0" distL="114300" distR="114300">
                  <wp:extent cx="2534285" cy="1900555"/>
                  <wp:effectExtent l="0" t="0" r="18415" b="4445"/>
                  <wp:docPr id="7" name="图片 7" descr="E:\环境报告\2020年\MDJ20-0094\MDP20-0094照片\N2南\IMG_20200528_165632.jpgIMG_20200528_16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环境报告\2020年\MDJ20-0094\MDP20-0094照片\N2南\IMG_20200528_165632.jpgIMG_20200528_165632"/>
                          <pic:cNvPicPr>
                            <a:picLocks noChangeAspect="1"/>
                          </pic:cNvPicPr>
                        </pic:nvPicPr>
                        <pic:blipFill>
                          <a:blip r:embed="rId17"/>
                          <a:srcRect/>
                          <a:stretch>
                            <a:fillRect/>
                          </a:stretch>
                        </pic:blipFill>
                        <pic:spPr>
                          <a:xfrm>
                            <a:off x="0" y="0"/>
                            <a:ext cx="2534285" cy="1900555"/>
                          </a:xfrm>
                          <a:prstGeom prst="rect">
                            <a:avLst/>
                          </a:prstGeom>
                        </pic:spPr>
                      </pic:pic>
                    </a:graphicData>
                  </a:graphic>
                </wp:inline>
              </w:drawing>
            </w:r>
          </w:p>
        </w:tc>
        <w:tc>
          <w:tcPr>
            <w:tcW w:w="466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宋体" w:hAnsi="宋体" w:cs="宋体"/>
                <w:bCs/>
                <w:vertAlign w:val="baseline"/>
                <w:lang w:val="en-US" w:eastAsia="zh-CN"/>
              </w:rPr>
            </w:pPr>
            <w:r>
              <w:rPr>
                <w:rFonts w:hint="default" w:ascii="Times New Roman" w:hAnsi="Times New Roman" w:eastAsia="宋体" w:cs="Times New Roman"/>
                <w:color w:val="auto"/>
                <w:sz w:val="21"/>
                <w:szCs w:val="21"/>
                <w:vertAlign w:val="baseline"/>
                <w:lang w:val="en-US" w:eastAsia="zh-CN"/>
              </w:rPr>
              <w:drawing>
                <wp:inline distT="0" distB="0" distL="114300" distR="114300">
                  <wp:extent cx="2520950" cy="1891030"/>
                  <wp:effectExtent l="0" t="0" r="12700" b="13970"/>
                  <wp:docPr id="8" name="图片 8" descr="E:\环境报告\2020年\MDJ20-0094\MDP20-0094照片\N3西\IMG_20200528_170205.jpgIMG_20200528_17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环境报告\2020年\MDJ20-0094\MDP20-0094照片\N3西\IMG_20200528_170205.jpgIMG_20200528_170205"/>
                          <pic:cNvPicPr>
                            <a:picLocks noChangeAspect="1"/>
                          </pic:cNvPicPr>
                        </pic:nvPicPr>
                        <pic:blipFill>
                          <a:blip r:embed="rId18"/>
                          <a:srcRect/>
                          <a:stretch>
                            <a:fillRect/>
                          </a:stretch>
                        </pic:blipFill>
                        <pic:spPr>
                          <a:xfrm>
                            <a:off x="0" y="0"/>
                            <a:ext cx="2520950" cy="1891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66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eastAsia" w:ascii="宋体" w:hAnsi="宋体" w:eastAsia="宋体" w:cs="宋体"/>
                <w:bCs/>
                <w:vertAlign w:val="baseline"/>
                <w:lang w:val="en-US" w:eastAsia="zh-CN"/>
              </w:rPr>
            </w:pPr>
            <w:r>
              <w:rPr>
                <w:rFonts w:hint="eastAsia" w:ascii="宋体" w:hAnsi="宋体" w:eastAsia="宋体" w:cs="宋体"/>
                <w:bCs/>
                <w:color w:val="000000"/>
                <w:sz w:val="21"/>
                <w:szCs w:val="21"/>
                <w:lang w:eastAsia="zh-CN"/>
              </w:rPr>
              <w:t>场界南侧界外</w:t>
            </w:r>
          </w:p>
        </w:tc>
        <w:tc>
          <w:tcPr>
            <w:tcW w:w="466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eastAsia" w:ascii="宋体" w:hAnsi="宋体" w:eastAsia="宋体" w:cs="宋体"/>
                <w:bCs/>
                <w:vertAlign w:val="baseline"/>
                <w:lang w:val="en-US" w:eastAsia="zh-CN"/>
              </w:rPr>
            </w:pPr>
            <w:r>
              <w:rPr>
                <w:rFonts w:hint="eastAsia" w:ascii="宋体" w:hAnsi="宋体" w:eastAsia="宋体" w:cs="宋体"/>
                <w:bCs/>
                <w:color w:val="000000"/>
                <w:sz w:val="21"/>
                <w:szCs w:val="21"/>
                <w:lang w:eastAsia="zh-CN"/>
              </w:rPr>
              <w:t>场界西侧界</w:t>
            </w:r>
          </w:p>
        </w:tc>
      </w:tr>
    </w:tbl>
    <w:p>
      <w:pPr>
        <w:rPr>
          <w:rFonts w:hint="eastAsia"/>
          <w:lang w:eastAsia="zh-CN"/>
        </w:rPr>
      </w:pPr>
    </w:p>
    <w:p>
      <w:pPr>
        <w:rPr>
          <w:rFonts w:hint="eastAsia"/>
          <w:lang w:eastAsia="zh-CN"/>
        </w:rPr>
      </w:pPr>
      <w:r>
        <w:rPr>
          <w:rFonts w:hint="eastAsia"/>
          <w:lang w:eastAsia="zh-CN"/>
        </w:rPr>
        <w:br w:type="page"/>
      </w:r>
    </w:p>
    <w:p>
      <w:pPr>
        <w:keepNext w:val="0"/>
        <w:keepLines w:val="0"/>
        <w:pageBreakBefore w:val="0"/>
        <w:widowControl/>
        <w:kinsoku/>
        <w:wordWrap/>
        <w:overflowPunct/>
        <w:topLinePunct w:val="0"/>
        <w:autoSpaceDE/>
        <w:autoSpaceDN/>
        <w:bidi w:val="0"/>
        <w:adjustRightInd w:val="0"/>
        <w:snapToGrid w:val="0"/>
        <w:spacing w:after="0"/>
        <w:textAlignment w:val="auto"/>
        <w:outlineLvl w:val="0"/>
        <w:rPr>
          <w:rFonts w:hint="eastAsia" w:ascii="宋体" w:hAnsi="宋体" w:eastAsia="宋体" w:cs="宋体"/>
          <w:sz w:val="24"/>
          <w:szCs w:val="24"/>
          <w:lang w:eastAsia="zh-CN"/>
        </w:rPr>
      </w:pPr>
      <w:bookmarkStart w:id="31" w:name="_Toc28386"/>
      <w:r>
        <w:rPr>
          <w:rFonts w:hint="eastAsia" w:ascii="宋体" w:hAnsi="宋体" w:eastAsia="宋体" w:cs="宋体"/>
          <w:sz w:val="24"/>
          <w:szCs w:val="24"/>
          <w:lang w:eastAsia="zh-CN"/>
        </w:rPr>
        <w:t>附件一：环评批复</w:t>
      </w:r>
      <w:bookmarkEnd w:id="31"/>
    </w:p>
    <w:p>
      <w:pPr>
        <w:pStyle w:val="2"/>
        <w:keepNext w:val="0"/>
        <w:keepLines w:val="0"/>
        <w:pageBreakBefore w:val="0"/>
        <w:widowControl/>
        <w:kinsoku/>
        <w:wordWrap/>
        <w:overflowPunct/>
        <w:topLinePunct w:val="0"/>
        <w:autoSpaceDE/>
        <w:autoSpaceDN/>
        <w:bidi w:val="0"/>
        <w:adjustRightInd w:val="0"/>
        <w:snapToGrid w:val="0"/>
        <w:spacing w:line="360" w:lineRule="auto"/>
        <w:textAlignment w:val="auto"/>
      </w:pPr>
      <w:r>
        <w:drawing>
          <wp:inline distT="0" distB="0" distL="114300" distR="114300">
            <wp:extent cx="4819650" cy="71628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4819650" cy="71628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pPr>
      <w:r>
        <w:drawing>
          <wp:inline distT="0" distB="0" distL="114300" distR="114300">
            <wp:extent cx="5000625" cy="7219950"/>
            <wp:effectExtent l="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a:stretch>
                      <a:fillRect/>
                    </a:stretch>
                  </pic:blipFill>
                  <pic:spPr>
                    <a:xfrm>
                      <a:off x="0" y="0"/>
                      <a:ext cx="5000625" cy="7219950"/>
                    </a:xfrm>
                    <a:prstGeom prst="rect">
                      <a:avLst/>
                    </a:prstGeom>
                    <a:noFill/>
                    <a:ln>
                      <a:noFill/>
                    </a:ln>
                  </pic:spPr>
                </pic:pic>
              </a:graphicData>
            </a:graphic>
          </wp:inline>
        </w:drawing>
      </w:r>
      <w:r>
        <w:drawing>
          <wp:inline distT="0" distB="0" distL="114300" distR="114300">
            <wp:extent cx="4943475" cy="6953250"/>
            <wp:effectExtent l="0" t="0" r="952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4943475" cy="6953250"/>
                    </a:xfrm>
                    <a:prstGeom prst="rect">
                      <a:avLst/>
                    </a:prstGeom>
                    <a:noFill/>
                    <a:ln>
                      <a:noFill/>
                    </a:ln>
                  </pic:spPr>
                </pic:pic>
              </a:graphicData>
            </a:graphic>
          </wp:inline>
        </w:drawing>
      </w:r>
      <w:r>
        <w:drawing>
          <wp:inline distT="0" distB="0" distL="114300" distR="114300">
            <wp:extent cx="4886325" cy="7010400"/>
            <wp:effectExtent l="0" t="0" r="9525"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4886325" cy="7010400"/>
                    </a:xfrm>
                    <a:prstGeom prst="rect">
                      <a:avLst/>
                    </a:prstGeom>
                    <a:noFill/>
                    <a:ln>
                      <a:noFill/>
                    </a:ln>
                  </pic:spPr>
                </pic:pic>
              </a:graphicData>
            </a:graphic>
          </wp:inline>
        </w:drawing>
      </w:r>
    </w:p>
    <w:p/>
    <w:p/>
    <w:p>
      <w:pPr>
        <w:rPr>
          <w:rFonts w:hint="eastAsia"/>
          <w:lang w:eastAsia="zh-CN"/>
        </w:rPr>
      </w:pPr>
      <w:r>
        <w:rPr>
          <w:rFonts w:hint="eastAsia"/>
          <w:lang w:eastAsia="zh-CN"/>
        </w:rPr>
        <w:br w:type="page"/>
      </w:r>
    </w:p>
    <w:p>
      <w:pPr>
        <w:keepNext w:val="0"/>
        <w:keepLines w:val="0"/>
        <w:pageBreakBefore w:val="0"/>
        <w:widowControl/>
        <w:kinsoku/>
        <w:wordWrap/>
        <w:overflowPunct/>
        <w:topLinePunct w:val="0"/>
        <w:autoSpaceDE/>
        <w:autoSpaceDN/>
        <w:bidi w:val="0"/>
        <w:adjustRightInd w:val="0"/>
        <w:snapToGrid w:val="0"/>
        <w:spacing w:after="0"/>
        <w:textAlignment w:val="auto"/>
        <w:outlineLvl w:val="0"/>
        <w:rPr>
          <w:rFonts w:hint="default" w:ascii="宋体" w:hAnsi="宋体" w:eastAsia="宋体" w:cs="宋体"/>
          <w:sz w:val="24"/>
          <w:szCs w:val="24"/>
          <w:lang w:val="en-US" w:eastAsia="zh-CN"/>
        </w:rPr>
      </w:pPr>
      <w:bookmarkStart w:id="32" w:name="_Toc13680"/>
      <w:r>
        <w:rPr>
          <w:rFonts w:hint="default" w:ascii="宋体" w:hAnsi="宋体" w:eastAsia="宋体" w:cs="宋体"/>
          <w:sz w:val="24"/>
          <w:szCs w:val="24"/>
          <w:lang w:eastAsia="zh-CN"/>
        </w:rPr>
        <w:t>附件</w:t>
      </w:r>
      <w:r>
        <w:rPr>
          <w:rFonts w:hint="eastAsia" w:ascii="宋体" w:hAnsi="宋体" w:eastAsia="宋体" w:cs="宋体"/>
          <w:sz w:val="24"/>
          <w:szCs w:val="24"/>
          <w:lang w:eastAsia="zh-CN"/>
        </w:rPr>
        <w:t>三</w:t>
      </w:r>
      <w:r>
        <w:rPr>
          <w:rFonts w:hint="default" w:ascii="宋体" w:hAnsi="宋体" w:eastAsia="宋体" w:cs="宋体"/>
          <w:sz w:val="24"/>
          <w:szCs w:val="24"/>
          <w:lang w:val="en-US" w:eastAsia="zh-CN"/>
        </w:rPr>
        <w:t xml:space="preserve"> 验收监测数据报告</w:t>
      </w:r>
      <w:bookmarkEnd w:id="32"/>
    </w:p>
    <w:p>
      <w:pPr>
        <w:pStyle w:val="2"/>
        <w:rPr>
          <w:rFonts w:hint="default"/>
          <w:lang w:val="en-US" w:eastAsia="zh-CN"/>
        </w:rPr>
      </w:pPr>
      <w:r>
        <w:drawing>
          <wp:inline distT="0" distB="0" distL="114300" distR="114300">
            <wp:extent cx="5234305" cy="7358380"/>
            <wp:effectExtent l="0" t="0" r="4445" b="139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5234305" cy="7358380"/>
                    </a:xfrm>
                    <a:prstGeom prst="rect">
                      <a:avLst/>
                    </a:prstGeom>
                    <a:noFill/>
                    <a:ln>
                      <a:noFill/>
                    </a:ln>
                  </pic:spPr>
                </pic:pic>
              </a:graphicData>
            </a:graphic>
          </wp:inline>
        </w:drawing>
      </w:r>
    </w:p>
    <w:p>
      <w:pPr>
        <w:jc w:val="center"/>
      </w:pPr>
      <w:r>
        <w:drawing>
          <wp:inline distT="0" distB="0" distL="114300" distR="114300">
            <wp:extent cx="5238115" cy="7163435"/>
            <wp:effectExtent l="0" t="0" r="635" b="184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5238115" cy="7163435"/>
                    </a:xfrm>
                    <a:prstGeom prst="rect">
                      <a:avLst/>
                    </a:prstGeom>
                    <a:noFill/>
                    <a:ln>
                      <a:noFill/>
                    </a:ln>
                  </pic:spPr>
                </pic:pic>
              </a:graphicData>
            </a:graphic>
          </wp:inline>
        </w:drawing>
      </w:r>
      <w:r>
        <w:drawing>
          <wp:inline distT="0" distB="0" distL="114300" distR="114300">
            <wp:extent cx="5233670" cy="7098665"/>
            <wp:effectExtent l="0" t="0" r="5080" b="698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5"/>
                    <a:stretch>
                      <a:fillRect/>
                    </a:stretch>
                  </pic:blipFill>
                  <pic:spPr>
                    <a:xfrm>
                      <a:off x="0" y="0"/>
                      <a:ext cx="5233670" cy="7098665"/>
                    </a:xfrm>
                    <a:prstGeom prst="rect">
                      <a:avLst/>
                    </a:prstGeom>
                    <a:noFill/>
                    <a:ln>
                      <a:noFill/>
                    </a:ln>
                  </pic:spPr>
                </pic:pic>
              </a:graphicData>
            </a:graphic>
          </wp:inline>
        </w:drawing>
      </w:r>
      <w:r>
        <w:drawing>
          <wp:inline distT="0" distB="0" distL="114300" distR="114300">
            <wp:extent cx="5235575" cy="7331075"/>
            <wp:effectExtent l="0" t="0" r="3175" b="317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6"/>
                    <a:stretch>
                      <a:fillRect/>
                    </a:stretch>
                  </pic:blipFill>
                  <pic:spPr>
                    <a:xfrm>
                      <a:off x="0" y="0"/>
                      <a:ext cx="5235575" cy="7331075"/>
                    </a:xfrm>
                    <a:prstGeom prst="rect">
                      <a:avLst/>
                    </a:prstGeom>
                    <a:noFill/>
                    <a:ln>
                      <a:noFill/>
                    </a:ln>
                  </pic:spPr>
                </pic:pic>
              </a:graphicData>
            </a:graphic>
          </wp:inline>
        </w:drawing>
      </w:r>
      <w:r>
        <w:drawing>
          <wp:inline distT="0" distB="0" distL="114300" distR="114300">
            <wp:extent cx="5233670" cy="7243445"/>
            <wp:effectExtent l="0" t="0" r="5080" b="146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7"/>
                    <a:stretch>
                      <a:fillRect/>
                    </a:stretch>
                  </pic:blipFill>
                  <pic:spPr>
                    <a:xfrm>
                      <a:off x="0" y="0"/>
                      <a:ext cx="5233670" cy="7243445"/>
                    </a:xfrm>
                    <a:prstGeom prst="rect">
                      <a:avLst/>
                    </a:prstGeom>
                    <a:noFill/>
                    <a:ln>
                      <a:noFill/>
                    </a:ln>
                  </pic:spPr>
                </pic:pic>
              </a:graphicData>
            </a:graphic>
          </wp:inline>
        </w:drawing>
      </w:r>
      <w:r>
        <w:drawing>
          <wp:inline distT="0" distB="0" distL="114300" distR="114300">
            <wp:extent cx="5234305" cy="7399020"/>
            <wp:effectExtent l="0" t="0" r="4445" b="1143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8"/>
                    <a:stretch>
                      <a:fillRect/>
                    </a:stretch>
                  </pic:blipFill>
                  <pic:spPr>
                    <a:xfrm>
                      <a:off x="0" y="0"/>
                      <a:ext cx="5234305" cy="7399020"/>
                    </a:xfrm>
                    <a:prstGeom prst="rect">
                      <a:avLst/>
                    </a:prstGeom>
                    <a:noFill/>
                    <a:ln>
                      <a:noFill/>
                    </a:ln>
                  </pic:spPr>
                </pic:pic>
              </a:graphicData>
            </a:graphic>
          </wp:inline>
        </w:drawing>
      </w:r>
      <w:r>
        <w:drawing>
          <wp:inline distT="0" distB="0" distL="114300" distR="114300">
            <wp:extent cx="5238115" cy="7221855"/>
            <wp:effectExtent l="0" t="0" r="635" b="1714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9"/>
                    <a:stretch>
                      <a:fillRect/>
                    </a:stretch>
                  </pic:blipFill>
                  <pic:spPr>
                    <a:xfrm>
                      <a:off x="0" y="0"/>
                      <a:ext cx="5238115" cy="7221855"/>
                    </a:xfrm>
                    <a:prstGeom prst="rect">
                      <a:avLst/>
                    </a:prstGeom>
                    <a:noFill/>
                    <a:ln>
                      <a:noFill/>
                    </a:ln>
                  </pic:spPr>
                </pic:pic>
              </a:graphicData>
            </a:graphic>
          </wp:inline>
        </w:drawing>
      </w:r>
      <w:r>
        <w:drawing>
          <wp:inline distT="0" distB="0" distL="114300" distR="114300">
            <wp:extent cx="5235575" cy="6936740"/>
            <wp:effectExtent l="0" t="0" r="3175" b="1651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0"/>
                    <a:stretch>
                      <a:fillRect/>
                    </a:stretch>
                  </pic:blipFill>
                  <pic:spPr>
                    <a:xfrm>
                      <a:off x="0" y="0"/>
                      <a:ext cx="5235575" cy="6936740"/>
                    </a:xfrm>
                    <a:prstGeom prst="rect">
                      <a:avLst/>
                    </a:prstGeom>
                    <a:noFill/>
                    <a:ln>
                      <a:noFill/>
                    </a:ln>
                  </pic:spPr>
                </pic:pic>
              </a:graphicData>
            </a:graphic>
          </wp:inline>
        </w:drawing>
      </w:r>
      <w:r>
        <w:drawing>
          <wp:inline distT="0" distB="0" distL="114300" distR="114300">
            <wp:extent cx="5234940" cy="6645275"/>
            <wp:effectExtent l="0" t="0" r="3810" b="317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1"/>
                    <a:stretch>
                      <a:fillRect/>
                    </a:stretch>
                  </pic:blipFill>
                  <pic:spPr>
                    <a:xfrm>
                      <a:off x="0" y="0"/>
                      <a:ext cx="5234940" cy="6645275"/>
                    </a:xfrm>
                    <a:prstGeom prst="rect">
                      <a:avLst/>
                    </a:prstGeom>
                    <a:noFill/>
                    <a:ln>
                      <a:noFill/>
                    </a:ln>
                  </pic:spPr>
                </pic:pic>
              </a:graphicData>
            </a:graphic>
          </wp:inline>
        </w:drawing>
      </w:r>
    </w:p>
    <w:p/>
    <w:p>
      <w:pPr>
        <w:rPr>
          <w:rFonts w:hint="default"/>
          <w:lang w:val="en-US" w:eastAsia="zh-CN"/>
        </w:rPr>
      </w:pPr>
      <w:r>
        <w:rPr>
          <w:rFonts w:hint="default"/>
          <w:lang w:val="en-US" w:eastAsia="zh-CN"/>
        </w:rPr>
        <w:br w:type="page"/>
      </w:r>
    </w:p>
    <w:p>
      <w:pPr>
        <w:keepNext w:val="0"/>
        <w:keepLines w:val="0"/>
        <w:pageBreakBefore w:val="0"/>
        <w:widowControl/>
        <w:kinsoku/>
        <w:wordWrap/>
        <w:overflowPunct/>
        <w:topLinePunct w:val="0"/>
        <w:autoSpaceDE/>
        <w:autoSpaceDN/>
        <w:bidi w:val="0"/>
        <w:adjustRightInd w:val="0"/>
        <w:snapToGrid w:val="0"/>
        <w:spacing w:after="0"/>
        <w:textAlignment w:val="auto"/>
        <w:outlineLvl w:val="0"/>
        <w:rPr>
          <w:rFonts w:hint="eastAsia" w:ascii="宋体" w:hAnsi="宋体" w:eastAsia="宋体" w:cs="宋体"/>
          <w:sz w:val="24"/>
          <w:szCs w:val="24"/>
          <w:lang w:val="en-US" w:eastAsia="zh-CN"/>
        </w:rPr>
      </w:pPr>
      <w:bookmarkStart w:id="33" w:name="_Toc5098"/>
      <w:r>
        <w:rPr>
          <w:rFonts w:hint="eastAsia" w:ascii="宋体" w:hAnsi="宋体" w:eastAsia="宋体" w:cs="宋体"/>
          <w:sz w:val="24"/>
          <w:szCs w:val="24"/>
          <w:lang w:val="en-US" w:eastAsia="zh-CN"/>
        </w:rPr>
        <w:t>附件四 验收专家意见</w:t>
      </w:r>
      <w:bookmarkEnd w:id="33"/>
    </w:p>
    <w:p>
      <w:pPr>
        <w:pStyle w:val="2"/>
        <w:rPr>
          <w:rFonts w:hint="eastAsia"/>
          <w:lang w:val="en-US" w:eastAsia="zh-CN"/>
        </w:rPr>
      </w:pPr>
      <w:r>
        <w:drawing>
          <wp:inline distT="0" distB="0" distL="114300" distR="114300">
            <wp:extent cx="5234305" cy="7510145"/>
            <wp:effectExtent l="0" t="0" r="4445" b="1460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2"/>
                    <a:stretch>
                      <a:fillRect/>
                    </a:stretch>
                  </pic:blipFill>
                  <pic:spPr>
                    <a:xfrm>
                      <a:off x="0" y="0"/>
                      <a:ext cx="5234305" cy="7510145"/>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5234940" cy="7447915"/>
            <wp:effectExtent l="0" t="0" r="3810" b="63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3"/>
                    <a:stretch>
                      <a:fillRect/>
                    </a:stretch>
                  </pic:blipFill>
                  <pic:spPr>
                    <a:xfrm>
                      <a:off x="0" y="0"/>
                      <a:ext cx="5234940" cy="7447915"/>
                    </a:xfrm>
                    <a:prstGeom prst="rect">
                      <a:avLst/>
                    </a:prstGeom>
                    <a:noFill/>
                    <a:ln>
                      <a:noFill/>
                    </a:ln>
                  </pic:spPr>
                </pic:pic>
              </a:graphicData>
            </a:graphic>
          </wp:inline>
        </w:drawing>
      </w:r>
      <w:r>
        <w:drawing>
          <wp:inline distT="0" distB="0" distL="114300" distR="114300">
            <wp:extent cx="5234940" cy="7451090"/>
            <wp:effectExtent l="0" t="0" r="3810" b="1651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4"/>
                    <a:stretch>
                      <a:fillRect/>
                    </a:stretch>
                  </pic:blipFill>
                  <pic:spPr>
                    <a:xfrm>
                      <a:off x="0" y="0"/>
                      <a:ext cx="5234940" cy="7451090"/>
                    </a:xfrm>
                    <a:prstGeom prst="rect">
                      <a:avLst/>
                    </a:prstGeom>
                    <a:noFill/>
                    <a:ln>
                      <a:noFill/>
                    </a:ln>
                  </pic:spPr>
                </pic:pic>
              </a:graphicData>
            </a:graphic>
          </wp:inline>
        </w:drawing>
      </w:r>
      <w:r>
        <w:drawing>
          <wp:inline distT="0" distB="0" distL="114300" distR="114300">
            <wp:extent cx="5236210" cy="7355840"/>
            <wp:effectExtent l="0" t="0" r="2540" b="1651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5"/>
                    <a:stretch>
                      <a:fillRect/>
                    </a:stretch>
                  </pic:blipFill>
                  <pic:spPr>
                    <a:xfrm>
                      <a:off x="0" y="0"/>
                      <a:ext cx="5236210" cy="7355840"/>
                    </a:xfrm>
                    <a:prstGeom prst="rect">
                      <a:avLst/>
                    </a:prstGeom>
                    <a:noFill/>
                    <a:ln>
                      <a:noFill/>
                    </a:ln>
                  </pic:spPr>
                </pic:pic>
              </a:graphicData>
            </a:graphic>
          </wp:inline>
        </w:drawing>
      </w:r>
      <w:r>
        <w:drawing>
          <wp:inline distT="0" distB="0" distL="114300" distR="114300">
            <wp:extent cx="5238115" cy="7374255"/>
            <wp:effectExtent l="0" t="0" r="635" b="1714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36"/>
                    <a:stretch>
                      <a:fillRect/>
                    </a:stretch>
                  </pic:blipFill>
                  <pic:spPr>
                    <a:xfrm>
                      <a:off x="0" y="0"/>
                      <a:ext cx="5238115" cy="7374255"/>
                    </a:xfrm>
                    <a:prstGeom prst="rect">
                      <a:avLst/>
                    </a:prstGeom>
                    <a:noFill/>
                    <a:ln>
                      <a:noFill/>
                    </a:ln>
                  </pic:spPr>
                </pic:pic>
              </a:graphicData>
            </a:graphic>
          </wp:inline>
        </w:drawing>
      </w:r>
      <w:r>
        <w:drawing>
          <wp:inline distT="0" distB="0" distL="114300" distR="114300">
            <wp:extent cx="5234305" cy="7492365"/>
            <wp:effectExtent l="0" t="0" r="4445" b="1333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7"/>
                    <a:stretch>
                      <a:fillRect/>
                    </a:stretch>
                  </pic:blipFill>
                  <pic:spPr>
                    <a:xfrm>
                      <a:off x="0" y="0"/>
                      <a:ext cx="5234305" cy="7492365"/>
                    </a:xfrm>
                    <a:prstGeom prst="rect">
                      <a:avLst/>
                    </a:prstGeom>
                    <a:noFill/>
                    <a:ln>
                      <a:noFill/>
                    </a:ln>
                  </pic:spPr>
                </pic:pic>
              </a:graphicData>
            </a:graphic>
          </wp:inline>
        </w:drawing>
      </w:r>
    </w:p>
    <w:sectPr>
      <w:pgSz w:w="11850" w:h="16783"/>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MingLiU">
    <w:panose1 w:val="02020509000000000000"/>
    <w:charset w:val="88"/>
    <w:family w:val="auto"/>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kinsoku/>
      <w:wordWrap/>
      <w:overflowPunct/>
      <w:topLinePunct w:val="0"/>
      <w:autoSpaceDE/>
      <w:autoSpaceDN/>
      <w:bidi w:val="0"/>
      <w:adjustRightInd w:val="0"/>
      <w:snapToGrid w:val="0"/>
      <w:spacing w:after="0" w:afterLines="0"/>
      <w:ind w:right="0"/>
      <w:textAlignment w:val="auto"/>
      <w:rPr>
        <w:rFonts w:hint="eastAsia" w:ascii="宋体" w:hAnsi="宋体" w:eastAsia="宋体" w:cs="宋体"/>
        <w:lang w:eastAsia="zh-CN"/>
      </w:rPr>
    </w:pPr>
    <w:r>
      <w:rPr>
        <w:rFonts w:hint="eastAsia" w:ascii="宋体" w:hAnsi="宋体" w:eastAsia="宋体" w:cs="宋体"/>
        <w:sz w:val="18"/>
      </w:rPr>
      <mc:AlternateContent>
        <mc:Choice Requires="wps">
          <w:drawing>
            <wp:anchor distT="0" distB="0" distL="114300" distR="114300" simplePos="0" relativeHeight="251658240" behindDoc="0" locked="0" layoutInCell="1" allowOverlap="1">
              <wp:simplePos x="0" y="0"/>
              <wp:positionH relativeFrom="margin">
                <wp:posOffset>4152900</wp:posOffset>
              </wp:positionH>
              <wp:positionV relativeFrom="paragraph">
                <wp:posOffset>0</wp:posOffset>
              </wp:positionV>
              <wp:extent cx="1121410" cy="2159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121410" cy="215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18</w:t>
                          </w:r>
                          <w:r>
                            <w:rPr>
                              <w:rFonts w:hint="eastAsia"/>
                              <w:lang w:eastAsia="zh-CN"/>
                            </w:rP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7pt;margin-top:0pt;height:17pt;width:88.3pt;mso-position-horizontal-relative:margin;z-index:251658240;mso-width-relative:page;mso-height-relative:page;" filled="f" stroked="f" coordsize="21600,21600" o:gfxdata="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RhZKdcAAAAHAQAA&#10;DwAAAAAAAAABACAAAAAiAAAAZHJzL2Rvd25yZXYueG1sUEsBAhQAFAAAAAgAh07iQO0kSroaAgAA&#10;FgQAAA4AAAAAAAAAAQAgAAAAJgEAAGRycy9lMm9Eb2MueG1sUEsFBgAAAAAGAAYAWQEAALIFAAAA&#10;AA==&#10;">
              <v:fill on="f" focussize="0,0"/>
              <v:stroke on="f" weight="0.5pt"/>
              <v:imagedata o:title=""/>
              <o:lock v:ext="edit" aspectratio="f"/>
              <v:textbox inset="0mm,0mm,0mm,0mm">
                <w:txbxContent>
                  <w:p>
                    <w:pPr>
                      <w:pStyle w:val="7"/>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18</w:t>
                    </w:r>
                    <w:r>
                      <w:rPr>
                        <w:rFonts w:hint="eastAsia"/>
                        <w:lang w:eastAsia="zh-CN"/>
                      </w:rPr>
                      <w:t xml:space="preserve"> 页</w:t>
                    </w:r>
                  </w:p>
                </w:txbxContent>
              </v:textbox>
            </v:shape>
          </w:pict>
        </mc:Fallback>
      </mc:AlternateContent>
    </w:r>
    <w:r>
      <w:rPr>
        <w:rFonts w:hint="eastAsia" w:ascii="宋体" w:hAnsi="宋体" w:eastAsia="宋体" w:cs="宋体"/>
        <w:sz w:val="18"/>
        <w:lang w:eastAsia="zh-CN"/>
      </w:rPr>
      <w:t>贵州明德工程咨询有限公司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kinsoku/>
      <w:wordWrap/>
      <w:overflowPunct/>
      <w:topLinePunct w:val="0"/>
      <w:autoSpaceDE/>
      <w:autoSpaceDN/>
      <w:bidi w:val="0"/>
      <w:adjustRightInd w:val="0"/>
      <w:snapToGrid w:val="0"/>
      <w:spacing w:after="0" w:afterLines="0"/>
      <w:ind w:right="0"/>
      <w:textAlignment w:val="auto"/>
      <w:rPr>
        <w:rFonts w:hint="eastAsia" w:ascii="宋体" w:hAnsi="宋体" w:eastAsia="宋体" w:cs="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47</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47</w:t>
                    </w:r>
                    <w:r>
                      <w:rPr>
                        <w:rFonts w:hint="eastAsia"/>
                        <w:lang w:eastAsia="zh-CN"/>
                      </w:rPr>
                      <w:t xml:space="preserve"> 页</w:t>
                    </w:r>
                  </w:p>
                </w:txbxContent>
              </v:textbox>
            </v:shape>
          </w:pict>
        </mc:Fallback>
      </mc:AlternateContent>
    </w:r>
    <w:r>
      <w:rPr>
        <w:rFonts w:hint="eastAsia" w:ascii="宋体" w:hAnsi="宋体" w:eastAsia="宋体" w:cs="宋体"/>
        <w:sz w:val="18"/>
        <w:lang w:eastAsia="zh-CN"/>
      </w:rPr>
      <w:t>贵州明德工程咨询有限公司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color w:val="000000"/>
        <w:sz w:val="21"/>
        <w:szCs w:val="21"/>
        <w:lang w:eastAsia="zh-CN"/>
      </w:rPr>
      <w:t>镇宁自治县RLH可生物降解塑料项目</w:t>
    </w:r>
    <w:r>
      <w:rPr>
        <w:rFonts w:hint="eastAsia" w:ascii="宋体" w:hAnsi="宋体" w:eastAsia="宋体" w:cs="宋体"/>
        <w:b w:val="0"/>
        <w:bCs/>
        <w:color w:val="000000"/>
        <w:sz w:val="21"/>
        <w:szCs w:val="21"/>
      </w:rPr>
      <w:t>竣工环境保护验收监测</w:t>
    </w:r>
    <w:r>
      <w:rPr>
        <w:rFonts w:hint="eastAsia" w:ascii="宋体" w:hAnsi="宋体" w:eastAsia="宋体" w:cs="宋体"/>
        <w:b w:val="0"/>
        <w:bCs/>
        <w:color w:val="000000"/>
        <w:sz w:val="21"/>
        <w:szCs w:val="21"/>
        <w:lang w:eastAsia="zh-CN"/>
      </w:rPr>
      <w:t>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702505"/>
    <w:multiLevelType w:val="singleLevel"/>
    <w:tmpl w:val="85702505"/>
    <w:lvl w:ilvl="0" w:tentative="0">
      <w:start w:val="2"/>
      <w:numFmt w:val="chineseCounting"/>
      <w:suff w:val="nothing"/>
      <w:lvlText w:val="%1、"/>
      <w:lvlJc w:val="left"/>
      <w:rPr>
        <w:rFonts w:hint="eastAsia"/>
      </w:rPr>
    </w:lvl>
  </w:abstractNum>
  <w:abstractNum w:abstractNumId="1">
    <w:nsid w:val="90FE0C31"/>
    <w:multiLevelType w:val="singleLevel"/>
    <w:tmpl w:val="90FE0C31"/>
    <w:lvl w:ilvl="0" w:tentative="0">
      <w:start w:val="1"/>
      <w:numFmt w:val="decimal"/>
      <w:suff w:val="nothing"/>
      <w:lvlText w:val="%1、"/>
      <w:lvlJc w:val="left"/>
    </w:lvl>
  </w:abstractNum>
  <w:abstractNum w:abstractNumId="2">
    <w:nsid w:val="9D322103"/>
    <w:multiLevelType w:val="singleLevel"/>
    <w:tmpl w:val="9D322103"/>
    <w:lvl w:ilvl="0" w:tentative="0">
      <w:start w:val="1"/>
      <w:numFmt w:val="decimal"/>
      <w:suff w:val="nothing"/>
      <w:lvlText w:val="%1、"/>
      <w:lvlJc w:val="left"/>
    </w:lvl>
  </w:abstractNum>
  <w:abstractNum w:abstractNumId="3">
    <w:nsid w:val="DAE8F581"/>
    <w:multiLevelType w:val="singleLevel"/>
    <w:tmpl w:val="DAE8F581"/>
    <w:lvl w:ilvl="0" w:tentative="0">
      <w:start w:val="2"/>
      <w:numFmt w:val="decimal"/>
      <w:suff w:val="nothing"/>
      <w:lvlText w:val="%1、"/>
      <w:lvlJc w:val="left"/>
    </w:lvl>
  </w:abstractNum>
  <w:abstractNum w:abstractNumId="4">
    <w:nsid w:val="E7F9002C"/>
    <w:multiLevelType w:val="singleLevel"/>
    <w:tmpl w:val="E7F9002C"/>
    <w:lvl w:ilvl="0" w:tentative="0">
      <w:start w:val="1"/>
      <w:numFmt w:val="chineseCounting"/>
      <w:suff w:val="nothing"/>
      <w:lvlText w:val="%1、"/>
      <w:lvlJc w:val="left"/>
      <w:rPr>
        <w:rFonts w:hint="eastAsia"/>
      </w:rPr>
    </w:lvl>
  </w:abstractNum>
  <w:abstractNum w:abstractNumId="5">
    <w:nsid w:val="EBD5E469"/>
    <w:multiLevelType w:val="singleLevel"/>
    <w:tmpl w:val="EBD5E469"/>
    <w:lvl w:ilvl="0" w:tentative="0">
      <w:start w:val="1"/>
      <w:numFmt w:val="decimal"/>
      <w:suff w:val="nothing"/>
      <w:lvlText w:val="%1、"/>
      <w:lvlJc w:val="left"/>
    </w:lvl>
  </w:abstractNum>
  <w:abstractNum w:abstractNumId="6">
    <w:nsid w:val="FAA9240E"/>
    <w:multiLevelType w:val="singleLevel"/>
    <w:tmpl w:val="FAA9240E"/>
    <w:lvl w:ilvl="0" w:tentative="0">
      <w:start w:val="1"/>
      <w:numFmt w:val="decimal"/>
      <w:suff w:val="nothing"/>
      <w:lvlText w:val="%1、"/>
      <w:lvlJc w:val="left"/>
    </w:lvl>
  </w:abstractNum>
  <w:abstractNum w:abstractNumId="7">
    <w:nsid w:val="36D10ACD"/>
    <w:multiLevelType w:val="singleLevel"/>
    <w:tmpl w:val="36D10ACD"/>
    <w:lvl w:ilvl="0" w:tentative="0">
      <w:start w:val="1"/>
      <w:numFmt w:val="decimal"/>
      <w:suff w:val="nothing"/>
      <w:lvlText w:val="（%1）"/>
      <w:lvlJc w:val="left"/>
    </w:lvl>
  </w:abstractNum>
  <w:abstractNum w:abstractNumId="8">
    <w:nsid w:val="4C0512B3"/>
    <w:multiLevelType w:val="singleLevel"/>
    <w:tmpl w:val="4C0512B3"/>
    <w:lvl w:ilvl="0" w:tentative="0">
      <w:start w:val="1"/>
      <w:numFmt w:val="chineseCounting"/>
      <w:suff w:val="nothing"/>
      <w:lvlText w:val="（%1）"/>
      <w:lvlJc w:val="left"/>
      <w:rPr>
        <w:rFonts w:hint="eastAsia"/>
      </w:rPr>
    </w:lvl>
  </w:abstractNum>
  <w:abstractNum w:abstractNumId="9">
    <w:nsid w:val="61028D9A"/>
    <w:multiLevelType w:val="singleLevel"/>
    <w:tmpl w:val="61028D9A"/>
    <w:lvl w:ilvl="0" w:tentative="0">
      <w:start w:val="1"/>
      <w:numFmt w:val="decimal"/>
      <w:suff w:val="nothing"/>
      <w:lvlText w:val="%1、"/>
      <w:lvlJc w:val="left"/>
    </w:lvl>
  </w:abstractNum>
  <w:abstractNum w:abstractNumId="10">
    <w:nsid w:val="7C0D278B"/>
    <w:multiLevelType w:val="singleLevel"/>
    <w:tmpl w:val="7C0D278B"/>
    <w:lvl w:ilvl="0" w:tentative="0">
      <w:start w:val="1"/>
      <w:numFmt w:val="decimal"/>
      <w:suff w:val="nothing"/>
      <w:lvlText w:val="%1、"/>
      <w:lvlJc w:val="left"/>
    </w:lvl>
  </w:abstractNum>
  <w:num w:numId="1">
    <w:abstractNumId w:val="6"/>
  </w:num>
  <w:num w:numId="2">
    <w:abstractNumId w:val="2"/>
  </w:num>
  <w:num w:numId="3">
    <w:abstractNumId w:val="7"/>
  </w:num>
  <w:num w:numId="4">
    <w:abstractNumId w:val="1"/>
  </w:num>
  <w:num w:numId="5">
    <w:abstractNumId w:val="4"/>
  </w:num>
  <w:num w:numId="6">
    <w:abstractNumId w:val="8"/>
  </w:num>
  <w:num w:numId="7">
    <w:abstractNumId w:val="10"/>
  </w:num>
  <w:num w:numId="8">
    <w:abstractNumId w:val="0"/>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AD5F0A"/>
    <w:rsid w:val="0C7635E2"/>
    <w:rsid w:val="1DB10B4B"/>
    <w:rsid w:val="1F024317"/>
    <w:rsid w:val="23830D43"/>
    <w:rsid w:val="256C6074"/>
    <w:rsid w:val="2BE13F99"/>
    <w:rsid w:val="2F0D0FDF"/>
    <w:rsid w:val="34575544"/>
    <w:rsid w:val="38E34394"/>
    <w:rsid w:val="3C0A4025"/>
    <w:rsid w:val="3F22082D"/>
    <w:rsid w:val="451F00B8"/>
    <w:rsid w:val="46316D1D"/>
    <w:rsid w:val="4D30047D"/>
    <w:rsid w:val="4DE074FA"/>
    <w:rsid w:val="53B75191"/>
    <w:rsid w:val="54587B9D"/>
    <w:rsid w:val="694E0407"/>
    <w:rsid w:val="6D592F8E"/>
    <w:rsid w:val="776B3DA2"/>
    <w:rsid w:val="79AD5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4">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customStyle="1" w:styleId="3">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5">
    <w:name w:val="Normal Indent"/>
    <w:basedOn w:val="1"/>
    <w:qFormat/>
    <w:uiPriority w:val="0"/>
    <w:pPr>
      <w:adjustRightInd w:val="0"/>
      <w:ind w:firstLine="566"/>
      <w:jc w:val="left"/>
      <w:textAlignment w:val="baseline"/>
    </w:pPr>
    <w:rPr>
      <w:sz w:val="28"/>
    </w:rPr>
  </w:style>
  <w:style w:type="paragraph" w:styleId="6">
    <w:name w:val="Plain Text"/>
    <w:basedOn w:val="1"/>
    <w:qFormat/>
    <w:uiPriority w:val="0"/>
    <w:rPr>
      <w:rFonts w:ascii="宋体" w:hAnsi="Courier New"/>
      <w:kern w:val="0"/>
      <w:sz w:val="24"/>
      <w:szCs w:val="20"/>
    </w:rPr>
  </w:style>
  <w:style w:type="paragraph" w:styleId="7">
    <w:name w:val="footer"/>
    <w:basedOn w:val="1"/>
    <w:qFormat/>
    <w:uiPriority w:val="0"/>
    <w:pPr>
      <w:tabs>
        <w:tab w:val="center" w:pos="4153"/>
        <w:tab w:val="right" w:pos="8306"/>
      </w:tabs>
    </w:pPr>
    <w:rPr>
      <w:rFonts w:ascii="Tahoma" w:hAnsi="Tahoma"/>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paragraph" w:customStyle="1" w:styleId="15">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16">
    <w:name w:val="page number"/>
    <w:basedOn w:val="13"/>
    <w:qFormat/>
    <w:uiPriority w:val="0"/>
  </w:style>
  <w:style w:type="paragraph" w:customStyle="1" w:styleId="17">
    <w:name w:val="Other|1"/>
    <w:basedOn w:val="1"/>
    <w:qFormat/>
    <w:uiPriority w:val="0"/>
    <w:pPr>
      <w:widowControl w:val="0"/>
      <w:shd w:val="clear" w:color="auto" w:fill="auto"/>
    </w:pPr>
    <w:rPr>
      <w:rFonts w:ascii="MingLiU" w:hAnsi="MingLiU" w:eastAsia="MingLiU" w:cs="MingLiU"/>
      <w:sz w:val="22"/>
      <w:szCs w:val="22"/>
      <w:u w:val="none"/>
      <w:shd w:val="clear" w:color="auto" w:fill="FFFFFF"/>
      <w:lang w:val="zh-TW" w:eastAsia="zh-TW" w:bidi="zh-TW"/>
    </w:rPr>
  </w:style>
  <w:style w:type="paragraph" w:customStyle="1" w:styleId="18">
    <w:name w:val="Body text|1"/>
    <w:basedOn w:val="1"/>
    <w:qFormat/>
    <w:uiPriority w:val="0"/>
    <w:pPr>
      <w:widowControl w:val="0"/>
      <w:shd w:val="clear" w:color="auto" w:fill="auto"/>
      <w:spacing w:line="410" w:lineRule="auto"/>
      <w:ind w:firstLine="400"/>
    </w:pPr>
    <w:rPr>
      <w:rFonts w:ascii="MingLiU" w:hAnsi="MingLiU" w:eastAsia="MingLiU" w:cs="MingLiU"/>
      <w:sz w:val="20"/>
      <w:szCs w:val="20"/>
      <w:u w:val="none"/>
      <w:shd w:val="clear" w:color="auto" w:fill="FFFFFF"/>
      <w:lang w:val="zh-TW" w:eastAsia="zh-TW" w:bidi="zh-TW"/>
    </w:rPr>
  </w:style>
  <w:style w:type="paragraph" w:customStyle="1" w:styleId="19">
    <w:name w:val="样式 小四 黑色 行距: 固定值 26 磅"/>
    <w:basedOn w:val="1"/>
    <w:qFormat/>
    <w:uiPriority w:val="0"/>
    <w:pPr>
      <w:spacing w:line="520" w:lineRule="exact"/>
      <w:ind w:firstLine="504" w:firstLineChars="200"/>
    </w:pPr>
    <w:rPr>
      <w:rFonts w:cs="宋体"/>
      <w:color w:val="000000"/>
      <w:spacing w:val="6"/>
      <w:sz w:val="24"/>
    </w:rPr>
  </w:style>
  <w:style w:type="paragraph" w:customStyle="1" w:styleId="20">
    <w:name w:val="1文章"/>
    <w:basedOn w:val="1"/>
    <w:qFormat/>
    <w:uiPriority w:val="0"/>
    <w:pPr>
      <w:snapToGrid w:val="0"/>
      <w:spacing w:line="360" w:lineRule="auto"/>
      <w:ind w:firstLine="573"/>
    </w:pPr>
    <w:rPr>
      <w:rFonts w:eastAsia="仿宋_GB2312"/>
      <w:sz w:val="28"/>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header" Target="head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11004</Words>
  <Characters>14323</Characters>
  <Lines>0</Lines>
  <Paragraphs>0</Paragraphs>
  <TotalTime>5</TotalTime>
  <ScaleCrop>false</ScaleCrop>
  <LinksUpToDate>false</LinksUpToDate>
  <CharactersWithSpaces>14661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2019-09-28T01:34:00Z</dcterms:created>
  <dc:creator>爱乐人行素</dc:creator>
  <cp:lastModifiedBy>爱乐人行素</cp:lastModifiedBy>
  <dcterms:modified xsi:type="dcterms:W3CDTF">2020-08-10T06:56:39Z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