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6"/>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rPr>
          <w:jc w:val="center"/>
        </w:trPr>
        <w:tc>
          <w:tcPr>
            <w:tcW w:w="8504" w:type="dxa"/>
            <w:tcBorders>
              <w:tl2br w:val="nil"/>
              <w:tr2bl w:val="nil"/>
            </w:tcBorders>
            <w:tcMar>
              <w:top w:w="216" w:type="dxa"/>
              <w:left w:w="115" w:type="dxa"/>
              <w:bottom w:w="216" w:type="dxa"/>
              <w:right w:w="115" w:type="dxa"/>
            </w:tcMar>
            <w:vAlign w:val="center"/>
          </w:tcPr>
          <w:p>
            <w:pPr>
              <w:pStyle w:val="35"/>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贵州交建国储贸易有限公司永烽高速温泉服务区加油站二站建设项目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5"/>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6"/>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lang w:eastAsia="zh-CN"/>
              </w:rPr>
              <w:t>建设项目</w:t>
            </w:r>
            <w:r>
              <w:rPr>
                <w:rFonts w:hint="eastAsia" w:asciiTheme="majorEastAsia" w:hAnsiTheme="majorEastAsia" w:eastAsiaTheme="majorEastAsia" w:cstheme="majorEastAsia"/>
                <w:b/>
                <w:bCs/>
                <w:snapToGrid w:val="0"/>
                <w:spacing w:val="6"/>
                <w:sz w:val="30"/>
                <w:szCs w:val="30"/>
              </w:rPr>
              <w:t>：</w:t>
            </w:r>
          </w:p>
        </w:tc>
        <w:tc>
          <w:tcPr>
            <w:tcW w:w="6851" w:type="dxa"/>
            <w:tcBorders>
              <w:top w:val="nil"/>
              <w:left w:val="nil"/>
              <w:bottom w:val="single" w:color="auto" w:sz="12" w:space="0"/>
              <w:right w:val="nil"/>
            </w:tcBorders>
            <w:vAlign w:val="center"/>
          </w:tcPr>
          <w:p>
            <w:pPr>
              <w:pStyle w:val="9"/>
              <w:widowControl/>
              <w:adjustRightInd w:val="0"/>
              <w:snapToGrid w:val="0"/>
              <w:ind w:left="3313" w:hanging="3313" w:hangingChars="1100"/>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贵州交建国储贸易有限公司永烽高速温泉服务区加油站二站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w:t>
            </w:r>
            <w:r>
              <w:rPr>
                <w:rFonts w:hint="eastAsia" w:asciiTheme="majorEastAsia" w:hAnsiTheme="majorEastAsia" w:eastAsiaTheme="majorEastAsia" w:cstheme="majorEastAsia"/>
                <w:b/>
                <w:bCs/>
                <w:snapToGrid w:val="0"/>
                <w:spacing w:val="6"/>
                <w:sz w:val="30"/>
                <w:szCs w:val="30"/>
                <w:lang w:eastAsia="zh-CN"/>
              </w:rPr>
              <w:t>单位</w:t>
            </w:r>
            <w:r>
              <w:rPr>
                <w:rFonts w:hint="eastAsia" w:asciiTheme="majorEastAsia" w:hAnsiTheme="majorEastAsia" w:eastAsiaTheme="majorEastAsia" w:cstheme="majorEastAsia"/>
                <w:b/>
                <w:bCs/>
                <w:snapToGrid w:val="0"/>
                <w:spacing w:val="6"/>
                <w:sz w:val="30"/>
                <w:szCs w:val="30"/>
              </w:rPr>
              <w:t>：</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0"/>
                <w:szCs w:val="30"/>
                <w:lang w:eastAsia="zh-CN"/>
              </w:rPr>
            </w:pPr>
            <w:r>
              <w:rPr>
                <w:rFonts w:hint="eastAsia" w:asciiTheme="majorEastAsia" w:hAnsiTheme="majorEastAsia" w:eastAsiaTheme="majorEastAsia" w:cstheme="majorEastAsia"/>
                <w:b/>
                <w:bCs/>
                <w:snapToGrid w:val="0"/>
                <w:sz w:val="30"/>
                <w:szCs w:val="30"/>
                <w:lang w:eastAsia="zh-CN"/>
              </w:rPr>
              <w:t>贵州明德工程咨询有限公司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pacing w:val="6"/>
                <w:sz w:val="30"/>
                <w:szCs w:val="30"/>
                <w:lang w:eastAsia="zh-CN"/>
              </w:rPr>
            </w:pPr>
            <w:r>
              <w:rPr>
                <w:rFonts w:hint="eastAsia" w:asciiTheme="majorEastAsia" w:hAnsiTheme="majorEastAsia" w:eastAsiaTheme="majorEastAsia" w:cstheme="majorEastAsia"/>
                <w:b/>
                <w:bCs/>
                <w:snapToGrid w:val="0"/>
                <w:spacing w:val="6"/>
                <w:sz w:val="30"/>
                <w:szCs w:val="30"/>
                <w:lang w:eastAsia="zh-CN"/>
              </w:rPr>
              <w:t>编制时间：</w:t>
            </w:r>
          </w:p>
        </w:tc>
        <w:tc>
          <w:tcPr>
            <w:tcW w:w="6851" w:type="dxa"/>
            <w:tcBorders>
              <w:top w:val="single" w:color="auto" w:sz="12" w:space="0"/>
              <w:left w:val="nil"/>
              <w:bottom w:val="single" w:color="auto" w:sz="12" w:space="0"/>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2"/>
                <w:szCs w:val="32"/>
              </w:rPr>
            </w:pPr>
            <w:r>
              <w:rPr>
                <w:rFonts w:hint="eastAsia" w:asciiTheme="majorEastAsia" w:hAnsiTheme="majorEastAsia" w:eastAsiaTheme="majorEastAsia" w:cstheme="majorEastAsia"/>
                <w:b/>
                <w:bCs/>
                <w:snapToGrid w:val="0"/>
                <w:sz w:val="32"/>
                <w:szCs w:val="32"/>
              </w:rPr>
              <w:t>二〇二〇年七月</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pacing w:val="6"/>
                <w:sz w:val="30"/>
                <w:szCs w:val="30"/>
              </w:rPr>
            </w:pPr>
          </w:p>
        </w:tc>
        <w:tc>
          <w:tcPr>
            <w:tcW w:w="6851" w:type="dxa"/>
            <w:tcBorders>
              <w:top w:val="single" w:color="auto" w:sz="12" w:space="0"/>
              <w:left w:val="nil"/>
              <w:bottom w:val="nil"/>
              <w:right w:val="nil"/>
            </w:tcBorders>
            <w:vAlign w:val="center"/>
          </w:tcPr>
          <w:p>
            <w:pPr>
              <w:pStyle w:val="9"/>
              <w:widowControl/>
              <w:adjustRightInd w:val="0"/>
              <w:snapToGrid w:val="0"/>
              <w:jc w:val="distribute"/>
              <w:rPr>
                <w:rFonts w:hint="eastAsia" w:asciiTheme="majorEastAsia" w:hAnsiTheme="majorEastAsia" w:eastAsiaTheme="majorEastAsia" w:cstheme="majorEastAsia"/>
                <w:b/>
                <w:bCs/>
                <w:snapToGrid w:val="0"/>
                <w:sz w:val="32"/>
                <w:szCs w:val="32"/>
              </w:rPr>
            </w:pPr>
          </w:p>
        </w:tc>
      </w:tr>
    </w:tbl>
    <w:p>
      <w:pPr>
        <w:pStyle w:val="9"/>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3"/>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3"/>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534"/>
        <w:gridCol w:w="1121"/>
        <w:gridCol w:w="934"/>
        <w:gridCol w:w="1288"/>
        <w:gridCol w:w="1337"/>
        <w:gridCol w:w="77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宋体" w:hAnsi="宋体"/>
                <w:sz w:val="24"/>
              </w:rPr>
              <w:t>贵州交建国储贸易有限公司永烽高速温泉服务区加油站二站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7"/>
            <w:vAlign w:val="center"/>
          </w:tcPr>
          <w:p>
            <w:pPr>
              <w:spacing w:line="360" w:lineRule="auto"/>
              <w:ind w:firstLine="1680" w:firstLineChars="700"/>
              <w:rPr>
                <w:rFonts w:ascii="Times New Roman" w:hAnsi="Times New Roman" w:eastAsia="宋体" w:cs="Times New Roman"/>
                <w:sz w:val="24"/>
              </w:rPr>
            </w:pPr>
            <w:r>
              <w:rPr>
                <w:rFonts w:hint="eastAsia" w:ascii="宋体" w:hAnsi="宋体"/>
                <w:sz w:val="24"/>
              </w:rPr>
              <w:t>贵州交建国储贸易有限公司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296"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7"/>
            <w:vAlign w:val="center"/>
          </w:tcPr>
          <w:p>
            <w:pPr>
              <w:spacing w:line="360" w:lineRule="auto"/>
              <w:rPr>
                <w:rFonts w:ascii="Times New Roman" w:hAnsi="Times New Roman" w:eastAsia="宋体" w:cs="Times New Roman"/>
                <w:sz w:val="24"/>
              </w:rPr>
            </w:pPr>
            <w:r>
              <w:rPr>
                <w:rFonts w:hint="eastAsia"/>
                <w:sz w:val="24"/>
              </w:rPr>
              <w:t xml:space="preserve"> </w:t>
            </w:r>
            <w:r>
              <w:rPr>
                <w:sz w:val="24"/>
              </w:rPr>
              <w:t xml:space="preserve">     </w:t>
            </w:r>
            <w:r>
              <w:rPr>
                <w:rFonts w:hint="eastAsia"/>
                <w:sz w:val="24"/>
              </w:rPr>
              <w:t>永烽高速温泉服务区</w:t>
            </w:r>
            <w:r>
              <w:rPr>
                <w:sz w:val="24"/>
              </w:rPr>
              <w:t>B</w:t>
            </w:r>
            <w:r>
              <w:rPr>
                <w:rFonts w:hint="eastAsia"/>
                <w:sz w:val="24"/>
              </w:rPr>
              <w:t>场地（息烽县温泉镇）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3"/>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07</w:t>
            </w:r>
            <w:r>
              <w:rPr>
                <w:rFonts w:ascii="Times New Roman" w:hAnsi="Times New Roman" w:cs="Times New Roman"/>
                <w:color w:val="auto"/>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rPr>
              <w:t>5</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color w:val="FF0000"/>
                <w:sz w:val="24"/>
              </w:rPr>
            </w:pPr>
            <w:r>
              <w:rPr>
                <w:rFonts w:hint="eastAsia" w:ascii="Times New Roman" w:hAnsi="Times New Roman" w:cs="Times New Roman"/>
                <w:color w:val="auto"/>
                <w:sz w:val="24"/>
              </w:rPr>
              <w:t>息烽县环境保护局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国环宏博（北京）节能环保科技有限公司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w:t>
            </w:r>
            <w:r>
              <w:rPr>
                <w:rFonts w:ascii="Times New Roman" w:hAnsi="Times New Roman" w:cs="Times New Roman"/>
                <w:sz w:val="24"/>
              </w:rPr>
              <w:t>.3</w:t>
            </w:r>
            <w:r>
              <w:rPr>
                <w:rFonts w:hint="eastAsia" w:ascii="Times New Roman" w:hAnsi="Times New Roman" w:cs="Times New Roman"/>
                <w:sz w:val="24"/>
              </w:rPr>
              <w:t>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14.07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56.3</w:t>
            </w:r>
            <w:r>
              <w:rPr>
                <w:rFonts w:ascii="Times New Roman" w:hAnsi="Times New Roman" w:cs="Times New Roman"/>
                <w:sz w:val="24"/>
              </w:rPr>
              <w:t>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1"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7"/>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宋体" w:hAnsi="宋体" w:cs="宋体"/>
                <w:b w:val="0"/>
                <w:bCs/>
                <w:sz w:val="24"/>
              </w:rPr>
              <w:t>贵</w:t>
            </w:r>
            <w:r>
              <w:rPr>
                <w:rFonts w:hint="eastAsia" w:ascii="宋体" w:hAnsi="宋体" w:cs="宋体"/>
                <w:b w:val="0"/>
                <w:bCs/>
                <w:color w:val="auto"/>
                <w:sz w:val="24"/>
              </w:rPr>
              <w:t>州交建国储贸易有限公司永烽高速温泉服务区加油站二站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05</w:t>
            </w:r>
            <w:r>
              <w:rPr>
                <w:rFonts w:ascii="Times New Roman" w:hAnsi="Times New Roman" w:cs="Times New Roman"/>
                <w:sz w:val="24"/>
              </w:rPr>
              <w:t>月</w:t>
            </w:r>
            <w:r>
              <w:rPr>
                <w:rFonts w:hint="eastAsia" w:ascii="Times New Roman" w:hAnsi="Times New Roman" w:cs="Times New Roman"/>
                <w:sz w:val="24"/>
              </w:rPr>
              <w:t>2</w:t>
            </w:r>
            <w:r>
              <w:rPr>
                <w:rFonts w:ascii="Times New Roman" w:hAnsi="Times New Roman" w:cs="Times New Roman"/>
                <w:sz w:val="24"/>
              </w:rPr>
              <w:t>日</w:t>
            </w:r>
            <w:r>
              <w:rPr>
                <w:rFonts w:hint="eastAsia" w:ascii="Times New Roman" w:hAnsi="Times New Roman" w:cs="Times New Roman"/>
                <w:sz w:val="24"/>
              </w:rPr>
              <w:t>息烽县生态环境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宋体" w:hAnsi="宋体" w:cs="宋体"/>
                <w:b w:val="0"/>
                <w:bCs/>
                <w:color w:val="auto"/>
                <w:sz w:val="24"/>
              </w:rPr>
              <w:t>贵州交建国储贸易有限公司永烽高速温泉服务区加油站</w:t>
            </w:r>
            <w:r>
              <w:rPr>
                <w:rFonts w:hint="eastAsia" w:ascii="宋体" w:hAnsi="宋体" w:cs="宋体"/>
                <w:b w:val="0"/>
                <w:bCs/>
                <w:color w:val="auto"/>
                <w:sz w:val="24"/>
                <w:lang w:eastAsia="zh-CN"/>
              </w:rPr>
              <w:t>二</w:t>
            </w:r>
            <w:r>
              <w:rPr>
                <w:rFonts w:hint="eastAsia" w:ascii="宋体" w:hAnsi="宋体" w:cs="宋体"/>
                <w:b w:val="0"/>
                <w:bCs/>
                <w:color w:val="auto"/>
                <w:sz w:val="24"/>
              </w:rPr>
              <w:t>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批复，批复文号：息环审表[2017]25号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7"/>
            <w:vAlign w:val="center"/>
          </w:tcPr>
          <w:p>
            <w:pPr>
              <w:adjustRightInd w:val="0"/>
              <w:snapToGrid w:val="0"/>
              <w:spacing w:line="360" w:lineRule="auto"/>
              <w:jc w:val="left"/>
              <w:rPr>
                <w:rFonts w:ascii="Times New Roman" w:hAnsi="Times New Roman" w:eastAsia="宋体" w:cs="Times New Roman"/>
                <w:b w:val="0"/>
                <w:bCs w:val="0"/>
                <w:sz w:val="24"/>
              </w:rPr>
            </w:pPr>
            <w:r>
              <w:rPr>
                <w:rFonts w:ascii="Times New Roman" w:hAnsi="Times New Roman" w:cs="Times New Roman"/>
                <w:b w:val="0"/>
                <w:bCs w:val="0"/>
                <w:sz w:val="24"/>
              </w:rPr>
              <w:t>根据《</w:t>
            </w:r>
            <w:r>
              <w:rPr>
                <w:rFonts w:hint="eastAsia" w:ascii="宋体" w:hAnsi="宋体" w:cs="宋体"/>
                <w:b w:val="0"/>
                <w:bCs w:val="0"/>
                <w:sz w:val="24"/>
              </w:rPr>
              <w:t>贵州交建国储贸易有限公司永烽高速温泉服务区加油站</w:t>
            </w:r>
            <w:r>
              <w:rPr>
                <w:rFonts w:hint="eastAsia" w:ascii="宋体" w:hAnsi="宋体" w:cs="宋体"/>
                <w:b w:val="0"/>
                <w:bCs w:val="0"/>
                <w:sz w:val="24"/>
                <w:lang w:eastAsia="zh-CN"/>
              </w:rPr>
              <w:t>二</w:t>
            </w:r>
            <w:r>
              <w:rPr>
                <w:rFonts w:hint="eastAsia" w:ascii="宋体" w:hAnsi="宋体" w:cs="宋体"/>
                <w:b w:val="0"/>
                <w:bCs w:val="0"/>
                <w:sz w:val="24"/>
              </w:rPr>
              <w:t>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b w:val="0"/>
                <w:bCs w:val="0"/>
                <w:sz w:val="24"/>
              </w:rPr>
              <w:t>，</w:t>
            </w:r>
            <w:r>
              <w:rPr>
                <w:rFonts w:hint="eastAsia" w:ascii="宋体" w:hAnsi="宋体" w:cs="宋体"/>
                <w:b w:val="0"/>
                <w:bCs w:val="0"/>
                <w:sz w:val="24"/>
              </w:rPr>
              <w:t>贵州交建国储贸易有限公司永烽高速温泉服务区加油站</w:t>
            </w:r>
            <w:r>
              <w:rPr>
                <w:rFonts w:hint="eastAsia" w:ascii="宋体" w:hAnsi="宋体" w:cs="宋体"/>
                <w:b w:val="0"/>
                <w:bCs w:val="0"/>
                <w:sz w:val="24"/>
                <w:lang w:eastAsia="zh-CN"/>
              </w:rPr>
              <w:t>二</w:t>
            </w:r>
            <w:r>
              <w:rPr>
                <w:rFonts w:hint="eastAsia" w:ascii="Times New Roman" w:hAnsi="Times New Roman" w:cs="Times New Roman"/>
                <w:b w:val="0"/>
                <w:bCs w:val="0"/>
                <w:kern w:val="0"/>
                <w:sz w:val="24"/>
              </w:rPr>
              <w:t>站建设项目</w:t>
            </w:r>
            <w:r>
              <w:rPr>
                <w:rFonts w:ascii="Times New Roman" w:hAnsi="Times New Roman" w:cs="Times New Roman"/>
                <w:b w:val="0"/>
                <w:bCs w:val="0"/>
                <w:sz w:val="24"/>
              </w:rPr>
              <w:t>环境保护验收执行标准如下：</w:t>
            </w:r>
          </w:p>
          <w:p>
            <w:pPr>
              <w:pStyle w:val="20"/>
              <w:ind w:firstLine="480"/>
              <w:jc w:val="both"/>
            </w:pPr>
            <w:r>
              <w:rPr>
                <w:rFonts w:hint="eastAsia"/>
              </w:rPr>
              <w:t>废水：</w:t>
            </w:r>
            <w:r>
              <w:rPr>
                <w:rFonts w:ascii="Times New Roman" w:hAnsi="Times New Roman"/>
              </w:rPr>
              <w:t>《</w:t>
            </w:r>
            <w:r>
              <w:rPr>
                <w:rFonts w:hAnsi="宋体"/>
                <w:szCs w:val="24"/>
              </w:rPr>
              <w:t>城市污水再生利用</w:t>
            </w:r>
            <w:r>
              <w:rPr>
                <w:szCs w:val="24"/>
              </w:rPr>
              <w:t xml:space="preserve"> </w:t>
            </w:r>
            <w:r>
              <w:rPr>
                <w:rFonts w:hAnsi="宋体"/>
                <w:szCs w:val="24"/>
              </w:rPr>
              <w:t>城市杂用水水质</w:t>
            </w:r>
            <w:r>
              <w:rPr>
                <w:rFonts w:ascii="Times New Roman" w:hAnsi="Times New Roman"/>
              </w:rPr>
              <w:t>》</w:t>
            </w:r>
            <w:r>
              <w:rPr>
                <w:rFonts w:hint="eastAsia" w:ascii="Times New Roman" w:hAnsi="Times New Roman"/>
              </w:rPr>
              <w:t>（</w:t>
            </w:r>
            <w:r>
              <w:rPr>
                <w:rFonts w:ascii="Times New Roman" w:hAnsi="Times New Roman"/>
              </w:rPr>
              <w:t>GB</w:t>
            </w:r>
            <w:r>
              <w:rPr>
                <w:rFonts w:hint="eastAsia" w:ascii="Times New Roman" w:hAnsi="Times New Roman"/>
              </w:rPr>
              <w:t>/</w:t>
            </w:r>
            <w:r>
              <w:rPr>
                <w:rFonts w:ascii="Times New Roman" w:hAnsi="Times New Roman"/>
              </w:rPr>
              <w:t>T18920-2002</w:t>
            </w:r>
            <w:r>
              <w:rPr>
                <w:rFonts w:hint="eastAsia" w:ascii="Times New Roman" w:hAnsi="Times New Roma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w:t>
            </w:r>
            <w:r>
              <w:rPr>
                <w:rFonts w:hint="eastAsia" w:ascii="Times New Roman" w:hAnsi="Times New Roman" w:cs="Times New Roman"/>
                <w:sz w:val="24"/>
              </w:rPr>
              <w:t xml:space="preserve"> 表2中排放</w:t>
            </w:r>
            <w:r>
              <w:rPr>
                <w:rFonts w:ascii="Times New Roman" w:hAnsi="Times New Roman" w:cs="Times New Roman"/>
                <w:sz w:val="24"/>
              </w:rPr>
              <w:t>限值；</w:t>
            </w:r>
            <w:r>
              <w:rPr>
                <w:rFonts w:hint="eastAsia"/>
                <w:snapToGrid w:val="0"/>
                <w:kern w:val="0"/>
                <w:sz w:val="24"/>
              </w:rPr>
              <w:t>油气回收系统符合</w:t>
            </w:r>
            <w:r>
              <w:rPr>
                <w:rFonts w:hint="eastAsia"/>
                <w:sz w:val="24"/>
              </w:rPr>
              <w:t>《加油站大气污染物排放标准》（GB20952-2007）中要求</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及</w:t>
            </w:r>
            <w:r>
              <w:rPr>
                <w:rFonts w:hint="eastAsia" w:ascii="Times New Roman" w:hAnsi="Times New Roman" w:cs="Times New Roman"/>
                <w:color w:val="auto"/>
                <w:sz w:val="24"/>
              </w:rPr>
              <w:t>4a</w:t>
            </w:r>
            <w:r>
              <w:rPr>
                <w:rFonts w:hint="eastAsia" w:ascii="Times New Roman" w:hAnsi="Times New Roman" w:cs="Times New Roman"/>
                <w:sz w:val="24"/>
              </w:rPr>
              <w:t>类</w:t>
            </w:r>
            <w:r>
              <w:rPr>
                <w:rFonts w:ascii="Times New Roman" w:hAnsi="Times New Roman" w:cs="Times New Roman"/>
                <w:sz w:val="24"/>
              </w:rPr>
              <w:t>标准；</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8" w:type="dxa"/>
          <w:trHeight w:val="13557" w:hRule="atLeast"/>
          <w:jc w:val="center"/>
        </w:trPr>
        <w:tc>
          <w:tcPr>
            <w:tcW w:w="9288" w:type="dxa"/>
            <w:gridSpan w:val="7"/>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9958"/>
            <w:bookmarkStart w:id="6" w:name="_Toc26698"/>
            <w:bookmarkStart w:id="7" w:name="_Toc22276"/>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rFonts w:hint="eastAsia"/>
                <w:sz w:val="24"/>
              </w:rPr>
              <w:t>近年来，随着中国国民经济的快速发展、机动车保有量的快速增加，交通基础设施建设的全面推进，现有社会对成品油的需求量持续呈上涨趋势，加油站已成为交通基础设施中不可或缺的一部分，</w:t>
            </w:r>
            <w:r>
              <w:rPr>
                <w:sz w:val="24"/>
              </w:rPr>
              <w:t>在</w:t>
            </w:r>
            <w:r>
              <w:rPr>
                <w:rFonts w:hint="eastAsia" w:ascii="宋体" w:hAnsi="宋体"/>
                <w:sz w:val="24"/>
              </w:rPr>
              <w:t>开阳至息烽高速公路东南侧温泉服务区</w:t>
            </w:r>
            <w:r>
              <w:rPr>
                <w:sz w:val="24"/>
              </w:rPr>
              <w:t>规范经营加油站，可保障</w:t>
            </w:r>
            <w:r>
              <w:rPr>
                <w:rFonts w:hint="eastAsia"/>
                <w:sz w:val="24"/>
              </w:rPr>
              <w:t>永烽</w:t>
            </w:r>
            <w:r>
              <w:rPr>
                <w:sz w:val="24"/>
              </w:rPr>
              <w:t>高速沿线的车辆用油需求，为周边地区区域交通提供便利，有利于地方社会经济的发展</w:t>
            </w:r>
            <w:r>
              <w:rPr>
                <w:rFonts w:hint="eastAsia"/>
                <w:sz w:val="24"/>
              </w:rPr>
              <w:t>,</w:t>
            </w:r>
            <w:r>
              <w:rPr>
                <w:sz w:val="24"/>
              </w:rPr>
              <w:t>有利于地方建设的安全和稳定；</w:t>
            </w:r>
            <w:r>
              <w:rPr>
                <w:rFonts w:hint="eastAsia" w:ascii="Times New Roman" w:hAnsi="Times New Roman" w:cs="Times New Roman"/>
                <w:sz w:val="24"/>
              </w:rPr>
              <w:t>该项目由贵州交建国储贸易有限公司投资建设。</w:t>
            </w:r>
            <w:r>
              <w:rPr>
                <w:rFonts w:hint="eastAsia"/>
                <w:color w:val="000000"/>
                <w:sz w:val="24"/>
              </w:rPr>
              <w:t>项目</w:t>
            </w:r>
            <w:r>
              <w:rPr>
                <w:rFonts w:hint="eastAsia"/>
                <w:sz w:val="24"/>
              </w:rPr>
              <w:t>设有50m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w:t>
            </w:r>
            <w:r>
              <w:rPr>
                <w:rFonts w:hint="eastAsia" w:ascii="Times New Roman" w:hAnsi="Times New Roman" w:eastAsia="宋体" w:cs="Times New Roman"/>
                <w:sz w:val="24"/>
              </w:rPr>
              <w:t>双层</w:t>
            </w:r>
            <w:r>
              <w:rPr>
                <w:rFonts w:hint="eastAsia"/>
                <w:sz w:val="24"/>
              </w:rPr>
              <w:t>油罐；设置6台潜泵式双油双枪加油机，同时设置卸油和加油油气回收系统。根据《汽车加油加气站设计与施工规范》</w:t>
            </w:r>
            <w:r>
              <w:rPr>
                <w:bCs/>
                <w:kern w:val="0"/>
                <w:sz w:val="24"/>
              </w:rPr>
              <w:t>（GB 50156-20</w:t>
            </w:r>
            <w:r>
              <w:rPr>
                <w:rFonts w:hint="eastAsia"/>
                <w:bCs/>
                <w:kern w:val="0"/>
                <w:sz w:val="24"/>
              </w:rPr>
              <w:t>1</w:t>
            </w:r>
            <w:r>
              <w:rPr>
                <w:bCs/>
                <w:kern w:val="0"/>
                <w:sz w:val="24"/>
              </w:rPr>
              <w:t>2）</w:t>
            </w:r>
            <w:r>
              <w:rPr>
                <w:rFonts w:hint="eastAsia"/>
                <w:bCs/>
                <w:kern w:val="0"/>
                <w:sz w:val="24"/>
              </w:rPr>
              <w:t>规定，</w:t>
            </w:r>
            <w:r>
              <w:rPr>
                <w:sz w:val="24"/>
              </w:rPr>
              <w:t>属二级加油站。项目生活设施依托于现有服务区，不设食宿，仅设置</w:t>
            </w:r>
            <w:r>
              <w:rPr>
                <w:rFonts w:hint="eastAsia"/>
                <w:sz w:val="24"/>
              </w:rPr>
              <w:t>倒班宿舍</w:t>
            </w:r>
            <w:r>
              <w:rPr>
                <w:sz w:val="24"/>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宋体" w:hAnsi="宋体" w:cs="宋体"/>
                <w:b w:val="0"/>
                <w:bCs/>
                <w:sz w:val="24"/>
              </w:rPr>
              <w:t>贵州交建国储贸易有限公司永烽高速温泉服务区加油站二站</w:t>
            </w:r>
            <w:r>
              <w:rPr>
                <w:rFonts w:ascii="Times New Roman" w:hAnsi="Times New Roman" w:cs="Times New Roman"/>
                <w:spacing w:val="-4"/>
                <w:kern w:val="0"/>
                <w:sz w:val="24"/>
              </w:rPr>
              <w:t>环境影响报告表</w:t>
            </w:r>
            <w:r>
              <w:rPr>
                <w:rFonts w:ascii="Times New Roman" w:hAnsi="Times New Roman" w:cs="Times New Roman"/>
                <w:sz w:val="24"/>
              </w:rPr>
              <w:t>》，并于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05</w:t>
            </w:r>
            <w:r>
              <w:rPr>
                <w:rFonts w:ascii="Times New Roman" w:hAnsi="Times New Roman" w:cs="Times New Roman"/>
                <w:sz w:val="24"/>
              </w:rPr>
              <w:t>月</w:t>
            </w:r>
            <w:r>
              <w:rPr>
                <w:rFonts w:hint="eastAsia" w:ascii="Times New Roman" w:hAnsi="Times New Roman" w:cs="Times New Roman"/>
                <w:sz w:val="24"/>
              </w:rPr>
              <w:t>02</w:t>
            </w:r>
            <w:r>
              <w:rPr>
                <w:rFonts w:ascii="Times New Roman" w:hAnsi="Times New Roman" w:cs="Times New Roman"/>
                <w:sz w:val="24"/>
              </w:rPr>
              <w:t>日取得</w:t>
            </w:r>
            <w:r>
              <w:rPr>
                <w:rFonts w:hint="eastAsia" w:ascii="Times New Roman" w:hAnsi="Times New Roman" w:cs="Times New Roman"/>
                <w:sz w:val="24"/>
              </w:rPr>
              <w:t>息烽县生态环境</w:t>
            </w:r>
            <w:r>
              <w:rPr>
                <w:rFonts w:ascii="Times New Roman" w:hAnsi="Times New Roman" w:cs="Times New Roman"/>
                <w:sz w:val="24"/>
              </w:rPr>
              <w:t>局对</w:t>
            </w:r>
            <w:r>
              <w:rPr>
                <w:rFonts w:ascii="Times New Roman" w:hAnsi="Times New Roman" w:cs="Times New Roman"/>
                <w:b w:val="0"/>
                <w:bCs w:val="0"/>
                <w:sz w:val="24"/>
              </w:rPr>
              <w:t>《</w:t>
            </w:r>
            <w:r>
              <w:rPr>
                <w:rFonts w:hint="eastAsia" w:ascii="宋体" w:hAnsi="宋体" w:cs="宋体"/>
                <w:b w:val="0"/>
                <w:bCs w:val="0"/>
                <w:sz w:val="24"/>
              </w:rPr>
              <w:t>贵州交建国储贸易有限公司永烽高速温泉服务区加油站二站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息环审表[2017]25号。</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宋体" w:hAnsi="宋体" w:cs="宋体"/>
                <w:b w:val="0"/>
                <w:bCs/>
                <w:sz w:val="24"/>
              </w:rPr>
              <w:t>贵州交建国储贸易有限公司永烽高速温泉服务区加油站二站</w:t>
            </w:r>
            <w:r>
              <w:rPr>
                <w:rFonts w:hint="eastAsia" w:ascii="Times New Roman" w:hAnsi="Times New Roman" w:eastAsia="宋体" w:cs="Times New Roman"/>
                <w:sz w:val="24"/>
              </w:rPr>
              <w:t>委托第三方检测公司（贵州明德工程咨询有限公司）</w:t>
            </w:r>
            <w:r>
              <w:rPr>
                <w:rFonts w:ascii="Times New Roman" w:hAnsi="Times New Roman" w:cs="Times New Roman"/>
                <w:sz w:val="24"/>
              </w:rPr>
              <w:t>对</w:t>
            </w:r>
            <w:r>
              <w:rPr>
                <w:rFonts w:hint="eastAsia" w:ascii="宋体" w:hAnsi="宋体" w:cs="宋体"/>
                <w:b w:val="0"/>
                <w:bCs/>
                <w:sz w:val="24"/>
              </w:rPr>
              <w:t>贵州交建国储贸易有限公司永烽高速温泉服务区加油站二站</w:t>
            </w:r>
            <w:r>
              <w:rPr>
                <w:rFonts w:hint="eastAsia" w:ascii="Times New Roman" w:hAnsi="Times New Roman" w:eastAsia="宋体" w:cs="Times New Roman"/>
                <w:sz w:val="24"/>
              </w:rPr>
              <w:t>建设项目</w:t>
            </w:r>
            <w:r>
              <w:rPr>
                <w:rFonts w:ascii="Times New Roman" w:hAnsi="Times New Roman" w:cs="Times New Roman"/>
                <w:sz w:val="24"/>
              </w:rPr>
              <w:t>进行竣工环境保护验收监测</w:t>
            </w:r>
            <w:r>
              <w:rPr>
                <w:rFonts w:hint="eastAsia" w:ascii="Times New Roman" w:hAnsi="Times New Roman" w:cs="Times New Roman"/>
                <w:sz w:val="24"/>
              </w:rPr>
              <w:t>。</w:t>
            </w:r>
            <w:r>
              <w:rPr>
                <w:rFonts w:hint="eastAsia" w:ascii="宋体" w:hAnsi="宋体" w:cs="宋体"/>
                <w:b w:val="0"/>
                <w:bCs/>
                <w:sz w:val="24"/>
              </w:rPr>
              <w:t>贵州</w:t>
            </w:r>
            <w:r>
              <w:rPr>
                <w:rFonts w:hint="eastAsia" w:ascii="宋体" w:hAnsi="宋体" w:cs="宋体"/>
                <w:b w:val="0"/>
                <w:bCs/>
                <w:sz w:val="24"/>
                <w:lang w:eastAsia="zh-CN"/>
              </w:rPr>
              <w:t>明德工程咨询有限公司根据现场</w:t>
            </w:r>
            <w:r>
              <w:rPr>
                <w:rFonts w:hint="eastAsia" w:ascii="Times New Roman" w:hAnsi="Times New Roman" w:cs="Times New Roman"/>
                <w:sz w:val="24"/>
              </w:rPr>
              <w:t>验收监测数据</w:t>
            </w:r>
            <w:r>
              <w:rPr>
                <w:rFonts w:hint="eastAsia" w:ascii="Times New Roman" w:hAnsi="Times New Roman" w:cs="Times New Roman"/>
                <w:sz w:val="24"/>
                <w:lang w:eastAsia="zh-CN"/>
              </w:rPr>
              <w:t>及实验室检测数据</w:t>
            </w:r>
            <w:r>
              <w:rPr>
                <w:rFonts w:hint="eastAsia" w:ascii="Times New Roman" w:hAnsi="Times New Roman" w:cs="Times New Roman"/>
                <w:sz w:val="24"/>
              </w:rPr>
              <w:t>，并结合</w:t>
            </w:r>
            <w:r>
              <w:rPr>
                <w:rFonts w:hint="eastAsia" w:ascii="宋体" w:hAnsi="宋体" w:cs="宋体"/>
                <w:b w:val="0"/>
                <w:bCs/>
                <w:sz w:val="24"/>
              </w:rPr>
              <w:t>贵州交建国储贸易有限公司永烽高速温泉服务区加油站二站</w:t>
            </w:r>
            <w:r>
              <w:rPr>
                <w:rFonts w:hint="eastAsia" w:ascii="Times New Roman" w:hAnsi="Times New Roman" w:cs="Times New Roman"/>
                <w:sz w:val="24"/>
              </w:rPr>
              <w:t>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宋体" w:hAnsi="宋体" w:cs="宋体"/>
                <w:b w:val="0"/>
                <w:bCs/>
                <w:sz w:val="24"/>
              </w:rPr>
              <w:t>贵州交建国储贸易有限公司永烽高速溫泉服务区加油站二站</w:t>
            </w:r>
            <w:r>
              <w:rPr>
                <w:rFonts w:hint="eastAsia" w:ascii="Times New Roman" w:hAnsi="Times New Roman" w:cs="Times New Roman"/>
                <w:sz w:val="24"/>
              </w:rPr>
              <w:t>建设项目</w:t>
            </w:r>
            <w:r>
              <w:rPr>
                <w:rFonts w:ascii="Times New Roman" w:hAnsi="Times New Roman" w:cs="Times New Roman"/>
                <w:sz w:val="24"/>
              </w:rPr>
              <w:t>的主体工程、辅助及公用工程、环保工程。</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项目位于</w:t>
            </w:r>
            <w:r>
              <w:rPr>
                <w:rFonts w:hint="eastAsia"/>
                <w:sz w:val="24"/>
              </w:rPr>
              <w:t>永烽高速西北侧温泉服务区——息烽县温泉镇</w:t>
            </w:r>
            <w:r>
              <w:rPr>
                <w:rFonts w:ascii="Times New Roman" w:hAnsi="Times New Roman" w:eastAsia="宋体" w:cs="Times New Roman"/>
                <w:sz w:val="24"/>
              </w:rPr>
              <w:t>，</w:t>
            </w:r>
            <w:r>
              <w:rPr>
                <w:rFonts w:hint="eastAsia"/>
                <w:b w:val="0"/>
                <w:bCs w:val="0"/>
                <w:color w:val="auto"/>
                <w:sz w:val="24"/>
              </w:rPr>
              <w:t>西北侧</w:t>
            </w:r>
            <w:r>
              <w:rPr>
                <w:rFonts w:hint="eastAsia"/>
                <w:sz w:val="24"/>
              </w:rPr>
              <w:t>为永烽高速（开阳至息烽）、</w:t>
            </w:r>
            <w:r>
              <w:rPr>
                <w:rFonts w:hint="eastAsia"/>
                <w:color w:val="auto"/>
                <w:sz w:val="24"/>
              </w:rPr>
              <w:t>南面</w:t>
            </w:r>
            <w:r>
              <w:rPr>
                <w:rFonts w:hint="eastAsia"/>
                <w:sz w:val="24"/>
              </w:rPr>
              <w:t>为永烽高速温泉服务区，</w:t>
            </w:r>
            <w:r>
              <w:rPr>
                <w:rFonts w:hint="eastAsia"/>
                <w:color w:val="auto"/>
                <w:sz w:val="24"/>
              </w:rPr>
              <w:t>西北</w:t>
            </w:r>
            <w:r>
              <w:rPr>
                <w:rFonts w:hint="eastAsia"/>
                <w:sz w:val="24"/>
              </w:rPr>
              <w:t>侧距离760m的热水小河，东面为荒地。本项目地理位置为东经106</w:t>
            </w:r>
            <w:r>
              <w:rPr>
                <w:rFonts w:hint="eastAsia"/>
                <w:sz w:val="24"/>
                <w:vertAlign w:val="superscript"/>
              </w:rPr>
              <w:t>0</w:t>
            </w:r>
            <w:r>
              <w:rPr>
                <w:rFonts w:hint="eastAsia"/>
                <w:sz w:val="24"/>
              </w:rPr>
              <w:t>53</w:t>
            </w:r>
            <w:r>
              <w:rPr>
                <w:rFonts w:hint="eastAsia"/>
                <w:sz w:val="24"/>
                <w:vertAlign w:val="superscript"/>
              </w:rPr>
              <w:t>/</w:t>
            </w:r>
            <w:r>
              <w:rPr>
                <w:rFonts w:hint="eastAsia"/>
                <w:sz w:val="24"/>
              </w:rPr>
              <w:t>43</w:t>
            </w:r>
            <w:r>
              <w:rPr>
                <w:rFonts w:hint="eastAsia"/>
                <w:sz w:val="24"/>
                <w:vertAlign w:val="superscript"/>
              </w:rPr>
              <w:t>//</w:t>
            </w:r>
            <w:r>
              <w:rPr>
                <w:rFonts w:hint="eastAsia"/>
                <w:sz w:val="24"/>
              </w:rPr>
              <w:t>，北纬27</w:t>
            </w:r>
            <w:r>
              <w:rPr>
                <w:rFonts w:hint="eastAsia"/>
                <w:sz w:val="24"/>
                <w:vertAlign w:val="superscript"/>
              </w:rPr>
              <w:t>0</w:t>
            </w:r>
            <w:r>
              <w:rPr>
                <w:rFonts w:hint="eastAsia"/>
                <w:sz w:val="24"/>
              </w:rPr>
              <w:t>19</w:t>
            </w:r>
            <w:r>
              <w:rPr>
                <w:rFonts w:hint="eastAsia"/>
                <w:sz w:val="24"/>
                <w:vertAlign w:val="superscript"/>
              </w:rPr>
              <w:t>/</w:t>
            </w:r>
            <w:r>
              <w:rPr>
                <w:rFonts w:hint="eastAsia"/>
                <w:sz w:val="24"/>
              </w:rPr>
              <w:t>45</w:t>
            </w:r>
            <w:r>
              <w:rPr>
                <w:rFonts w:hint="eastAsia"/>
                <w:sz w:val="24"/>
                <w:vertAlign w:val="superscript"/>
              </w:rPr>
              <w:t>//</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宋体" w:hAnsi="宋体"/>
                <w:sz w:val="24"/>
              </w:rPr>
              <w:t>贵州交建国储贸易有限公司永烽高速温泉服务区加油站二站</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sz w:val="24"/>
              </w:rPr>
              <w:t>永烽高速东南侧温泉服务区</w:t>
            </w:r>
            <w:r>
              <w:rPr>
                <w:sz w:val="24"/>
              </w:rPr>
              <w:t>B</w:t>
            </w:r>
            <w:r>
              <w:rPr>
                <w:rFonts w:hint="eastAsia"/>
                <w:sz w:val="24"/>
              </w:rPr>
              <w:t>场地（息烽县温泉镇）</w:t>
            </w:r>
          </w:p>
          <w:p>
            <w:pPr>
              <w:spacing w:line="360" w:lineRule="auto"/>
              <w:ind w:firstLine="480" w:firstLineChars="200"/>
              <w:rPr>
                <w:rFonts w:ascii="Times New Roman" w:hAnsi="Times New Roman" w:cs="Times New Roman"/>
                <w:color w:val="FF0000"/>
                <w:sz w:val="24"/>
              </w:rPr>
            </w:pPr>
            <w:r>
              <w:rPr>
                <w:rFonts w:ascii="Times New Roman" w:hAnsi="Times New Roman" w:cs="Times New Roman"/>
                <w:color w:val="000000"/>
                <w:sz w:val="24"/>
              </w:rPr>
              <w:t>建设规模：</w:t>
            </w:r>
            <w:r>
              <w:rPr>
                <w:sz w:val="24"/>
              </w:rPr>
              <w:t>项目规模为</w:t>
            </w:r>
            <w:r>
              <w:rPr>
                <w:rFonts w:hint="eastAsia"/>
                <w:sz w:val="24"/>
              </w:rPr>
              <w:t>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（柴油容积折半），为埋式卧地油罐；设置6台潜泵式双油双枪加油机，同时设置卸油和加油油气回收系统</w:t>
            </w:r>
            <w:r>
              <w:rPr>
                <w:sz w:val="24"/>
              </w:rPr>
              <w:t>，根据《汽车加油加气站设计与施工规范》(GB50156-2012)2014 版，属二级加油站。</w:t>
            </w:r>
            <w:r>
              <w:rPr>
                <w:color w:val="auto"/>
                <w:sz w:val="24"/>
              </w:rPr>
              <w:t>项目生活设施依托于现有服务区，</w:t>
            </w:r>
            <w:r>
              <w:rPr>
                <w:rFonts w:hint="eastAsia"/>
                <w:color w:val="auto"/>
                <w:sz w:val="24"/>
              </w:rPr>
              <w:t>值班人员用餐为外送熟食</w:t>
            </w:r>
            <w:r>
              <w:rPr>
                <w:color w:val="auto"/>
                <w:sz w:val="24"/>
              </w:rPr>
              <w:t>，仅设置</w:t>
            </w:r>
            <w:r>
              <w:rPr>
                <w:rFonts w:hint="eastAsia"/>
                <w:color w:val="auto"/>
                <w:sz w:val="24"/>
              </w:rPr>
              <w:t>倒班宿舍；站内不设置公厕系统</w:t>
            </w:r>
            <w:r>
              <w:rPr>
                <w:rFonts w:hint="eastAsia"/>
                <w:color w:val="FF0000"/>
                <w:sz w:val="24"/>
              </w:rPr>
              <w:t>.</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宋体" w:hAnsi="宋体"/>
                <w:sz w:val="24"/>
              </w:rPr>
              <w:t>贵州交建国储贸易有限公司；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400</w:t>
            </w:r>
            <w:r>
              <w:rPr>
                <w:rFonts w:ascii="Times New Roman" w:hAnsi="Times New Roman" w:cs="Times New Roman"/>
                <w:color w:val="000000"/>
                <w:sz w:val="24"/>
              </w:rPr>
              <w:t>万元</w:t>
            </w:r>
          </w:p>
          <w:p>
            <w:pPr>
              <w:pStyle w:val="38"/>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w:t>
            </w:r>
            <w:r>
              <w:rPr>
                <w:rFonts w:hint="eastAsia"/>
              </w:rPr>
              <w:t>1600</w:t>
            </w:r>
            <w:r>
              <w:t>m</w:t>
            </w:r>
            <w:r>
              <w:rPr>
                <w:vertAlign w:val="superscript"/>
              </w:rPr>
              <w:t>2</w:t>
            </w:r>
          </w:p>
          <w:p>
            <w:pPr>
              <w:tabs>
                <w:tab w:val="left" w:pos="624"/>
              </w:tabs>
              <w:spacing w:line="500" w:lineRule="exact"/>
              <w:ind w:firstLine="480" w:firstLineChars="200"/>
              <w:rPr>
                <w:color w:val="FF0000"/>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w:t>
            </w: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rPr>
                <w:rFonts w:ascii="Times New Roman" w:hAnsi="Times New Roman" w:cs="Times New Roman"/>
                <w:b/>
                <w:sz w:val="28"/>
                <w:szCs w:val="28"/>
              </w:rPr>
            </w:pP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7"/>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711"/>
              <w:gridCol w:w="4253"/>
              <w:gridCol w:w="23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1711"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4253"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2384"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4253" w:type="dxa"/>
                </w:tcPr>
                <w:p>
                  <w:pPr>
                    <w:rPr>
                      <w:rFonts w:ascii="Times New Roman" w:hAnsi="Times New Roman" w:cs="Times New Roman"/>
                      <w:color w:val="000000"/>
                      <w:szCs w:val="21"/>
                    </w:rPr>
                  </w:pPr>
                  <w:r>
                    <w:rPr>
                      <w:rFonts w:hint="eastAsia"/>
                      <w:bCs/>
                      <w:szCs w:val="21"/>
                    </w:rPr>
                    <w:t>项目设4个地埋卧式油罐，容积均为50m</w:t>
                  </w:r>
                  <w:r>
                    <w:rPr>
                      <w:rFonts w:hint="eastAsia"/>
                      <w:bCs/>
                      <w:szCs w:val="21"/>
                      <w:vertAlign w:val="superscript"/>
                    </w:rPr>
                    <w:t>3</w:t>
                  </w:r>
                  <w:r>
                    <w:rPr>
                      <w:rFonts w:hint="eastAsia"/>
                      <w:bCs/>
                      <w:szCs w:val="21"/>
                    </w:rPr>
                    <w:t>/个</w:t>
                  </w:r>
                  <w:r>
                    <w:rPr>
                      <w:rFonts w:hint="eastAsia" w:ascii="宋体" w:hAnsi="宋体"/>
                      <w:bCs/>
                      <w:szCs w:val="21"/>
                    </w:rPr>
                    <w:t>,</w:t>
                  </w:r>
                  <w:r>
                    <w:rPr>
                      <w:rFonts w:hint="eastAsia"/>
                      <w:color w:val="000000"/>
                      <w:szCs w:val="21"/>
                    </w:rPr>
                    <w:t>其中2个用于储存0</w:t>
                  </w:r>
                  <w:r>
                    <w:rPr>
                      <w:rFonts w:hint="eastAsia"/>
                      <w:color w:val="000000"/>
                      <w:szCs w:val="21"/>
                      <w:vertAlign w:val="superscript"/>
                    </w:rPr>
                    <w:t>#</w:t>
                  </w:r>
                  <w:r>
                    <w:rPr>
                      <w:rFonts w:hint="eastAsia"/>
                      <w:color w:val="000000"/>
                      <w:szCs w:val="21"/>
                    </w:rPr>
                    <w:t>柴油，另外2分别用于储存92</w:t>
                  </w:r>
                  <w:r>
                    <w:rPr>
                      <w:rFonts w:hint="eastAsia"/>
                      <w:color w:val="000000"/>
                      <w:szCs w:val="21"/>
                      <w:vertAlign w:val="superscript"/>
                    </w:rPr>
                    <w:t>#</w:t>
                  </w:r>
                  <w:r>
                    <w:rPr>
                      <w:rFonts w:hint="eastAsia"/>
                      <w:color w:val="000000"/>
                      <w:szCs w:val="21"/>
                    </w:rPr>
                    <w:t>汽油和95</w:t>
                  </w:r>
                  <w:r>
                    <w:rPr>
                      <w:rFonts w:hint="eastAsia"/>
                      <w:color w:val="000000"/>
                      <w:szCs w:val="21"/>
                      <w:vertAlign w:val="superscript"/>
                    </w:rPr>
                    <w:t>#</w:t>
                  </w:r>
                  <w:r>
                    <w:rPr>
                      <w:rFonts w:hint="eastAsia"/>
                      <w:color w:val="000000"/>
                      <w:szCs w:val="21"/>
                    </w:rPr>
                    <w:t>汽油。</w:t>
                  </w:r>
                </w:p>
              </w:tc>
              <w:tc>
                <w:tcPr>
                  <w:tcW w:w="2384" w:type="dxa"/>
                </w:tcPr>
                <w:p>
                  <w:pPr>
                    <w:rPr>
                      <w:rFonts w:ascii="Times New Roman" w:hAnsi="Times New Roman" w:cs="Times New Roman"/>
                      <w:color w:val="FF0000"/>
                      <w:szCs w:val="21"/>
                    </w:rPr>
                  </w:pPr>
                  <w:r>
                    <w:rPr>
                      <w:rFonts w:hint="eastAsia"/>
                      <w:color w:val="000000"/>
                      <w:szCs w:val="21"/>
                    </w:rPr>
                    <w:t>地下4.3m，承重结构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4253" w:type="dxa"/>
                </w:tcPr>
                <w:p>
                  <w:pPr>
                    <w:jc w:val="center"/>
                  </w:pPr>
                  <w:r>
                    <w:rPr>
                      <w:rFonts w:hint="eastAsia"/>
                      <w:bCs/>
                      <w:szCs w:val="21"/>
                    </w:rPr>
                    <w:t>一层绝缘体网架结构，主要用于加油区的遮阳挡雨</w:t>
                  </w:r>
                </w:p>
              </w:tc>
              <w:tc>
                <w:tcPr>
                  <w:tcW w:w="2384" w:type="dxa"/>
                </w:tcPr>
                <w:p>
                  <w:pPr>
                    <w:jc w:val="center"/>
                  </w:pPr>
                  <w:r>
                    <w:rPr>
                      <w:rFonts w:hint="eastAsia"/>
                    </w:rPr>
                    <w:t>面积396</w:t>
                  </w:r>
                  <w:r>
                    <w:t xml:space="preserve"> m</w:t>
                  </w:r>
                  <w:r>
                    <w:rPr>
                      <w:vertAlign w:val="superscript"/>
                    </w:rPr>
                    <w:t>2</w:t>
                  </w:r>
                  <w:r>
                    <w:rPr>
                      <w:rFonts w:hint="eastAsia"/>
                    </w:rPr>
                    <w:t>，高6.5米</w:t>
                  </w:r>
                </w:p>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加油岛</w:t>
                  </w:r>
                </w:p>
              </w:tc>
              <w:tc>
                <w:tcPr>
                  <w:tcW w:w="4253" w:type="dxa"/>
                </w:tcPr>
                <w:p>
                  <w:pPr>
                    <w:jc w:val="center"/>
                  </w:pPr>
                  <w:r>
                    <w:rPr>
                      <w:rFonts w:hint="eastAsia"/>
                      <w:bCs/>
                      <w:szCs w:val="21"/>
                    </w:rPr>
                    <w:t>加油岛上分布有</w:t>
                  </w:r>
                  <w:r>
                    <w:rPr>
                      <w:rFonts w:hint="eastAsia"/>
                      <w:color w:val="000000"/>
                      <w:szCs w:val="21"/>
                    </w:rPr>
                    <w:t>3台0</w:t>
                  </w:r>
                  <w:r>
                    <w:rPr>
                      <w:rFonts w:hint="eastAsia"/>
                      <w:color w:val="000000"/>
                      <w:szCs w:val="21"/>
                      <w:vertAlign w:val="superscript"/>
                    </w:rPr>
                    <w:t>#</w:t>
                  </w:r>
                  <w:r>
                    <w:rPr>
                      <w:rFonts w:hint="eastAsia"/>
                      <w:color w:val="000000"/>
                      <w:szCs w:val="21"/>
                    </w:rPr>
                    <w:t>柴油双枪加油机，2台92</w:t>
                  </w:r>
                  <w:r>
                    <w:rPr>
                      <w:rFonts w:hint="eastAsia"/>
                      <w:color w:val="000000"/>
                      <w:szCs w:val="21"/>
                      <w:vertAlign w:val="superscript"/>
                    </w:rPr>
                    <w:t>#</w:t>
                  </w:r>
                  <w:r>
                    <w:rPr>
                      <w:rFonts w:hint="eastAsia"/>
                      <w:color w:val="000000"/>
                      <w:szCs w:val="21"/>
                    </w:rPr>
                    <w:t>双枪加油机、1台95</w:t>
                  </w:r>
                  <w:r>
                    <w:rPr>
                      <w:rFonts w:hint="eastAsia"/>
                      <w:color w:val="000000"/>
                      <w:szCs w:val="21"/>
                      <w:vertAlign w:val="superscript"/>
                    </w:rPr>
                    <w:t>#</w:t>
                  </w:r>
                  <w:r>
                    <w:rPr>
                      <w:rFonts w:hint="eastAsia"/>
                      <w:color w:val="000000"/>
                      <w:szCs w:val="21"/>
                    </w:rPr>
                    <w:t>汽油双枪加油机</w:t>
                  </w:r>
                </w:p>
              </w:tc>
              <w:tc>
                <w:tcPr>
                  <w:tcW w:w="2384" w:type="dxa"/>
                </w:tcPr>
                <w:p>
                  <w:pPr>
                    <w:jc w:val="center"/>
                  </w:pPr>
                  <w:r>
                    <w:rPr>
                      <w:rFonts w:hint="eastAsia"/>
                      <w:color w:val="000000"/>
                      <w:szCs w:val="21"/>
                    </w:rPr>
                    <w:t>6台潜泵式双油双枪加油机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ind w:firstLine="840" w:firstLineChars="4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4253" w:type="dxa"/>
                </w:tcPr>
                <w:p>
                  <w:pPr>
                    <w:rPr>
                      <w:rFonts w:ascii="Times New Roman" w:hAnsi="Times New Roman" w:cs="Times New Roman"/>
                      <w:color w:val="000000"/>
                      <w:szCs w:val="21"/>
                    </w:rPr>
                  </w:pPr>
                  <w:r>
                    <w:rPr>
                      <w:rFonts w:hint="eastAsia"/>
                      <w:bCs/>
                      <w:szCs w:val="21"/>
                    </w:rPr>
                    <w:t>2层砖混结构，包括办公室、收费室、更衣室等</w:t>
                  </w:r>
                </w:p>
              </w:tc>
              <w:tc>
                <w:tcPr>
                  <w:tcW w:w="2384" w:type="dxa"/>
                </w:tcPr>
                <w:p>
                  <w:pPr>
                    <w:rPr>
                      <w:rFonts w:ascii="Times New Roman" w:hAnsi="Times New Roman" w:cs="Times New Roman"/>
                      <w:color w:val="000000"/>
                      <w:szCs w:val="21"/>
                    </w:rPr>
                  </w:pPr>
                  <w:r>
                    <w:rPr>
                      <w:rFonts w:hint="eastAsia"/>
                      <w:color w:val="FF0000"/>
                      <w:szCs w:val="21"/>
                    </w:rPr>
                    <w:t>建</w:t>
                  </w:r>
                  <w:r>
                    <w:rPr>
                      <w:rFonts w:hint="eastAsia"/>
                      <w:color w:val="auto"/>
                      <w:szCs w:val="21"/>
                    </w:rPr>
                    <w:t>筑高度7.4m，一层设置办公室、资料室等，二层设置值班人员倒班宿舍。无餐饮、商业区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1711" w:type="dxa"/>
                </w:tcPr>
                <w:p>
                  <w:pPr>
                    <w:rPr>
                      <w:rFonts w:ascii="Times New Roman" w:hAnsi="Times New Roman" w:cs="Times New Roman"/>
                      <w:color w:val="000000"/>
                      <w:szCs w:val="21"/>
                    </w:rPr>
                  </w:pPr>
                  <w:r>
                    <w:rPr>
                      <w:rFonts w:hint="eastAsia" w:ascii="Times New Roman" w:hAnsi="Times New Roman" w:cs="Times New Roman"/>
                      <w:color w:val="000000"/>
                      <w:szCs w:val="21"/>
                    </w:rPr>
                    <w:t xml:space="preserve"> </w:t>
                  </w:r>
                  <w:r>
                    <w:rPr>
                      <w:rFonts w:ascii="Times New Roman" w:hAnsi="Times New Roman" w:cs="Times New Roman"/>
                      <w:color w:val="000000"/>
                      <w:szCs w:val="21"/>
                    </w:rPr>
                    <w:t xml:space="preserve">    </w:t>
                  </w:r>
                  <w:r>
                    <w:rPr>
                      <w:rFonts w:hint="eastAsia" w:ascii="Times New Roman" w:hAnsi="Times New Roman" w:cs="Times New Roman"/>
                      <w:color w:val="000000"/>
                      <w:szCs w:val="21"/>
                    </w:rPr>
                    <w:t>配电室</w:t>
                  </w:r>
                </w:p>
              </w:tc>
              <w:tc>
                <w:tcPr>
                  <w:tcW w:w="4253" w:type="dxa"/>
                </w:tcPr>
                <w:p>
                  <w:pPr>
                    <w:rPr>
                      <w:rFonts w:ascii="Times New Roman" w:hAnsi="Times New Roman" w:cs="Times New Roman"/>
                      <w:color w:val="000000"/>
                      <w:szCs w:val="21"/>
                    </w:rPr>
                  </w:pPr>
                  <w:r>
                    <w:rPr>
                      <w:rFonts w:hint="eastAsia"/>
                      <w:bCs/>
                      <w:szCs w:val="21"/>
                    </w:rPr>
                    <w:t>一层砖混结构，内设备用式发电机</w:t>
                  </w:r>
                </w:p>
              </w:tc>
              <w:tc>
                <w:tcPr>
                  <w:tcW w:w="2384" w:type="dxa"/>
                </w:tcPr>
                <w:p>
                  <w:pP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给水系统</w:t>
                  </w:r>
                </w:p>
              </w:tc>
              <w:tc>
                <w:tcPr>
                  <w:tcW w:w="4253" w:type="dxa"/>
                </w:tcPr>
                <w:p>
                  <w:pPr>
                    <w:jc w:val="center"/>
                    <w:rPr>
                      <w:rFonts w:ascii="Times New Roman" w:hAnsi="Times New Roman" w:cs="Times New Roman"/>
                      <w:color w:val="000000"/>
                      <w:szCs w:val="21"/>
                    </w:rPr>
                  </w:pPr>
                  <w:r>
                    <w:rPr>
                      <w:rFonts w:hint="eastAsia"/>
                    </w:rPr>
                    <w:t>367.15</w:t>
                  </w:r>
                  <w:r>
                    <w:t>m³/a</w:t>
                  </w:r>
                  <w:r>
                    <w:rPr>
                      <w:rFonts w:hint="eastAsia"/>
                    </w:rPr>
                    <w:t>由</w:t>
                  </w:r>
                  <w:r>
                    <w:t>市政供水管网引入</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供电系统</w:t>
                  </w:r>
                </w:p>
              </w:tc>
              <w:tc>
                <w:tcPr>
                  <w:tcW w:w="4253" w:type="dxa"/>
                </w:tcPr>
                <w:p>
                  <w:pPr>
                    <w:jc w:val="center"/>
                    <w:rPr>
                      <w:rFonts w:ascii="Times New Roman" w:hAnsi="Times New Roman" w:cs="Times New Roman"/>
                      <w:color w:val="000000"/>
                      <w:szCs w:val="21"/>
                    </w:rPr>
                  </w:pPr>
                  <w:r>
                    <w:rPr>
                      <w:color w:val="auto"/>
                    </w:rPr>
                    <w:t xml:space="preserve">年耗电量约 </w:t>
                  </w:r>
                  <w:r>
                    <w:rPr>
                      <w:rFonts w:hint="eastAsia"/>
                      <w:color w:val="auto"/>
                    </w:rPr>
                    <w:t>4.8000</w:t>
                  </w:r>
                  <w:r>
                    <w:rPr>
                      <w:color w:val="auto"/>
                    </w:rPr>
                    <w:t>kw·h</w:t>
                  </w:r>
                  <w:r>
                    <w:rPr>
                      <w:rFonts w:hint="eastAsia"/>
                    </w:rPr>
                    <w:t>由</w:t>
                  </w:r>
                  <w:r>
                    <w:t>市政电网引入</w:t>
                  </w:r>
                  <w:r>
                    <w:rPr>
                      <w:rFonts w:hint="eastAsia"/>
                    </w:rPr>
                    <w:t>，同时配备一台发电机作备用电源</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消防系统</w:t>
                  </w:r>
                </w:p>
              </w:tc>
              <w:tc>
                <w:tcPr>
                  <w:tcW w:w="6637" w:type="dxa"/>
                  <w:gridSpan w:val="2"/>
                </w:tcPr>
                <w:p>
                  <w:pPr>
                    <w:jc w:val="center"/>
                  </w:pPr>
                  <w:r>
                    <w:rPr>
                      <w:rFonts w:hint="eastAsia"/>
                      <w:szCs w:val="21"/>
                    </w:rPr>
                    <w:t>配备1座2m</w:t>
                  </w:r>
                  <w:r>
                    <w:rPr>
                      <w:rFonts w:hint="eastAsia"/>
                      <w:szCs w:val="21"/>
                      <w:vertAlign w:val="superscript"/>
                    </w:rPr>
                    <w:t>3</w:t>
                  </w:r>
                  <w:r>
                    <w:rPr>
                      <w:rFonts w:hint="eastAsia"/>
                      <w:szCs w:val="21"/>
                    </w:rPr>
                    <w:t>的消防沙池和灭火毯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排水系统</w:t>
                  </w:r>
                </w:p>
              </w:tc>
              <w:tc>
                <w:tcPr>
                  <w:tcW w:w="4253" w:type="dxa"/>
                </w:tcPr>
                <w:p>
                  <w:r>
                    <w:rPr>
                      <w:rFonts w:hint="eastAsia"/>
                      <w:szCs w:val="21"/>
                    </w:rPr>
                    <w:t>项目实行雨、污分流制，雨水经场内雨水沟排出站外；加油作业区地面冲洗废水经隔油池处理后，同站房员工生活污水排入站区污水处理系统处理后，</w:t>
                  </w:r>
                  <w:r>
                    <w:rPr>
                      <w:rFonts w:hint="eastAsia" w:hAnsi="宋体"/>
                      <w:bCs/>
                      <w:szCs w:val="21"/>
                    </w:rPr>
                    <w:t>，再用于道路洒水降尘和站区绿化不外排</w:t>
                  </w:r>
                  <w:r>
                    <w:rPr>
                      <w:rFonts w:hint="eastAsia"/>
                      <w:szCs w:val="21"/>
                    </w:rPr>
                    <w:t>；</w:t>
                  </w:r>
                </w:p>
              </w:tc>
              <w:tc>
                <w:tcPr>
                  <w:tcW w:w="2384" w:type="dxa"/>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szCs w:val="21"/>
                    </w:rPr>
                    <w:t>公厕系统</w:t>
                  </w:r>
                </w:p>
              </w:tc>
              <w:tc>
                <w:tcPr>
                  <w:tcW w:w="4253" w:type="dxa"/>
                </w:tcPr>
                <w:p>
                  <w:r>
                    <w:rPr>
                      <w:rFonts w:hint="eastAsia"/>
                      <w:szCs w:val="21"/>
                    </w:rPr>
                    <w:t>项目站址东北侧与温泉服务区相接，</w:t>
                  </w:r>
                  <w:r>
                    <w:rPr>
                      <w:rFonts w:hint="eastAsia"/>
                      <w:b/>
                      <w:szCs w:val="21"/>
                    </w:rPr>
                    <w:t>本项目不设置公厕系统，仅有员工厕所供员工入厕。</w:t>
                  </w:r>
                </w:p>
              </w:tc>
              <w:tc>
                <w:tcPr>
                  <w:tcW w:w="2384" w:type="dxa"/>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00B050"/>
                      <w:szCs w:val="21"/>
                    </w:rPr>
                  </w:pPr>
                  <w:r>
                    <w:rPr>
                      <w:rFonts w:hint="eastAsia" w:ascii="Times New Roman" w:hAnsi="Times New Roman" w:cs="Times New Roman"/>
                      <w:color w:val="auto"/>
                      <w:szCs w:val="21"/>
                    </w:rPr>
                    <w:t>废水治理措施</w:t>
                  </w:r>
                </w:p>
              </w:tc>
              <w:tc>
                <w:tcPr>
                  <w:tcW w:w="4253" w:type="dxa"/>
                  <w:vAlign w:val="center"/>
                </w:tcPr>
                <w:p>
                  <w:pPr>
                    <w:spacing w:line="320" w:lineRule="atLeast"/>
                    <w:jc w:val="center"/>
                    <w:rPr>
                      <w:color w:val="FF0000"/>
                      <w:szCs w:val="21"/>
                    </w:rPr>
                  </w:pPr>
                  <w:r>
                    <w:rPr>
                      <w:rFonts w:hint="eastAsia"/>
                      <w:color w:val="auto"/>
                      <w:szCs w:val="21"/>
                    </w:rPr>
                    <w:t>1座2.88m</w:t>
                  </w:r>
                  <w:r>
                    <w:rPr>
                      <w:rFonts w:hint="eastAsia"/>
                      <w:color w:val="auto"/>
                      <w:szCs w:val="21"/>
                      <w:vertAlign w:val="superscript"/>
                    </w:rPr>
                    <w:t>3</w:t>
                  </w:r>
                  <w:r>
                    <w:rPr>
                      <w:rFonts w:hint="eastAsia"/>
                      <w:color w:val="auto"/>
                      <w:szCs w:val="21"/>
                    </w:rPr>
                    <w:t>的隔油池</w:t>
                  </w:r>
                  <w:r>
                    <w:rPr>
                      <w:rFonts w:hint="eastAsia"/>
                      <w:szCs w:val="21"/>
                    </w:rPr>
                    <w:t>2.4m</w:t>
                  </w:r>
                  <w:r>
                    <w:rPr>
                      <w:szCs w:val="21"/>
                    </w:rPr>
                    <w:t>×</w:t>
                  </w:r>
                  <w:r>
                    <w:rPr>
                      <w:rFonts w:hint="eastAsia"/>
                      <w:szCs w:val="21"/>
                    </w:rPr>
                    <w:t>1.2m</w:t>
                  </w:r>
                  <w:r>
                    <w:rPr>
                      <w:szCs w:val="21"/>
                    </w:rPr>
                    <w:t>×</w:t>
                  </w:r>
                  <w:r>
                    <w:rPr>
                      <w:rFonts w:hint="eastAsia"/>
                      <w:szCs w:val="21"/>
                    </w:rPr>
                    <w:t>1.0m</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B050"/>
                      <w:szCs w:val="21"/>
                    </w:rPr>
                  </w:pPr>
                  <w:r>
                    <w:rPr>
                      <w:rFonts w:hint="eastAsia" w:ascii="Times New Roman" w:hAnsi="Times New Roman" w:cs="Times New Roman"/>
                      <w:color w:val="auto"/>
                      <w:szCs w:val="21"/>
                    </w:rPr>
                    <w:t>噪声治理措施</w:t>
                  </w:r>
                </w:p>
              </w:tc>
              <w:tc>
                <w:tcPr>
                  <w:tcW w:w="4253" w:type="dxa"/>
                </w:tcPr>
                <w:p>
                  <w:pPr>
                    <w:rPr>
                      <w:rFonts w:ascii="Times New Roman" w:hAnsi="Times New Roman" w:cs="Times New Roman"/>
                      <w:color w:val="00B050"/>
                      <w:szCs w:val="21"/>
                    </w:rPr>
                  </w:pPr>
                  <w:r>
                    <w:rPr>
                      <w:rFonts w:hint="eastAsia"/>
                      <w:szCs w:val="21"/>
                    </w:rPr>
                    <w:t>减振基座、隔声门窗等</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vAlign w:val="center"/>
                </w:tcPr>
                <w:p>
                  <w:pPr>
                    <w:jc w:val="center"/>
                    <w:rPr>
                      <w:rFonts w:ascii="Times New Roman" w:hAnsi="Times New Roman" w:cs="Times New Roman"/>
                      <w:color w:val="00B050"/>
                      <w:szCs w:val="21"/>
                    </w:rPr>
                  </w:pPr>
                  <w:r>
                    <w:rPr>
                      <w:rFonts w:hint="eastAsia"/>
                    </w:rPr>
                    <w:t>废气治理措施</w:t>
                  </w:r>
                </w:p>
              </w:tc>
              <w:tc>
                <w:tcPr>
                  <w:tcW w:w="4253" w:type="dxa"/>
                </w:tcPr>
                <w:p>
                  <w:pPr>
                    <w:rPr>
                      <w:rFonts w:ascii="Times New Roman" w:hAnsi="Times New Roman" w:cs="Times New Roman"/>
                      <w:color w:val="00B050"/>
                      <w:szCs w:val="21"/>
                    </w:rPr>
                  </w:pPr>
                  <w:r>
                    <w:t>卸油油气回收系统(即一次油气回收)、加油油气回收系统 (即二次油气回收)</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auto"/>
                      <w:szCs w:val="21"/>
                    </w:rPr>
                  </w:pPr>
                  <w:r>
                    <w:rPr>
                      <w:rFonts w:hint="eastAsia"/>
                      <w:color w:val="auto"/>
                      <w:szCs w:val="21"/>
                    </w:rPr>
                    <w:t>固废</w:t>
                  </w:r>
                  <w:r>
                    <w:rPr>
                      <w:color w:val="auto"/>
                      <w:szCs w:val="21"/>
                    </w:rPr>
                    <w:t>治理</w:t>
                  </w:r>
                  <w:r>
                    <w:rPr>
                      <w:rFonts w:hint="eastAsia"/>
                      <w:color w:val="auto"/>
                      <w:szCs w:val="21"/>
                    </w:rPr>
                    <w:t>措施</w:t>
                  </w:r>
                </w:p>
              </w:tc>
              <w:tc>
                <w:tcPr>
                  <w:tcW w:w="4253" w:type="dxa"/>
                </w:tcPr>
                <w:p>
                  <w:pPr>
                    <w:rPr>
                      <w:color w:val="auto"/>
                      <w:szCs w:val="21"/>
                    </w:rPr>
                  </w:pPr>
                  <w:r>
                    <w:rPr>
                      <w:rFonts w:hint="eastAsia"/>
                      <w:color w:val="auto"/>
                      <w:szCs w:val="21"/>
                    </w:rPr>
                    <w:t>生活垃圾收集桶若干个，一座危废暂存间规格为2m（宽）</w:t>
                  </w:r>
                  <w:r>
                    <w:rPr>
                      <w:rFonts w:hint="eastAsia" w:ascii="宋体" w:hAnsi="宋体"/>
                      <w:color w:val="auto"/>
                      <w:szCs w:val="21"/>
                    </w:rPr>
                    <w:t>×</w:t>
                  </w:r>
                  <w:r>
                    <w:rPr>
                      <w:rFonts w:hint="eastAsia"/>
                      <w:color w:val="auto"/>
                      <w:szCs w:val="21"/>
                    </w:rPr>
                    <w:t>3m（长）</w:t>
                  </w:r>
                  <w:r>
                    <w:rPr>
                      <w:rFonts w:hint="eastAsia" w:ascii="宋体" w:hAnsi="宋体"/>
                      <w:color w:val="auto"/>
                      <w:szCs w:val="21"/>
                    </w:rPr>
                    <w:t>×</w:t>
                  </w:r>
                  <w:r>
                    <w:rPr>
                      <w:rFonts w:hint="eastAsia"/>
                      <w:color w:val="auto"/>
                      <w:szCs w:val="21"/>
                    </w:rPr>
                    <w:t>2.5m（高）</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1711" w:type="dxa"/>
                </w:tcPr>
                <w:p>
                  <w:pPr>
                    <w:rPr>
                      <w:color w:val="auto"/>
                      <w:szCs w:val="21"/>
                    </w:rPr>
                  </w:pPr>
                  <w:r>
                    <w:rPr>
                      <w:rFonts w:hint="eastAsia"/>
                      <w:color w:val="auto"/>
                      <w:szCs w:val="21"/>
                    </w:rPr>
                    <w:t>项目绿化</w:t>
                  </w:r>
                </w:p>
              </w:tc>
              <w:tc>
                <w:tcPr>
                  <w:tcW w:w="4253" w:type="dxa"/>
                </w:tcPr>
                <w:p>
                  <w:pPr>
                    <w:rPr>
                      <w:color w:val="auto"/>
                      <w:szCs w:val="21"/>
                    </w:rPr>
                  </w:pPr>
                  <w:r>
                    <w:rPr>
                      <w:rFonts w:hint="eastAsia"/>
                      <w:color w:val="auto"/>
                      <w:szCs w:val="21"/>
                    </w:rPr>
                    <w:t>500m</w:t>
                  </w:r>
                  <w:r>
                    <w:rPr>
                      <w:rFonts w:hint="eastAsia"/>
                      <w:color w:val="auto"/>
                      <w:szCs w:val="21"/>
                      <w:vertAlign w:val="superscript"/>
                    </w:rPr>
                    <w:t>2</w:t>
                  </w:r>
                </w:p>
              </w:tc>
              <w:tc>
                <w:tcPr>
                  <w:tcW w:w="2384" w:type="dxa"/>
                </w:tcPr>
                <w:p>
                  <w:pPr>
                    <w:rPr>
                      <w:rFonts w:ascii="Times New Roman" w:hAnsi="Times New Roman" w:cs="Times New Roman"/>
                      <w:color w:val="00B050"/>
                      <w:szCs w:val="21"/>
                    </w:rPr>
                  </w:pPr>
                </w:p>
              </w:tc>
            </w:tr>
          </w:tbl>
          <w:p>
            <w:pPr>
              <w:ind w:firstLine="482" w:firstLineChars="200"/>
              <w:jc w:val="center"/>
              <w:rPr>
                <w:rFonts w:ascii="Times New Roman" w:hAnsi="Times New Roman" w:cs="Times New Roman"/>
                <w:b/>
                <w:color w:val="000000"/>
                <w:sz w:val="24"/>
              </w:rPr>
            </w:pPr>
          </w:p>
          <w:p>
            <w:pP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r>
              <w:rPr>
                <w:rFonts w:hint="eastAsia" w:ascii="Times New Roman" w:hAnsi="Times New Roman" w:cs="Times New Roman"/>
                <w:b/>
                <w:sz w:val="28"/>
                <w:szCs w:val="28"/>
              </w:rPr>
              <w:t>（明天继续）</w:t>
            </w: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6"/>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853"/>
              <w:gridCol w:w="1276"/>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gridSpan w:val="2"/>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1853"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1276" w:type="dxa"/>
                  <w:tcBorders>
                    <w:tl2br w:val="nil"/>
                    <w:tr2bl w:val="nil"/>
                  </w:tcBorders>
                  <w:vAlign w:val="center"/>
                </w:tcPr>
                <w:p>
                  <w:pPr>
                    <w:adjustRightInd w:val="0"/>
                    <w:snapToGrid w:val="0"/>
                    <w:jc w:val="center"/>
                    <w:rPr>
                      <w:rFonts w:ascii="Times New Roman" w:hAnsi="Times New Roman" w:cs="Times New Roman"/>
                      <w:szCs w:val="21"/>
                    </w:rPr>
                  </w:pPr>
                  <w:r>
                    <w:rPr>
                      <w:szCs w:val="21"/>
                    </w:rPr>
                    <w:t>0</w:t>
                  </w:r>
                  <w:r>
                    <w:rPr>
                      <w:szCs w:val="21"/>
                      <w:vertAlign w:val="superscript"/>
                    </w:rPr>
                    <w:t>#</w:t>
                  </w:r>
                  <w:r>
                    <w:rPr>
                      <w:szCs w:val="21"/>
                    </w:rPr>
                    <w:t>柴油</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1853"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1276"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szCs w:val="21"/>
                    </w:rPr>
                    <w:t>92</w:t>
                  </w:r>
                  <w:r>
                    <w:rPr>
                      <w:szCs w:val="21"/>
                      <w:vertAlign w:val="superscript"/>
                    </w:rPr>
                    <w:t>#</w:t>
                  </w:r>
                  <w:r>
                    <w:rPr>
                      <w:szCs w:val="21"/>
                    </w:rPr>
                    <w:t>汽油</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1853"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1276"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szCs w:val="21"/>
                    </w:rPr>
                    <w:t>95</w:t>
                  </w:r>
                  <w:r>
                    <w:rPr>
                      <w:szCs w:val="21"/>
                      <w:vertAlign w:val="superscript"/>
                    </w:rPr>
                    <w:t>#</w:t>
                  </w:r>
                  <w:r>
                    <w:rPr>
                      <w:szCs w:val="21"/>
                    </w:rPr>
                    <w:t>汽油</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4"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gridSpan w:val="2"/>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潜泵工艺</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rPr>
                    <w:t>6</w:t>
                  </w:r>
                  <w:r>
                    <w:t xml:space="preserve">机 </w:t>
                  </w:r>
                  <w:r>
                    <w:rPr>
                      <w:rFonts w:hint="eastAsia"/>
                    </w:rPr>
                    <w:t>12</w:t>
                  </w:r>
                  <w:r>
                    <w:t xml:space="preserve">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gridSpan w:val="2"/>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gridSpan w:val="2"/>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gridSpan w:val="2"/>
                  <w:vMerge w:val="restart"/>
                  <w:tcBorders>
                    <w:tl2br w:val="nil"/>
                    <w:tr2bl w:val="nil"/>
                  </w:tcBorders>
                  <w:vAlign w:val="center"/>
                </w:tcPr>
                <w:p>
                  <w:pPr>
                    <w:adjustRightInd w:val="0"/>
                    <w:snapToGrid w:val="0"/>
                    <w:jc w:val="center"/>
                    <w:rPr>
                      <w:color w:val="auto"/>
                      <w:kern w:val="0"/>
                    </w:rPr>
                  </w:pPr>
                  <w:r>
                    <w:rPr>
                      <w:color w:val="auto"/>
                    </w:rPr>
                    <w:t>干粉灭火器</w:t>
                  </w:r>
                </w:p>
              </w:tc>
              <w:tc>
                <w:tcPr>
                  <w:tcW w:w="2694" w:type="dxa"/>
                  <w:tcBorders>
                    <w:tl2br w:val="nil"/>
                    <w:tr2bl w:val="nil"/>
                  </w:tcBorders>
                  <w:vAlign w:val="center"/>
                </w:tcPr>
                <w:p>
                  <w:pPr>
                    <w:adjustRightInd w:val="0"/>
                    <w:snapToGrid w:val="0"/>
                    <w:jc w:val="center"/>
                    <w:rPr>
                      <w:rFonts w:ascii="Times New Roman" w:hAnsi="Times New Roman" w:cs="Times New Roman"/>
                      <w:color w:val="auto"/>
                      <w:szCs w:val="21"/>
                    </w:rPr>
                  </w:pPr>
                  <w:r>
                    <w:rPr>
                      <w:color w:val="auto"/>
                    </w:rPr>
                    <w:t>手提(</w:t>
                  </w:r>
                  <w:r>
                    <w:rPr>
                      <w:rFonts w:hint="eastAsia"/>
                      <w:color w:val="auto"/>
                    </w:rPr>
                    <w:t>5</w:t>
                  </w:r>
                  <w:r>
                    <w:rPr>
                      <w:color w:val="auto"/>
                    </w:rPr>
                    <w:t>kg)</w:t>
                  </w:r>
                </w:p>
              </w:tc>
              <w:tc>
                <w:tcPr>
                  <w:tcW w:w="219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color w:val="auto"/>
                    </w:rPr>
                    <w:t>2</w:t>
                  </w:r>
                  <w:r>
                    <w:rPr>
                      <w:color w:val="auto"/>
                    </w:rPr>
                    <w:t>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gridSpan w:val="2"/>
                  <w:vMerge w:val="continue"/>
                  <w:tcBorders>
                    <w:tl2br w:val="nil"/>
                    <w:tr2bl w:val="nil"/>
                  </w:tcBorders>
                  <w:vAlign w:val="center"/>
                </w:tcPr>
                <w:p>
                  <w:pPr>
                    <w:adjustRightInd w:val="0"/>
                    <w:snapToGrid w:val="0"/>
                    <w:jc w:val="center"/>
                    <w:rPr>
                      <w:color w:val="auto"/>
                    </w:rPr>
                  </w:pPr>
                </w:p>
              </w:tc>
              <w:tc>
                <w:tcPr>
                  <w:tcW w:w="2694" w:type="dxa"/>
                  <w:tcBorders>
                    <w:tl2br w:val="nil"/>
                    <w:tr2bl w:val="nil"/>
                  </w:tcBorders>
                  <w:vAlign w:val="center"/>
                </w:tcPr>
                <w:p>
                  <w:pPr>
                    <w:adjustRightInd w:val="0"/>
                    <w:snapToGrid w:val="0"/>
                    <w:jc w:val="center"/>
                    <w:rPr>
                      <w:rFonts w:ascii="Times New Roman" w:hAnsi="Times New Roman" w:cs="Times New Roman"/>
                      <w:color w:val="auto"/>
                      <w:szCs w:val="21"/>
                    </w:rPr>
                  </w:pPr>
                  <w:r>
                    <w:rPr>
                      <w:color w:val="auto"/>
                    </w:rPr>
                    <w:t>推车(35kg)</w:t>
                  </w:r>
                </w:p>
              </w:tc>
              <w:tc>
                <w:tcPr>
                  <w:tcW w:w="219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color w:val="auto"/>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gridSpan w:val="2"/>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gridSpan w:val="2"/>
                  <w:tcBorders>
                    <w:tl2br w:val="nil"/>
                    <w:tr2bl w:val="nil"/>
                  </w:tcBorders>
                  <w:vAlign w:val="center"/>
                </w:tcPr>
                <w:p>
                  <w:pPr>
                    <w:adjustRightInd w:val="0"/>
                    <w:snapToGrid w:val="0"/>
                    <w:jc w:val="center"/>
                  </w:pPr>
                  <w:r>
                    <w:rPr>
                      <w:rFonts w:hint="eastAsia"/>
                      <w:szCs w:val="21"/>
                    </w:rPr>
                    <w:t>二氧化碳灭火器</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T3</w:t>
                  </w:r>
                </w:p>
              </w:tc>
              <w:tc>
                <w:tcPr>
                  <w:tcW w:w="2194" w:type="dxa"/>
                  <w:tcBorders>
                    <w:tl2br w:val="nil"/>
                    <w:tr2bl w:val="nil"/>
                  </w:tcBorders>
                  <w:vAlign w:val="center"/>
                </w:tcPr>
                <w:p>
                  <w:pPr>
                    <w:adjustRightInd w:val="0"/>
                    <w:snapToGrid w:val="0"/>
                    <w:jc w:val="center"/>
                  </w:pPr>
                  <w:r>
                    <w:rPr>
                      <w:rFonts w:hint="eastAsia"/>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11</w:t>
                  </w:r>
                </w:p>
              </w:tc>
              <w:tc>
                <w:tcPr>
                  <w:tcW w:w="3129" w:type="dxa"/>
                  <w:gridSpan w:val="2"/>
                  <w:tcBorders>
                    <w:tl2br w:val="nil"/>
                    <w:tr2bl w:val="nil"/>
                  </w:tcBorders>
                  <w:vAlign w:val="center"/>
                </w:tcPr>
                <w:p>
                  <w:pPr>
                    <w:adjustRightInd w:val="0"/>
                    <w:snapToGrid w:val="0"/>
                    <w:jc w:val="center"/>
                    <w:rPr>
                      <w:kern w:val="0"/>
                    </w:rPr>
                  </w:pPr>
                  <w:r>
                    <w:rPr>
                      <w:rFonts w:hint="eastAsia"/>
                    </w:rPr>
                    <w:t>备用</w:t>
                  </w: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kern w:val="0"/>
                      <w:szCs w:val="21"/>
                    </w:rPr>
                    <w:t>SHL3900CE，3KW</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本项目主要从事机动车燃料的零售，包括柴油和汽油，均为外购。</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6"/>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8807683"/>
            <w:bookmarkStart w:id="10" w:name="_Toc479078401"/>
            <w:bookmarkStart w:id="11" w:name="_Toc478807402"/>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5</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水源为由</w:t>
            </w:r>
            <w:r>
              <w:rPr>
                <w:rFonts w:hint="eastAsia"/>
                <w:sz w:val="24"/>
              </w:rPr>
              <w:t>当地山泉水</w:t>
            </w:r>
            <w:r>
              <w:rPr>
                <w:rFonts w:ascii="Times New Roman" w:hAnsi="Times New Roman" w:cs="Times New Roman"/>
                <w:sz w:val="24"/>
              </w:rPr>
              <w:t>，项目用水为生活用水</w:t>
            </w:r>
            <w:r>
              <w:rPr>
                <w:rFonts w:hint="eastAsia" w:ascii="Times New Roman" w:hAnsi="Times New Roman" w:cs="Times New Roman"/>
                <w:sz w:val="24"/>
              </w:rPr>
              <w:t>（</w:t>
            </w:r>
            <w:r>
              <w:rPr>
                <w:sz w:val="24"/>
              </w:rPr>
              <w:t>主要为办公用水</w:t>
            </w:r>
            <w:r>
              <w:rPr>
                <w:rFonts w:hint="eastAsia"/>
                <w:sz w:val="24"/>
              </w:rPr>
              <w:t>）</w:t>
            </w:r>
            <w:r>
              <w:rPr>
                <w:rFonts w:ascii="Times New Roman" w:hAnsi="Times New Roman" w:cs="Times New Roman"/>
                <w:sz w:val="24"/>
              </w:rPr>
              <w:t>、场地清洗水、绿化用水等。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color w:val="auto"/>
                <w:sz w:val="24"/>
              </w:rPr>
            </w:pPr>
            <w:r>
              <w:rPr>
                <w:sz w:val="24"/>
              </w:rPr>
              <w:t>项目采取雨污分流，</w:t>
            </w:r>
            <w:r>
              <w:rPr>
                <w:rFonts w:hint="eastAsia"/>
                <w:sz w:val="24"/>
              </w:rPr>
              <w:t>雨水经场内雨水沟排出站外；加油作业区地面冲洗废水经隔油池处理后，同站房员工生活污水排入站区污水站（采用</w:t>
            </w:r>
            <w:r>
              <w:rPr>
                <w:rFonts w:hint="eastAsia"/>
                <w:color w:val="auto"/>
                <w:sz w:val="24"/>
              </w:rPr>
              <w:t>“化粪池＋地沟式土地处理系统”工艺）处理后，</w:t>
            </w:r>
            <w:r>
              <w:rPr>
                <w:rFonts w:hint="eastAsia" w:hAnsi="宋体"/>
                <w:bCs/>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bCs/>
                <w:color w:val="auto"/>
                <w:sz w:val="24"/>
              </w:rPr>
              <w:t>要求</w:t>
            </w:r>
            <w:r>
              <w:rPr>
                <w:rFonts w:hint="eastAsia" w:hAnsi="宋体"/>
                <w:bCs/>
                <w:color w:val="auto"/>
                <w:sz w:val="24"/>
              </w:rPr>
              <w:t>，再用于道路洒水降尘和站区绿化</w:t>
            </w:r>
            <w:r>
              <w:rPr>
                <w:color w:val="auto"/>
                <w:sz w:val="24"/>
              </w:rPr>
              <w:t>，不外排</w:t>
            </w:r>
            <w:r>
              <w:rPr>
                <w:rFonts w:hint="eastAsia" w:ascii="Times New Roman" w:hAnsi="Times New Roman" w:cs="Times New Roman"/>
                <w:color w:val="auto"/>
                <w:sz w:val="24"/>
              </w:rPr>
              <w:t>。</w:t>
            </w:r>
            <w:r>
              <w:rPr>
                <w:rFonts w:ascii="Times New Roman" w:hAnsi="Times New Roman" w:cs="Times New Roman"/>
                <w:color w:val="auto"/>
                <w:sz w:val="24"/>
              </w:rPr>
              <w:t>详情水平衡图见图1-2。</w:t>
            </w:r>
          </w:p>
          <w:p>
            <w:pPr>
              <w:tabs>
                <w:tab w:val="left" w:pos="1350"/>
              </w:tabs>
              <w:spacing w:line="360" w:lineRule="auto"/>
              <w:ind w:firstLine="2520" w:firstLineChars="1200"/>
              <w:rPr>
                <w:rFonts w:ascii="Times New Roman" w:hAnsi="Times New Roman" w:cs="Times New Roman"/>
                <w:sz w:val="24"/>
              </w:rPr>
            </w:pPr>
            <w:r>
              <w:drawing>
                <wp:anchor distT="0" distB="0" distL="114300" distR="114300" simplePos="0" relativeHeight="251667456" behindDoc="0" locked="0" layoutInCell="1" allowOverlap="1">
                  <wp:simplePos x="0" y="0"/>
                  <wp:positionH relativeFrom="column">
                    <wp:posOffset>488950</wp:posOffset>
                  </wp:positionH>
                  <wp:positionV relativeFrom="paragraph">
                    <wp:posOffset>234950</wp:posOffset>
                  </wp:positionV>
                  <wp:extent cx="4762500" cy="25400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rcRect l="25353" t="31550" r="26698" b="28859"/>
                          <a:stretch>
                            <a:fillRect/>
                          </a:stretch>
                        </pic:blipFill>
                        <pic:spPr>
                          <a:xfrm>
                            <a:off x="0" y="0"/>
                            <a:ext cx="4762500" cy="2540000"/>
                          </a:xfrm>
                          <a:prstGeom prst="rect">
                            <a:avLst/>
                          </a:prstGeom>
                          <a:ln>
                            <a:noFill/>
                          </a:ln>
                        </pic:spPr>
                      </pic:pic>
                    </a:graphicData>
                  </a:graphic>
                </wp:anchor>
              </w:drawing>
            </w:r>
          </w:p>
          <w:p>
            <w:pPr>
              <w:pStyle w:val="20"/>
              <w:ind w:firstLine="480"/>
              <w:jc w:val="both"/>
            </w:pPr>
          </w:p>
          <w:p>
            <w:pPr>
              <w:adjustRightInd w:val="0"/>
              <w:snapToGrid w:val="0"/>
              <w:ind w:firstLine="2891" w:firstLineChars="1200"/>
              <w:rPr>
                <w:rFonts w:ascii="Times New Roman" w:hAnsi="Times New Roman" w:cs="Times New Roman"/>
                <w:b/>
                <w:bCs/>
                <w:sz w:val="24"/>
              </w:rPr>
            </w:pPr>
            <w:r>
              <w:rPr>
                <w:rFonts w:ascii="Times New Roman" w:hAnsi="Times New Roman" w:cs="Times New Roman"/>
                <w:b/>
                <w:bCs/>
                <w:sz w:val="24"/>
              </w:rPr>
              <w:t>图1-2 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tabs>
                <w:tab w:val="left" w:pos="624"/>
              </w:tabs>
              <w:spacing w:line="460" w:lineRule="exact"/>
              <w:ind w:firstLine="480" w:firstLineChars="200"/>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项目的</w:t>
            </w:r>
            <w:r>
              <w:rPr>
                <w:rFonts w:hint="eastAsia"/>
                <w:sz w:val="24"/>
              </w:rPr>
              <w:t>供电由息烽县供电网络供，供电线路从附近供电电网接入站区配电箱，在分配至各用电点；配备3kw柴油发电机一台，以备停、断电事故应急使用，保证加油系统安全运行。项目</w:t>
            </w:r>
            <w:r>
              <w:rPr>
                <w:sz w:val="24"/>
              </w:rPr>
              <w:t>用电属</w:t>
            </w:r>
            <w:r>
              <w:rPr>
                <w:rFonts w:hint="eastAsia"/>
                <w:sz w:val="24"/>
              </w:rPr>
              <w:t>于</w:t>
            </w:r>
            <w:r>
              <w:rPr>
                <w:sz w:val="24"/>
              </w:rPr>
              <w:t>三级负荷，总负荷容量为10.0KW，年用电量约</w:t>
            </w:r>
            <w:r>
              <w:rPr>
                <w:rFonts w:hint="eastAsia"/>
                <w:sz w:val="24"/>
              </w:rPr>
              <w:t>4.8</w:t>
            </w:r>
            <w:r>
              <w:rPr>
                <w:sz w:val="24"/>
              </w:rPr>
              <w:t>万KWh。</w:t>
            </w:r>
          </w:p>
          <w:p>
            <w:pPr>
              <w:spacing w:line="360" w:lineRule="auto"/>
              <w:rPr>
                <w:rFonts w:ascii="Times New Roman" w:hAnsi="Times New Roman" w:cs="Times New Roman"/>
                <w:sz w:val="24"/>
              </w:rPr>
            </w:pPr>
            <w:r>
              <w:rPr>
                <w:rFonts w:ascii="Times New Roman" w:hAnsi="Times New Roman" w:cs="Times New Roman"/>
                <w:sz w:val="24"/>
              </w:rPr>
              <w:t xml:space="preserve"> </w:t>
            </w:r>
          </w:p>
          <w:p>
            <w:pPr>
              <w:pStyle w:val="3"/>
              <w:outlineLvl w:val="1"/>
              <w:rPr>
                <w:rFonts w:ascii="Times New Roman" w:hAnsi="Times New Roman" w:eastAsia="宋体"/>
              </w:rPr>
            </w:pPr>
          </w:p>
          <w:p>
            <w:pPr>
              <w:pStyle w:val="3"/>
              <w:outlineLvl w:val="1"/>
              <w:rPr>
                <w:rFonts w:ascii="Times New Roman" w:hAnsi="Times New Roman" w:eastAsia="宋体"/>
              </w:rPr>
            </w:pPr>
            <w:r>
              <w:rPr>
                <w:rFonts w:ascii="Times New Roman" w:hAnsi="Times New Roman" w:eastAsia="宋体"/>
              </w:rPr>
              <w:t>1.10 生产制度及劳动定员</w:t>
            </w:r>
          </w:p>
          <w:p>
            <w:pPr>
              <w:tabs>
                <w:tab w:val="left" w:pos="624"/>
              </w:tabs>
              <w:spacing w:line="500" w:lineRule="exact"/>
              <w:ind w:firstLine="480" w:firstLineChars="200"/>
              <w:rPr>
                <w:color w:val="FF0000"/>
                <w:sz w:val="24"/>
              </w:rPr>
            </w:pP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w:t>
            </w:r>
            <w:r>
              <w:rPr>
                <w:rFonts w:ascii="宋体" w:hAnsi="宋体"/>
                <w:snapToGrid w:val="0"/>
                <w:kern w:val="0"/>
                <w:sz w:val="24"/>
              </w:rPr>
              <w:t>“</w:t>
            </w:r>
            <w:r>
              <w:rPr>
                <w:rFonts w:hint="eastAsia" w:ascii="宋体" w:hAnsi="宋体"/>
                <w:snapToGrid w:val="0"/>
                <w:kern w:val="0"/>
                <w:sz w:val="24"/>
              </w:rPr>
              <w:t>V社会事业与服务业</w:t>
            </w:r>
            <w:r>
              <w:rPr>
                <w:rFonts w:ascii="宋体" w:hAnsi="宋体"/>
                <w:snapToGrid w:val="0"/>
                <w:kern w:val="0"/>
                <w:sz w:val="24"/>
              </w:rPr>
              <w:t>—</w:t>
            </w:r>
            <w:r>
              <w:rPr>
                <w:snapToGrid w:val="0"/>
                <w:kern w:val="0"/>
                <w:sz w:val="24"/>
              </w:rPr>
              <w:t>182、</w:t>
            </w:r>
            <w:r>
              <w:rPr>
                <w:rFonts w:hint="eastAsia"/>
                <w:snapToGrid w:val="0"/>
                <w:kern w:val="0"/>
                <w:sz w:val="24"/>
              </w:rPr>
              <w:t>加油、加气站”</w:t>
            </w:r>
            <w:r>
              <w:rPr>
                <w:rFonts w:ascii="Times New Roman" w:hAnsi="Times New Roman" w:cs="Times New Roman"/>
                <w:sz w:val="24"/>
              </w:rPr>
              <w:t>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（1）卸油、加油工艺</w:t>
            </w:r>
          </w:p>
          <w:p>
            <w:pPr>
              <w:spacing w:line="500" w:lineRule="exact"/>
              <w:ind w:firstLine="480" w:firstLineChars="200"/>
              <w:rPr>
                <w:snapToGrid w:val="0"/>
                <w:kern w:val="0"/>
                <w:sz w:val="24"/>
              </w:rPr>
            </w:pPr>
            <w:r>
              <w:rPr>
                <w:rFonts w:hint="eastAsia" w:ascii="Times New Roman" w:hAnsi="Times New Roman" w:cs="Times New Roman"/>
                <w:sz w:val="24"/>
              </w:rPr>
              <w:t>本项目加油站设地下双层地埋储罐。其工艺流程为：</w:t>
            </w:r>
            <w:r>
              <w:rPr>
                <w:snapToGrid w:val="0"/>
                <w:kern w:val="0"/>
                <w:sz w:val="24"/>
              </w:rPr>
              <w:t>本项目所销售的各种规格成品汽油、柴油经专用</w:t>
            </w:r>
            <w:r>
              <w:rPr>
                <w:rFonts w:hint="eastAsia"/>
                <w:snapToGrid w:val="0"/>
                <w:kern w:val="0"/>
                <w:sz w:val="24"/>
              </w:rPr>
              <w:t>油罐车</w:t>
            </w:r>
            <w:r>
              <w:rPr>
                <w:sz w:val="24"/>
              </w:rPr>
              <w:t>进站停靠指定位置之后</w:t>
            </w:r>
            <w:r>
              <w:rPr>
                <w:snapToGrid w:val="0"/>
                <w:kern w:val="0"/>
                <w:sz w:val="24"/>
              </w:rPr>
              <w:t>，将</w:t>
            </w:r>
            <w:r>
              <w:rPr>
                <w:rFonts w:hint="eastAsia"/>
                <w:snapToGrid w:val="0"/>
                <w:kern w:val="0"/>
                <w:sz w:val="24"/>
              </w:rPr>
              <w:t>油罐车的</w:t>
            </w:r>
            <w:r>
              <w:rPr>
                <w:snapToGrid w:val="0"/>
                <w:kern w:val="0"/>
                <w:sz w:val="24"/>
              </w:rPr>
              <w:t>卸油管道与对应的储油罐连接，开启</w:t>
            </w:r>
            <w:r>
              <w:rPr>
                <w:rFonts w:hint="eastAsia"/>
                <w:snapToGrid w:val="0"/>
                <w:kern w:val="0"/>
                <w:sz w:val="24"/>
              </w:rPr>
              <w:t>油罐车</w:t>
            </w:r>
            <w:r>
              <w:rPr>
                <w:snapToGrid w:val="0"/>
                <w:kern w:val="0"/>
                <w:sz w:val="24"/>
              </w:rPr>
              <w:t>油阀，利用液位差将成品油注入地下储油罐内，</w:t>
            </w:r>
            <w:r>
              <w:rPr>
                <w:rFonts w:hAnsi="宋体"/>
                <w:sz w:val="24"/>
              </w:rPr>
              <w:t>油罐车卸油时采用密封式卸油，</w:t>
            </w:r>
            <w:r>
              <w:rPr>
                <w:rFonts w:hint="eastAsia" w:hAnsi="宋体"/>
                <w:sz w:val="24"/>
              </w:rPr>
              <w:t>通过油罐车的油气回收系统将罐内油蒸气置换至油罐车中，从而</w:t>
            </w:r>
            <w:r>
              <w:rPr>
                <w:rFonts w:hAnsi="宋体"/>
                <w:sz w:val="24"/>
              </w:rPr>
              <w:t>减少</w:t>
            </w:r>
            <w:r>
              <w:rPr>
                <w:rFonts w:hint="eastAsia" w:hAnsi="宋体"/>
                <w:sz w:val="24"/>
              </w:rPr>
              <w:t>油罐收油过程中</w:t>
            </w:r>
            <w:r>
              <w:rPr>
                <w:rFonts w:hAnsi="宋体"/>
                <w:sz w:val="24"/>
              </w:rPr>
              <w:t>油</w:t>
            </w:r>
            <w:r>
              <w:rPr>
                <w:rFonts w:hint="eastAsia" w:hAnsi="宋体"/>
                <w:sz w:val="24"/>
              </w:rPr>
              <w:t>蒸</w:t>
            </w:r>
            <w:r>
              <w:rPr>
                <w:rFonts w:hAnsi="宋体"/>
                <w:sz w:val="24"/>
              </w:rPr>
              <w:t>气</w:t>
            </w:r>
            <w:r>
              <w:rPr>
                <w:rFonts w:hint="eastAsia" w:hAnsi="宋体"/>
                <w:sz w:val="24"/>
              </w:rPr>
              <w:t>的外溢量</w:t>
            </w:r>
            <w:r>
              <w:rPr>
                <w:rFonts w:hAnsi="宋体"/>
                <w:sz w:val="24"/>
              </w:rPr>
              <w:t>，完成油气循环的卸油过程，</w:t>
            </w:r>
            <w:r>
              <w:rPr>
                <w:snapToGrid w:val="0"/>
                <w:kern w:val="0"/>
                <w:sz w:val="24"/>
              </w:rPr>
              <w:t>卸油过程中有少量</w:t>
            </w:r>
            <w:r>
              <w:rPr>
                <w:rFonts w:hint="eastAsia"/>
                <w:snapToGrid w:val="0"/>
                <w:kern w:val="0"/>
                <w:sz w:val="24"/>
              </w:rPr>
              <w:t>油气无组织排放</w:t>
            </w:r>
            <w:r>
              <w:rPr>
                <w:snapToGrid w:val="0"/>
                <w:kern w:val="0"/>
                <w:sz w:val="24"/>
              </w:rPr>
              <w:t>；根据客户所需油品类型，利用加油机将对应的储油罐内的汽油(或柴油)注入车辆</w:t>
            </w:r>
            <w:r>
              <w:rPr>
                <w:rFonts w:hint="eastAsia"/>
                <w:snapToGrid w:val="0"/>
                <w:kern w:val="0"/>
                <w:sz w:val="24"/>
              </w:rPr>
              <w:t>油箱</w:t>
            </w:r>
            <w:r>
              <w:rPr>
                <w:snapToGrid w:val="0"/>
                <w:kern w:val="0"/>
                <w:sz w:val="24"/>
              </w:rPr>
              <w:t>，即完成加油工作，</w:t>
            </w:r>
            <w:r>
              <w:rPr>
                <w:rFonts w:hint="eastAsia" w:hAnsi="宋体"/>
                <w:sz w:val="24"/>
              </w:rPr>
              <w:t>加油枪往车辆油箱内</w:t>
            </w:r>
            <w:r>
              <w:rPr>
                <w:rFonts w:hAnsi="宋体"/>
                <w:sz w:val="24"/>
              </w:rPr>
              <w:t>加油</w:t>
            </w:r>
            <w:r>
              <w:rPr>
                <w:rFonts w:hint="eastAsia" w:hAnsi="宋体"/>
                <w:sz w:val="24"/>
              </w:rPr>
              <w:t>的过程不属于全密闭式加油作业</w:t>
            </w:r>
            <w:r>
              <w:rPr>
                <w:rFonts w:hAnsi="宋体"/>
                <w:sz w:val="24"/>
              </w:rPr>
              <w:t>，</w:t>
            </w:r>
            <w:r>
              <w:rPr>
                <w:rFonts w:hint="eastAsia" w:hAnsi="宋体"/>
                <w:sz w:val="24"/>
              </w:rPr>
              <w:t>因此会有一定量的油蒸气挥发至环境中，通过</w:t>
            </w:r>
            <w:r>
              <w:rPr>
                <w:rFonts w:hAnsi="宋体"/>
                <w:sz w:val="24"/>
              </w:rPr>
              <w:t>利用加油枪上的特殊装置，将</w:t>
            </w:r>
            <w:r>
              <w:rPr>
                <w:rFonts w:hint="eastAsia" w:hAnsi="宋体"/>
                <w:sz w:val="24"/>
              </w:rPr>
              <w:t>车辆油箱内的油蒸气经油气回收系统回收入储罐内。</w:t>
            </w:r>
            <w:r>
              <w:rPr>
                <w:snapToGrid w:val="0"/>
                <w:kern w:val="0"/>
                <w:sz w:val="24"/>
              </w:rPr>
              <w:t>在油枪向油箱内加油过程中也有少量</w:t>
            </w:r>
            <w:r>
              <w:rPr>
                <w:rFonts w:hint="eastAsia"/>
                <w:snapToGrid w:val="0"/>
                <w:kern w:val="0"/>
                <w:sz w:val="24"/>
              </w:rPr>
              <w:t>油气无组织废气排放</w:t>
            </w:r>
            <w:r>
              <w:rPr>
                <w:snapToGrid w:val="0"/>
                <w:kern w:val="0"/>
                <w:sz w:val="24"/>
              </w:rPr>
              <w:t>。</w:t>
            </w:r>
          </w:p>
          <w:p>
            <w:pPr>
              <w:spacing w:line="360" w:lineRule="auto"/>
              <w:ind w:firstLine="480" w:firstLineChars="200"/>
              <w:rPr>
                <w:rFonts w:ascii="Times New Roman" w:hAnsi="Times New Roman" w:cs="Times New Roman"/>
                <w:sz w:val="24"/>
              </w:rPr>
            </w:pPr>
            <w:r>
              <w:rPr>
                <w:snapToGrid w:val="0"/>
                <w:kern w:val="0"/>
                <w:sz w:val="24"/>
              </w:rPr>
              <w:t>储罐呼吸、加油作业和油罐车卸油灌注时</w:t>
            </w:r>
            <w:r>
              <w:rPr>
                <w:rFonts w:hint="eastAsia"/>
                <w:snapToGrid w:val="0"/>
                <w:kern w:val="0"/>
                <w:sz w:val="24"/>
              </w:rPr>
              <w:t>有少量油气无组织排放</w:t>
            </w:r>
            <w:r>
              <w:rPr>
                <w:rFonts w:hint="eastAsia" w:ascii="Times New Roman" w:hAnsi="Times New Roman" w:cs="Times New Roman"/>
                <w:sz w:val="24"/>
              </w:rPr>
              <w:t>。加油站工艺流程</w:t>
            </w:r>
            <w:r>
              <w:rPr>
                <w:rFonts w:ascii="Times New Roman" w:hAnsi="Times New Roman" w:cs="Times New Roman"/>
                <w:sz w:val="24"/>
              </w:rPr>
              <w:t>及排污节点见图1-3。</w:t>
            </w:r>
          </w:p>
          <w:p>
            <w:pPr>
              <w:tabs>
                <w:tab w:val="left" w:pos="4320"/>
                <w:tab w:val="center" w:pos="4361"/>
              </w:tabs>
              <w:jc w:val="center"/>
            </w:pPr>
          </w:p>
          <w:p>
            <w:pPr>
              <w:tabs>
                <w:tab w:val="left" w:pos="4320"/>
                <w:tab w:val="center" w:pos="4361"/>
              </w:tabs>
              <w:jc w:val="center"/>
              <w:rPr>
                <w:rFonts w:ascii="Times New Roman" w:hAnsi="Times New Roman" w:cs="Times New Roman"/>
                <w:b/>
                <w:sz w:val="28"/>
                <w:szCs w:val="28"/>
              </w:rPr>
            </w:pPr>
            <w:r>
              <w:drawing>
                <wp:inline distT="0" distB="0" distL="0" distR="0">
                  <wp:extent cx="4306570" cy="2051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l="27227" t="26649" r="27888" b="43955"/>
                          <a:stretch>
                            <a:fillRect/>
                          </a:stretch>
                        </pic:blipFill>
                        <pic:spPr>
                          <a:xfrm>
                            <a:off x="0" y="0"/>
                            <a:ext cx="4306570" cy="2051050"/>
                          </a:xfrm>
                          <a:prstGeom prst="rect">
                            <a:avLst/>
                          </a:prstGeom>
                          <a:ln>
                            <a:noFill/>
                          </a:ln>
                        </pic:spPr>
                      </pic:pic>
                    </a:graphicData>
                  </a:graphic>
                </wp:inline>
              </w:drawing>
            </w: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图1-3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8"/>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8"/>
              <w:numPr>
                <w:ilvl w:val="0"/>
                <w:numId w:val="4"/>
              </w:numPr>
              <w:spacing w:line="360" w:lineRule="auto"/>
              <w:ind w:firstLineChars="0"/>
              <w:rPr>
                <w:sz w:val="24"/>
              </w:rPr>
            </w:pPr>
            <w:r>
              <w:rPr>
                <w:rFonts w:hint="eastAsia"/>
                <w:sz w:val="24"/>
              </w:rPr>
              <w:t>油罐的事故泄漏、着火或爆炸是引起大气及水污染的风险性因素；</w:t>
            </w:r>
          </w:p>
          <w:p>
            <w:pPr>
              <w:pStyle w:val="38"/>
              <w:numPr>
                <w:ilvl w:val="0"/>
                <w:numId w:val="4"/>
              </w:numPr>
              <w:spacing w:line="360" w:lineRule="auto"/>
              <w:ind w:firstLineChars="0"/>
              <w:rPr>
                <w:sz w:val="24"/>
              </w:rPr>
            </w:pPr>
            <w:r>
              <w:rPr>
                <w:rFonts w:hint="eastAsia"/>
                <w:sz w:val="24"/>
              </w:rPr>
              <w:t>地面冲洗会产生含油废水；</w:t>
            </w:r>
          </w:p>
          <w:p>
            <w:pPr>
              <w:pStyle w:val="38"/>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8"/>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ind w:firstLine="240" w:firstLineChars="1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pStyle w:val="38"/>
              <w:numPr>
                <w:ilvl w:val="0"/>
                <w:numId w:val="5"/>
              </w:numPr>
              <w:spacing w:line="360" w:lineRule="auto"/>
              <w:ind w:firstLineChars="0"/>
              <w:rPr>
                <w:sz w:val="24"/>
              </w:rPr>
            </w:pPr>
            <w:r>
              <w:rPr>
                <w:rFonts w:hint="eastAsia"/>
                <w:sz w:val="24"/>
              </w:rPr>
              <w:t>大气污染工序</w:t>
            </w:r>
          </w:p>
          <w:p>
            <w:pPr>
              <w:tabs>
                <w:tab w:val="left" w:pos="624"/>
              </w:tabs>
              <w:spacing w:line="360" w:lineRule="auto"/>
              <w:ind w:firstLine="480" w:firstLineChars="200"/>
              <w:rPr>
                <w:rFonts w:hAnsi="宋体"/>
                <w:sz w:val="24"/>
              </w:rPr>
            </w:pPr>
            <w:r>
              <w:rPr>
                <w:rFonts w:hint="eastAsia" w:hAnsi="宋体"/>
                <w:sz w:val="24"/>
              </w:rPr>
              <w:t>本项运营过程中产生的大气污染物主要为汽车尾气和油气。</w:t>
            </w:r>
          </w:p>
          <w:p>
            <w:pPr>
              <w:spacing w:line="360" w:lineRule="auto"/>
              <w:ind w:firstLine="480" w:firstLineChars="200"/>
              <w:rPr>
                <w:sz w:val="24"/>
              </w:rPr>
            </w:pPr>
            <w:r>
              <w:rPr>
                <w:rFonts w:ascii="Calibri" w:hAnsi="Calibri" w:cs="Calibri"/>
                <w:sz w:val="24"/>
              </w:rPr>
              <w:t>②</w:t>
            </w:r>
            <w:r>
              <w:rPr>
                <w:rFonts w:hint="eastAsia"/>
                <w:sz w:val="24"/>
              </w:rPr>
              <w:t>水污染工序</w:t>
            </w:r>
          </w:p>
          <w:p>
            <w:pPr>
              <w:spacing w:line="360" w:lineRule="auto"/>
              <w:ind w:firstLine="480" w:firstLineChars="200"/>
              <w:rPr>
                <w:sz w:val="24"/>
              </w:rPr>
            </w:pPr>
            <w:r>
              <w:rPr>
                <w:rFonts w:hint="eastAsia"/>
                <w:sz w:val="24"/>
              </w:rPr>
              <w:t>水污染主要为员工生活污水加油作业区地面冲洗废水。</w:t>
            </w:r>
          </w:p>
          <w:p>
            <w:pPr>
              <w:spacing w:line="360" w:lineRule="auto"/>
              <w:ind w:firstLine="480" w:firstLineChars="200"/>
              <w:rPr>
                <w:sz w:val="24"/>
              </w:rPr>
            </w:pPr>
            <w:r>
              <w:rPr>
                <w:rFonts w:ascii="Calibri" w:hAnsi="Calibri" w:cs="Calibri"/>
                <w:sz w:val="24"/>
              </w:rPr>
              <w:t>③</w:t>
            </w:r>
            <w:r>
              <w:rPr>
                <w:rFonts w:hint="eastAsia"/>
                <w:sz w:val="24"/>
              </w:rPr>
              <w:t>噪声污染工序</w:t>
            </w:r>
          </w:p>
          <w:p>
            <w:pPr>
              <w:adjustRightInd w:val="0"/>
              <w:snapToGrid w:val="0"/>
              <w:spacing w:line="360" w:lineRule="auto"/>
              <w:ind w:firstLine="480" w:firstLineChars="200"/>
              <w:rPr>
                <w:sz w:val="24"/>
              </w:rPr>
            </w:pPr>
            <w:r>
              <w:rPr>
                <w:rFonts w:hint="eastAsia"/>
                <w:sz w:val="24"/>
              </w:rPr>
              <w:t>噪声污染主要为设备运转时产生的设备噪声及进出加油站车辆产生的交通噪声。</w:t>
            </w:r>
          </w:p>
          <w:p>
            <w:pPr>
              <w:spacing w:line="360" w:lineRule="auto"/>
              <w:ind w:firstLine="480" w:firstLineChars="200"/>
              <w:rPr>
                <w:sz w:val="24"/>
              </w:rPr>
            </w:pPr>
            <w:r>
              <w:rPr>
                <w:rFonts w:ascii="Calibri" w:hAnsi="Calibri" w:cs="Calibri"/>
                <w:sz w:val="24"/>
              </w:rPr>
              <w:t>④</w:t>
            </w:r>
            <w:r>
              <w:rPr>
                <w:rFonts w:hint="eastAsia"/>
                <w:sz w:val="24"/>
              </w:rPr>
              <w:t>固体废物污染工序</w:t>
            </w:r>
          </w:p>
          <w:p>
            <w:pPr>
              <w:tabs>
                <w:tab w:val="left" w:pos="624"/>
              </w:tabs>
              <w:spacing w:line="360" w:lineRule="auto"/>
              <w:ind w:firstLine="480" w:firstLineChars="200"/>
              <w:rPr>
                <w:rFonts w:hAnsi="宋体"/>
                <w:sz w:val="24"/>
              </w:rPr>
            </w:pPr>
            <w:r>
              <w:rPr>
                <w:rFonts w:hint="eastAsia" w:hAnsi="宋体"/>
                <w:sz w:val="24"/>
              </w:rPr>
              <w:t>项目运行期固体废物主要为员工生活垃圾、隔油池</w:t>
            </w:r>
            <w:r>
              <w:rPr>
                <w:rFonts w:hint="eastAsia"/>
                <w:sz w:val="24"/>
              </w:rPr>
              <w:t>撇除的浮油和底泥以及油罐油垢</w:t>
            </w:r>
            <w:r>
              <w:rPr>
                <w:rFonts w:hint="eastAsia" w:hAnsi="宋体"/>
                <w:sz w:val="24"/>
              </w:rPr>
              <w:t>。</w:t>
            </w:r>
          </w:p>
          <w:p>
            <w:pPr>
              <w:adjustRightInd w:val="0"/>
              <w:snapToGrid w:val="0"/>
              <w:spacing w:line="360" w:lineRule="auto"/>
              <w:ind w:firstLine="480" w:firstLineChars="200"/>
              <w:jc w:val="left"/>
              <w:rPr>
                <w:rFonts w:ascii="Times New Roman" w:hAnsi="Times New Roman" w:cs="Times New Roman"/>
                <w:sz w:val="24"/>
              </w:rPr>
            </w:pP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adjustRightInd w:val="0"/>
              <w:snapToGrid w:val="0"/>
              <w:spacing w:line="520" w:lineRule="exact"/>
              <w:ind w:firstLine="480" w:firstLineChars="200"/>
              <w:rPr>
                <w:color w:val="auto"/>
                <w:sz w:val="24"/>
              </w:rPr>
            </w:pPr>
            <w:r>
              <w:rPr>
                <w:sz w:val="24"/>
              </w:rPr>
              <w:t>项目采取雨污分流，屋面雨水经落水管流至地面，与地面雨水汇集到排雨水沟排</w:t>
            </w:r>
            <w:r>
              <w:rPr>
                <w:rFonts w:hint="eastAsia"/>
                <w:sz w:val="24"/>
              </w:rPr>
              <w:t>出站外</w:t>
            </w:r>
            <w:r>
              <w:rPr>
                <w:sz w:val="24"/>
              </w:rPr>
              <w:t>；项目废水场地冲洗水经隔油池预处理与其他生活</w:t>
            </w:r>
            <w:r>
              <w:rPr>
                <w:rFonts w:hint="eastAsia"/>
                <w:sz w:val="24"/>
              </w:rPr>
              <w:t>废水</w:t>
            </w:r>
            <w:r>
              <w:rPr>
                <w:sz w:val="24"/>
              </w:rPr>
              <w:t>一并</w:t>
            </w:r>
            <w:r>
              <w:rPr>
                <w:rFonts w:hint="eastAsia"/>
                <w:sz w:val="24"/>
              </w:rPr>
              <w:t>进入</w:t>
            </w:r>
            <w:r>
              <w:rPr>
                <w:rFonts w:hint="eastAsia" w:hAnsi="宋体"/>
                <w:color w:val="auto"/>
                <w:sz w:val="24"/>
              </w:rPr>
              <w:t>站区污水处理</w:t>
            </w:r>
            <w:r>
              <w:rPr>
                <w:rFonts w:hint="eastAsia" w:hAnsi="宋体"/>
                <w:color w:val="auto"/>
                <w:sz w:val="24"/>
                <w:lang w:eastAsia="zh-CN"/>
              </w:rPr>
              <w:t>系统</w:t>
            </w:r>
            <w:r>
              <w:rPr>
                <w:rFonts w:hint="eastAsia" w:hAnsi="宋体"/>
                <w:color w:val="auto"/>
                <w:sz w:val="24"/>
              </w:rPr>
              <w:t>，</w:t>
            </w:r>
            <w:r>
              <w:rPr>
                <w:rFonts w:hint="eastAsia"/>
                <w:color w:val="auto"/>
                <w:sz w:val="24"/>
              </w:rPr>
              <w:t>采用“化粪池＋地沟式土地处理系统”处理，</w:t>
            </w:r>
            <w:r>
              <w:rPr>
                <w:rFonts w:hint="eastAsia" w:hAnsi="宋体"/>
                <w:color w:val="auto"/>
                <w:sz w:val="24"/>
              </w:rPr>
              <w:t>将上述废水处理</w:t>
            </w:r>
            <w:r>
              <w:rPr>
                <w:rFonts w:hint="eastAsia"/>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hAnsi="宋体"/>
                <w:color w:val="auto"/>
                <w:sz w:val="24"/>
              </w:rPr>
              <w:t>要求后用于站区道路洒水降尘和绿化使用，不外排。</w:t>
            </w:r>
          </w:p>
          <w:p>
            <w:pPr>
              <w:tabs>
                <w:tab w:val="left" w:pos="1350"/>
              </w:tabs>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sz w:val="24"/>
              </w:rPr>
              <w:t>项目大气污染主要为</w:t>
            </w:r>
            <w:r>
              <w:rPr>
                <w:rFonts w:hint="eastAsia"/>
                <w:sz w:val="24"/>
              </w:rPr>
              <w:t>油罐收发油过程中大呼吸蒸发损失的油蒸气，储罐自身受外界环境影响引发的小呼吸蒸发损失的油蒸气和加油作业中由加油枪与车辆油箱的空隙中散发出的油蒸气，油蒸汽表征出的大气污染因子为非甲烷总烃</w:t>
            </w:r>
            <w:r>
              <w:rPr>
                <w:rFonts w:hint="eastAsia"/>
                <w:color w:val="000000"/>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废气：加油站在汽油系统设密闭卸油油气回收系统、加油油气回收系统及油罐小呼吸油气后处理装置，对柴油系统设置卸油回气管。这样可以一定程度上减少非甲烷总烃的排放。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项目采用</w:t>
            </w:r>
            <w:r>
              <w:rPr>
                <w:rFonts w:hint="eastAsia" w:ascii="Times New Roman" w:hAnsi="Times New Roman" w:cs="Times New Roman"/>
                <w:sz w:val="24"/>
              </w:rPr>
              <w:t>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这样可以一定程度上减少非甲烷总烃的排放。而且本加油站毗临道路，站址较开阔，空气流动良好，排放的烃类有害物质量较少，经大气扩散后，虽会对周围空气造成轻微污染，</w:t>
            </w:r>
            <w:r>
              <w:rPr>
                <w:rFonts w:hint="eastAsia" w:hAnsi="宋体"/>
                <w:sz w:val="24"/>
              </w:rPr>
              <w:t>对附近居民的影响较小</w:t>
            </w:r>
            <w:r>
              <w:rPr>
                <w:rFonts w:ascii="Times New Roman" w:hAnsi="Times New Roman" w:cs="Times New Roman"/>
                <w:sz w:val="24"/>
              </w:rPr>
              <w:t>。</w:t>
            </w:r>
          </w:p>
          <w:p>
            <w:pPr>
              <w:spacing w:line="500" w:lineRule="exact"/>
              <w:ind w:firstLine="420" w:firstLineChars="200"/>
              <w:rPr>
                <w:sz w:val="24"/>
              </w:rPr>
            </w:pPr>
            <w:r>
              <w:rPr>
                <w:rFonts w:ascii="Times New Roman" w:hAnsi="Times New Roman" w:cs="Times New Roman"/>
              </w:rPr>
              <w:t>（2）</w:t>
            </w:r>
            <w:r>
              <w:rPr>
                <w:rFonts w:ascii="Times New Roman" w:hAnsi="Times New Roman" w:cs="Times New Roman"/>
                <w:sz w:val="24"/>
              </w:rPr>
              <w:t>对于汽车尾气</w:t>
            </w:r>
            <w:r>
              <w:rPr>
                <w:rFonts w:ascii="Times New Roman" w:hAnsi="Times New Roman" w:cs="Times New Roman"/>
              </w:rPr>
              <w:t>：</w:t>
            </w:r>
            <w:r>
              <w:rPr>
                <w:rFonts w:hint="eastAsia"/>
                <w:sz w:val="24"/>
              </w:rPr>
              <w:t>待加油车辆在进出场地时均呈怠速行驶状态，该状态下的汽车会排放一定量的尾气</w:t>
            </w:r>
            <w:r>
              <w:rPr>
                <w:spacing w:val="-4"/>
                <w:sz w:val="24"/>
              </w:rPr>
              <w:t>。</w:t>
            </w:r>
            <w:r>
              <w:rPr>
                <w:rFonts w:hint="eastAsia" w:ascii="宋体" w:cs="宋体"/>
                <w:bCs/>
                <w:kern w:val="0"/>
                <w:sz w:val="24"/>
              </w:rPr>
              <w:t>汽车尾气的排放量与车型、车况和车辆数等有关，</w:t>
            </w:r>
            <w:r>
              <w:rPr>
                <w:sz w:val="24"/>
              </w:rPr>
              <w:t>由于汽车启动时间较短，同一时间内同时启动的车辆数量不大，汽车尾气产生量小</w:t>
            </w:r>
            <w:r>
              <w:rPr>
                <w:rFonts w:hint="eastAsia"/>
                <w:sz w:val="24"/>
              </w:rPr>
              <w:t>，</w:t>
            </w:r>
            <w:r>
              <w:rPr>
                <w:rFonts w:hint="eastAsia" w:ascii="Times New Roman" w:hAnsi="Times New Roman" w:cs="Times New Roman"/>
                <w:sz w:val="24"/>
              </w:rPr>
              <w:t>本项目</w:t>
            </w:r>
            <w:r>
              <w:rPr>
                <w:rFonts w:ascii="Times New Roman" w:hAnsi="Times New Roman" w:cs="Times New Roman"/>
                <w:sz w:val="24"/>
              </w:rPr>
              <w:t>绿化</w:t>
            </w:r>
            <w:r>
              <w:rPr>
                <w:rFonts w:hint="eastAsia" w:ascii="Times New Roman" w:hAnsi="Times New Roman" w:cs="Times New Roman"/>
                <w:sz w:val="24"/>
              </w:rPr>
              <w:t>率较高达31.</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w:t>
            </w:r>
            <w:r>
              <w:rPr>
                <w:rFonts w:hint="eastAsia"/>
                <w:sz w:val="24"/>
              </w:rPr>
              <w:t>对</w:t>
            </w:r>
            <w:r>
              <w:rPr>
                <w:sz w:val="24"/>
              </w:rPr>
              <w:t>汽车尾气可起到一定的吸收作用</w:t>
            </w:r>
            <w:r>
              <w:rPr>
                <w:rFonts w:hint="eastAsia"/>
                <w:sz w:val="24"/>
              </w:rPr>
              <w:t>，另外通过对</w:t>
            </w:r>
            <w:r>
              <w:rPr>
                <w:rFonts w:ascii="Times New Roman" w:hAnsi="Times New Roman" w:cs="Times New Roman"/>
                <w:sz w:val="24"/>
              </w:rPr>
              <w:t>加油车辆的管理及自然扩散，汽车尾气对</w:t>
            </w:r>
            <w:r>
              <w:rPr>
                <w:rFonts w:hint="eastAsia" w:ascii="Times New Roman" w:hAnsi="Times New Roman" w:cs="Times New Roman"/>
                <w:sz w:val="24"/>
              </w:rPr>
              <w:t>周边</w:t>
            </w:r>
            <w:r>
              <w:rPr>
                <w:rFonts w:ascii="Times New Roman" w:hAnsi="Times New Roman" w:cs="Times New Roman"/>
                <w:sz w:val="24"/>
              </w:rPr>
              <w:t>环境影响较小。</w:t>
            </w:r>
          </w:p>
          <w:p>
            <w:pPr>
              <w:pStyle w:val="9"/>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本项目通过设置油气回收系统、自然扩散、绿化</w:t>
            </w:r>
            <w:r>
              <w:rPr>
                <w:rFonts w:hint="eastAsia" w:ascii="Times New Roman" w:hAnsi="Times New Roman" w:cs="Times New Roman"/>
              </w:rPr>
              <w:t>吸收</w:t>
            </w:r>
            <w:r>
              <w:rPr>
                <w:rFonts w:ascii="Times New Roman" w:hAnsi="Times New Roman" w:cs="Times New Roman"/>
              </w:rPr>
              <w:t>及</w:t>
            </w:r>
            <w:r>
              <w:rPr>
                <w:rFonts w:hint="eastAsia" w:ascii="Times New Roman" w:hAnsi="Times New Roman" w:cs="Times New Roman"/>
              </w:rPr>
              <w:t>对</w:t>
            </w:r>
            <w:r>
              <w:rPr>
                <w:rFonts w:ascii="Times New Roman" w:hAnsi="Times New Roman" w:cs="Times New Roman"/>
              </w:rPr>
              <w:t>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w:t>
            </w:r>
            <w:r>
              <w:rPr>
                <w:rFonts w:ascii="Times New Roman" w:hAnsi="Times New Roman" w:cs="Times New Roman"/>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hint="eastAsia" w:ascii="Times New Roman" w:hAnsi="Times New Roman" w:cs="Times New Roman"/>
                <w:b/>
                <w:bCs/>
                <w:sz w:val="24"/>
              </w:rPr>
              <w:t>对</w:t>
            </w:r>
            <w:r>
              <w:rPr>
                <w:sz w:val="24"/>
              </w:rPr>
              <w:t>加油泵、备用柴油发电机</w:t>
            </w:r>
            <w:r>
              <w:rPr>
                <w:rFonts w:ascii="Times New Roman" w:hAnsi="Times New Roman" w:cs="Times New Roman"/>
                <w:sz w:val="24"/>
              </w:rPr>
              <w:t>采用低噪声设备，对泵体等高噪声设备采取</w:t>
            </w:r>
            <w:r>
              <w:rPr>
                <w:rFonts w:hint="eastAsia" w:ascii="Times New Roman" w:hAnsi="Times New Roman" w:cs="Times New Roman"/>
                <w:sz w:val="24"/>
              </w:rPr>
              <w:t>减震</w:t>
            </w:r>
            <w:r>
              <w:rPr>
                <w:rFonts w:ascii="Times New Roman" w:hAnsi="Times New Roman" w:cs="Times New Roman"/>
                <w:sz w:val="24"/>
              </w:rPr>
              <w:t>隔音降噪</w:t>
            </w:r>
            <w:r>
              <w:rPr>
                <w:rFonts w:hint="eastAsia" w:ascii="Times New Roman" w:hAnsi="Times New Roman" w:cs="Times New Roman"/>
                <w:sz w:val="24"/>
              </w:rPr>
              <w:t>措施</w:t>
            </w:r>
            <w:r>
              <w:rPr>
                <w:rFonts w:ascii="Times New Roman" w:hAnsi="Times New Roman" w:cs="Times New Roman"/>
                <w:sz w:val="24"/>
              </w:rPr>
              <w:t>；</w:t>
            </w:r>
            <w:r>
              <w:rPr>
                <w:rFonts w:hint="eastAsia" w:ascii="Times New Roman" w:hAnsi="Times New Roman" w:cs="Times New Roman"/>
                <w:sz w:val="24"/>
              </w:rPr>
              <w:t>机动车</w:t>
            </w:r>
            <w:r>
              <w:rPr>
                <w:rFonts w:ascii="Times New Roman" w:hAnsi="Times New Roman" w:cs="Times New Roman"/>
                <w:sz w:val="24"/>
              </w:rPr>
              <w:t>在项目区域内加强交通管理，做好交通疏导，限制进入区域内车辆的车速，</w:t>
            </w:r>
            <w:r>
              <w:rPr>
                <w:kern w:val="0"/>
                <w:sz w:val="24"/>
              </w:rPr>
              <w:t>合理规划车流方向，保持项目区内的车流畅通</w:t>
            </w:r>
            <w:r>
              <w:rPr>
                <w:rFonts w:hint="eastAsia"/>
                <w:kern w:val="0"/>
                <w:sz w:val="24"/>
              </w:rPr>
              <w:t>，</w:t>
            </w:r>
            <w:r>
              <w:rPr>
                <w:rFonts w:ascii="Times New Roman" w:hAnsi="Times New Roman" w:cs="Times New Roman"/>
                <w:sz w:val="24"/>
              </w:rPr>
              <w:t>同时，禁止在区域内鸣喇叭；备用发电机噪声通过优选低噪声设备、建筑隔声、防振、消声措施控制，站区内、外加强绿化</w:t>
            </w:r>
            <w:r>
              <w:rPr>
                <w:rFonts w:hint="eastAsia" w:ascii="Times New Roman" w:hAnsi="Times New Roman" w:cs="Times New Roman"/>
                <w:sz w:val="24"/>
              </w:rPr>
              <w:t>（绿化面积占31.</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等措施，减小项目产生的噪声对周边环境的影响。</w:t>
            </w:r>
          </w:p>
          <w:p>
            <w:pPr>
              <w:pStyle w:val="9"/>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hint="eastAsia"/>
                <w:bCs/>
                <w:sz w:val="24"/>
                <w:lang w:eastAsia="zh-CN"/>
              </w:rPr>
            </w:pPr>
            <w:r>
              <w:rPr>
                <w:bCs/>
                <w:sz w:val="24"/>
              </w:rPr>
              <w:t>项目营运期产生的固体废物主要是生活垃圾、油垢、浮油和底泥</w:t>
            </w:r>
            <w:r>
              <w:rPr>
                <w:rFonts w:hint="eastAsia"/>
                <w:bCs/>
                <w:sz w:val="24"/>
                <w:lang w:eastAsia="zh-CN"/>
              </w:rPr>
              <w:t>。</w:t>
            </w:r>
          </w:p>
          <w:p>
            <w:pPr>
              <w:spacing w:line="336" w:lineRule="auto"/>
              <w:ind w:firstLine="482"/>
              <w:rPr>
                <w:rFonts w:ascii="Times New Roman" w:hAnsi="Times New Roman" w:cs="Times New Roman"/>
                <w:sz w:val="24"/>
              </w:rPr>
            </w:pPr>
            <w:r>
              <w:rPr>
                <w:bCs/>
                <w:sz w:val="24"/>
              </w:rPr>
              <w:t>生活垃圾经</w:t>
            </w:r>
            <w:r>
              <w:rPr>
                <w:sz w:val="24"/>
              </w:rPr>
              <w:t>收集后暂存于垃圾收集点内，委托环卫部门统一清运处理</w:t>
            </w:r>
            <w:r>
              <w:rPr>
                <w:rFonts w:ascii="Times New Roman" w:hAnsi="Times New Roman" w:cs="Times New Roman"/>
                <w:sz w:val="24"/>
              </w:rPr>
              <w:t>。</w:t>
            </w:r>
          </w:p>
          <w:p>
            <w:pPr>
              <w:tabs>
                <w:tab w:val="left" w:pos="-423"/>
                <w:tab w:val="left" w:pos="7347"/>
              </w:tabs>
              <w:spacing w:line="500" w:lineRule="exact"/>
              <w:ind w:firstLine="472" w:firstLineChars="197"/>
              <w:rPr>
                <w:bCs/>
                <w:sz w:val="24"/>
              </w:rPr>
            </w:pPr>
            <w:r>
              <w:rPr>
                <w:bCs/>
                <w:sz w:val="24"/>
              </w:rPr>
              <w:t>油垢、浮油和底泥为危险废物，经收集后委托有危险废物处置资质的单位处理。</w:t>
            </w:r>
          </w:p>
          <w:p>
            <w:pPr>
              <w:tabs>
                <w:tab w:val="left" w:pos="-423"/>
                <w:tab w:val="left" w:pos="7347"/>
              </w:tabs>
              <w:spacing w:line="500" w:lineRule="exact"/>
              <w:ind w:firstLine="472" w:firstLineChars="197"/>
              <w:rPr>
                <w:color w:val="FF0000"/>
                <w:sz w:val="24"/>
              </w:rPr>
            </w:pPr>
            <w:r>
              <w:rPr>
                <w:bCs/>
                <w:sz w:val="24"/>
              </w:rPr>
              <w:t>项目营运期产生的固体废物均能得到妥善处置，</w:t>
            </w:r>
            <w:r>
              <w:rPr>
                <w:sz w:val="24"/>
              </w:rPr>
              <w:t>对周围环境影响较小</w:t>
            </w:r>
            <w:r>
              <w:rPr>
                <w:color w:val="FF0000"/>
                <w:sz w:val="24"/>
              </w:rPr>
              <w:t>。</w:t>
            </w:r>
          </w:p>
          <w:p>
            <w:pPr>
              <w:pStyle w:val="9"/>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6"/>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330"/>
              <w:gridCol w:w="1378"/>
              <w:gridCol w:w="992"/>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33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37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330"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采用密闭加油、卸油设备，加强密封性，减少废气泄漏</w:t>
                  </w:r>
                  <w:r>
                    <w:rPr>
                      <w:rFonts w:hint="eastAsia" w:ascii="Times New Roman" w:hAnsi="Times New Roman" w:cs="Times New Roman"/>
                      <w:szCs w:val="21"/>
                    </w:rPr>
                    <w:t>，设置油汽回收系统</w:t>
                  </w:r>
                </w:p>
              </w:tc>
              <w:tc>
                <w:tcPr>
                  <w:tcW w:w="1378"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rPr>
                      <w:rFonts w:hint="eastAsia"/>
                    </w:rPr>
                    <w:t>員工生活污水</w:t>
                  </w:r>
                  <w:r>
                    <w:t>、 地 坪冲洗水</w:t>
                  </w:r>
                </w:p>
              </w:tc>
              <w:tc>
                <w:tcPr>
                  <w:tcW w:w="127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330" w:type="dxa"/>
                  <w:tcBorders>
                    <w:tl2br w:val="nil"/>
                    <w:tr2bl w:val="nil"/>
                  </w:tcBorders>
                  <w:vAlign w:val="center"/>
                </w:tcPr>
                <w:p>
                  <w:pPr>
                    <w:rPr>
                      <w:rFonts w:ascii="Times New Roman" w:hAnsi="Times New Roman" w:cs="Times New Roman"/>
                      <w:bCs/>
                      <w:szCs w:val="21"/>
                    </w:rPr>
                  </w:pPr>
                  <w:r>
                    <w:t>场地冲洗水经隔油池预处理与其他生活污水一并进入</w:t>
                  </w:r>
                  <w:r>
                    <w:rPr>
                      <w:rFonts w:hint="eastAsia"/>
                    </w:rPr>
                    <w:t>战区污水处理站</w:t>
                  </w:r>
                  <w:r>
                    <w:t>，</w:t>
                  </w:r>
                  <w:r>
                    <w:rPr>
                      <w:rFonts w:hint="eastAsia"/>
                    </w:rPr>
                    <w:t>处理规模为</w:t>
                  </w:r>
                  <w:r>
                    <w:rPr>
                      <w:rFonts w:hint="eastAsia"/>
                      <w:color w:val="auto"/>
                      <w:szCs w:val="21"/>
                    </w:rPr>
                    <w:t>5m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，采用“化粪池＋地沟式土地处理系统”工艺，处理</w:t>
                  </w:r>
                  <w:r>
                    <w:rPr>
                      <w:rFonts w:hint="eastAsia" w:ascii="宋体" w:hAnsi="宋体"/>
                      <w:color w:val="auto"/>
                      <w:szCs w:val="21"/>
                    </w:rPr>
                    <w:t>达到</w:t>
                  </w:r>
                  <w:r>
                    <w:rPr>
                      <w:rFonts w:hAnsi="宋体"/>
                      <w:color w:val="auto"/>
                      <w:szCs w:val="21"/>
                    </w:rPr>
                    <w:t>《城市污水再生利用</w:t>
                  </w:r>
                  <w:r>
                    <w:rPr>
                      <w:color w:val="auto"/>
                      <w:szCs w:val="21"/>
                    </w:rPr>
                    <w:t xml:space="preserve"> </w:t>
                  </w:r>
                  <w:r>
                    <w:rPr>
                      <w:rFonts w:hAnsi="宋体"/>
                      <w:color w:val="auto"/>
                      <w:szCs w:val="21"/>
                    </w:rPr>
                    <w:t>城市杂用水水质》</w:t>
                  </w:r>
                  <w:r>
                    <w:rPr>
                      <w:rFonts w:hint="eastAsia" w:hAnsi="宋体"/>
                      <w:color w:val="auto"/>
                      <w:szCs w:val="21"/>
                    </w:rPr>
                    <w:t>（</w:t>
                  </w:r>
                  <w:r>
                    <w:rPr>
                      <w:color w:val="auto"/>
                      <w:szCs w:val="21"/>
                    </w:rPr>
                    <w:t>GB/T18920-2002</w:t>
                  </w:r>
                  <w:r>
                    <w:rPr>
                      <w:rFonts w:hint="eastAsia"/>
                      <w:color w:val="auto"/>
                      <w:szCs w:val="21"/>
                    </w:rPr>
                    <w:t>）</w:t>
                  </w:r>
                  <w:r>
                    <w:rPr>
                      <w:rFonts w:hAnsi="宋体"/>
                      <w:color w:val="auto"/>
                      <w:szCs w:val="21"/>
                    </w:rPr>
                    <w:t>标准</w:t>
                  </w:r>
                  <w:r>
                    <w:rPr>
                      <w:rFonts w:hint="eastAsia"/>
                      <w:bCs/>
                      <w:color w:val="auto"/>
                      <w:szCs w:val="21"/>
                    </w:rPr>
                    <w:t>要求</w:t>
                  </w:r>
                  <w:r>
                    <w:rPr>
                      <w:rFonts w:hint="eastAsia" w:hAnsi="宋体"/>
                      <w:bCs/>
                      <w:szCs w:val="21"/>
                    </w:rPr>
                    <w:t>，再用于道路洒水降尘和站区绿化</w:t>
                  </w:r>
                  <w:r>
                    <w:rPr>
                      <w:rFonts w:hint="eastAsia" w:ascii="宋体" w:hAnsi="宋体"/>
                      <w:bCs/>
                      <w:szCs w:val="21"/>
                    </w:rPr>
                    <w:t>。</w:t>
                  </w:r>
                  <w:r>
                    <w:t>不外排</w:t>
                  </w:r>
                </w:p>
              </w:tc>
              <w:tc>
                <w:tcPr>
                  <w:tcW w:w="1378"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330"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r>
                    <w:rPr>
                      <w:rFonts w:hint="eastAsia" w:ascii="Times New Roman" w:hAnsi="Times New Roman" w:cs="Times New Roman"/>
                      <w:szCs w:val="21"/>
                    </w:rPr>
                    <w:t>集中处理</w:t>
                  </w:r>
                </w:p>
              </w:tc>
              <w:tc>
                <w:tcPr>
                  <w:tcW w:w="3104"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33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w:t>
                  </w:r>
                </w:p>
              </w:tc>
              <w:tc>
                <w:tcPr>
                  <w:tcW w:w="3104"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w:t>
                  </w:r>
                  <w:r>
                    <w:rPr>
                      <w:rFonts w:hint="eastAsia"/>
                    </w:rPr>
                    <w:t>、</w:t>
                  </w:r>
                  <w:r>
                    <w:t>生化池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r>
                    <w:rPr>
                      <w:rFonts w:hint="eastAsia"/>
                    </w:rPr>
                    <w:t>和底泥</w:t>
                  </w:r>
                </w:p>
              </w:tc>
              <w:tc>
                <w:tcPr>
                  <w:tcW w:w="2330"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szCs w:val="21"/>
                    </w:rPr>
                    <w:t>设置危废暂存间，并定期交由有资质单位处理</w:t>
                  </w: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33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hAnsi="宋体"/>
                      <w:szCs w:val="21"/>
                    </w:rPr>
                    <w:t>通过绿化带隔音吸声，限制车辆驶入、驶出的速度，</w:t>
                  </w:r>
                  <w:r>
                    <w:rPr>
                      <w:rFonts w:hint="eastAsia"/>
                    </w:rPr>
                    <w:t>安装消声器，建筑隔音及采取减振措施</w:t>
                  </w:r>
                </w:p>
              </w:tc>
            </w:tr>
          </w:tbl>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400</w:t>
            </w:r>
            <w:r>
              <w:rPr>
                <w:rFonts w:ascii="Times New Roman" w:hAnsi="Times New Roman" w:cs="Times New Roman"/>
                <w:sz w:val="24"/>
              </w:rPr>
              <w:t>万元，环保投资</w:t>
            </w:r>
            <w:r>
              <w:rPr>
                <w:rFonts w:hint="eastAsia" w:ascii="Times New Roman" w:hAnsi="Times New Roman" w:cs="Times New Roman"/>
                <w:sz w:val="24"/>
              </w:rPr>
              <w:t>56.3</w:t>
            </w:r>
            <w:r>
              <w:rPr>
                <w:rFonts w:ascii="Times New Roman" w:hAnsi="Times New Roman" w:cs="Times New Roman"/>
                <w:sz w:val="24"/>
              </w:rPr>
              <w:t>万元</w:t>
            </w:r>
            <w:r>
              <w:rPr>
                <w:rFonts w:hint="eastAsia" w:ascii="Times New Roman" w:hAnsi="Times New Roman" w:cs="Times New Roman"/>
                <w:sz w:val="24"/>
              </w:rPr>
              <w:t>（施工期13.1万元，</w:t>
            </w:r>
            <w:r>
              <w:rPr>
                <w:b/>
                <w:sz w:val="24"/>
              </w:rPr>
              <w:t>营运</w:t>
            </w:r>
            <w:r>
              <w:rPr>
                <w:rFonts w:hint="eastAsia" w:ascii="Times New Roman" w:hAnsi="Times New Roman" w:eastAsia="宋体" w:cs="Times New Roman"/>
                <w:kern w:val="0"/>
                <w:sz w:val="24"/>
                <w:szCs w:val="20"/>
              </w:rPr>
              <w:t>期43.2万元）</w:t>
            </w:r>
            <w:r>
              <w:rPr>
                <w:rFonts w:ascii="Times New Roman" w:hAnsi="Times New Roman" w:cs="Times New Roman"/>
                <w:sz w:val="24"/>
              </w:rPr>
              <w:t>，占总投资</w:t>
            </w:r>
            <w:r>
              <w:rPr>
                <w:rFonts w:hint="eastAsia" w:ascii="Times New Roman" w:hAnsi="Times New Roman" w:cs="Times New Roman"/>
                <w:sz w:val="24"/>
              </w:rPr>
              <w:t>14.07</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6"/>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szCs w:val="21"/>
                    </w:rPr>
                    <w:t>按雨、污分流制设置雨水收集排放管、污水收集排放管、隔油池</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w:t>
                  </w:r>
                  <w:r>
                    <w:rPr>
                      <w:rFonts w:hint="eastAsia"/>
                    </w:rPr>
                    <w:t>基座</w:t>
                  </w:r>
                  <w:r>
                    <w:t>，消声、吸声、隔声</w:t>
                  </w:r>
                  <w:r>
                    <w:rPr>
                      <w:rFonts w:hint="eastAsia"/>
                    </w:rPr>
                    <w:t>門窗等</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ind w:firstLine="840" w:firstLineChars="400"/>
                    <w:rPr>
                      <w:rFonts w:ascii="Times New Roman" w:hAnsi="Times New Roman" w:eastAsia="宋体" w:cs="Times New Roman"/>
                      <w:szCs w:val="21"/>
                    </w:rPr>
                  </w:pPr>
                  <w:r>
                    <w:rPr>
                      <w:rFonts w:hint="eastAsia"/>
                      <w:szCs w:val="21"/>
                    </w:rPr>
                    <w:t>加盖生活垃圾桶</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面积500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施工期</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szCs w:val="21"/>
                    </w:rPr>
                    <w:t>施工扬尘防治</w:t>
                  </w:r>
                  <w:r>
                    <w:rPr>
                      <w:rFonts w:hint="eastAsia"/>
                      <w:szCs w:val="21"/>
                    </w:rPr>
                    <w:t>、污水处理、施工噪声防治、固废处置</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56.3</w:t>
                  </w:r>
                </w:p>
              </w:tc>
            </w:tr>
          </w:tbl>
          <w:p>
            <w:pPr>
              <w:spacing w:line="360" w:lineRule="auto"/>
              <w:rPr>
                <w:rFonts w:ascii="Times New Roman" w:hAnsi="Times New Roman"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9288" w:type="dxa"/>
          </w:tcPr>
          <w:p>
            <w:pPr>
              <w:pageBreakBefore/>
              <w:spacing w:line="360" w:lineRule="auto"/>
              <w:outlineLvl w:val="0"/>
              <w:rPr>
                <w:rFonts w:ascii="Times New Roman" w:hAnsi="Times New Roman" w:cs="Times New Roman"/>
                <w:b/>
                <w:sz w:val="28"/>
                <w:szCs w:val="28"/>
              </w:rPr>
            </w:pPr>
            <w:r>
              <w:rPr>
                <w:rFonts w:ascii="Times New Roman" w:hAnsi="Times New Roman" w:cs="Times New Roman"/>
                <w:b/>
                <w:sz w:val="28"/>
                <w:szCs w:val="28"/>
              </w:rPr>
              <w:t>表三  环境影响评价报告表主要结论、建议及批复</w:t>
            </w:r>
          </w:p>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spacing w:line="360" w:lineRule="auto"/>
              <w:ind w:firstLine="480" w:firstLineChars="200"/>
              <w:rPr>
                <w:rFonts w:hAnsi="宋体"/>
                <w:sz w:val="24"/>
              </w:rPr>
            </w:pPr>
            <w:r>
              <w:rPr>
                <w:sz w:val="24"/>
              </w:rPr>
              <w:t>项目位于</w:t>
            </w:r>
            <w:r>
              <w:rPr>
                <w:rFonts w:hint="eastAsia"/>
                <w:sz w:val="24"/>
              </w:rPr>
              <w:t>永烽高速东南侧温泉服务区——（息烽县温泉镇）</w:t>
            </w:r>
            <w:r>
              <w:rPr>
                <w:rFonts w:ascii="Times New Roman" w:hAnsi="Times New Roman" w:eastAsia="宋体" w:cs="Times New Roman"/>
                <w:sz w:val="24"/>
              </w:rPr>
              <w:t>，</w:t>
            </w:r>
            <w:r>
              <w:rPr>
                <w:rFonts w:hint="eastAsia"/>
                <w:sz w:val="24"/>
              </w:rPr>
              <w:t>西北侧为永烽高速（开阳至息烽）、南面为永烽高速温泉服务区，西北侧距离900m的热水小河，东面为荒地。本项目地理位置为东经106</w:t>
            </w:r>
            <w:r>
              <w:rPr>
                <w:rFonts w:hint="eastAsia"/>
                <w:sz w:val="24"/>
                <w:vertAlign w:val="superscript"/>
              </w:rPr>
              <w:t>0</w:t>
            </w:r>
            <w:r>
              <w:rPr>
                <w:rFonts w:hint="eastAsia"/>
                <w:sz w:val="24"/>
              </w:rPr>
              <w:t>53</w:t>
            </w:r>
            <w:r>
              <w:rPr>
                <w:rFonts w:hint="eastAsia"/>
                <w:sz w:val="24"/>
                <w:vertAlign w:val="superscript"/>
              </w:rPr>
              <w:t>/</w:t>
            </w:r>
            <w:r>
              <w:rPr>
                <w:rFonts w:hint="eastAsia"/>
                <w:sz w:val="24"/>
              </w:rPr>
              <w:t>43</w:t>
            </w:r>
            <w:r>
              <w:rPr>
                <w:rFonts w:hint="eastAsia"/>
                <w:sz w:val="24"/>
                <w:vertAlign w:val="superscript"/>
              </w:rPr>
              <w:t>//</w:t>
            </w:r>
            <w:r>
              <w:rPr>
                <w:rFonts w:hint="eastAsia"/>
                <w:sz w:val="24"/>
              </w:rPr>
              <w:t>，北纬27</w:t>
            </w:r>
            <w:r>
              <w:rPr>
                <w:rFonts w:hint="eastAsia"/>
                <w:sz w:val="24"/>
                <w:vertAlign w:val="superscript"/>
              </w:rPr>
              <w:t>0</w:t>
            </w:r>
            <w:r>
              <w:rPr>
                <w:rFonts w:hint="eastAsia"/>
                <w:sz w:val="24"/>
              </w:rPr>
              <w:t>19</w:t>
            </w:r>
            <w:r>
              <w:rPr>
                <w:rFonts w:hint="eastAsia"/>
                <w:sz w:val="24"/>
                <w:vertAlign w:val="superscript"/>
              </w:rPr>
              <w:t>/</w:t>
            </w:r>
            <w:r>
              <w:rPr>
                <w:rFonts w:hint="eastAsia"/>
                <w:sz w:val="24"/>
              </w:rPr>
              <w:t>45</w:t>
            </w:r>
            <w:r>
              <w:rPr>
                <w:rFonts w:hint="eastAsia"/>
                <w:sz w:val="24"/>
                <w:vertAlign w:val="superscript"/>
              </w:rPr>
              <w:t>//</w:t>
            </w:r>
            <w:r>
              <w:rPr>
                <w:rFonts w:hint="eastAsia" w:ascii="宋体" w:hAnsi="宋体"/>
                <w:sz w:val="24"/>
              </w:rPr>
              <w:t>；项目</w:t>
            </w:r>
            <w:r>
              <w:rPr>
                <w:sz w:val="24"/>
              </w:rPr>
              <w:t>总投资</w:t>
            </w:r>
            <w:r>
              <w:rPr>
                <w:rFonts w:hint="eastAsia"/>
                <w:sz w:val="24"/>
              </w:rPr>
              <w:t>400</w:t>
            </w:r>
            <w:r>
              <w:rPr>
                <w:sz w:val="24"/>
              </w:rPr>
              <w:t>万元，</w:t>
            </w:r>
            <w:r>
              <w:rPr>
                <w:rFonts w:hint="eastAsia"/>
                <w:sz w:val="24"/>
              </w:rPr>
              <w:t>其中环保投资56.3万元，占总投资的14.07%</w:t>
            </w:r>
            <w:r>
              <w:rPr>
                <w:sz w:val="24"/>
              </w:rPr>
              <w:t>。</w:t>
            </w:r>
            <w:r>
              <w:rPr>
                <w:rFonts w:hint="eastAsia"/>
                <w:sz w:val="24"/>
              </w:rPr>
              <w:t>项目属二级加油站，主要建设加油区、储罐区和站房，配套建设配电室、隔油池（水封）、发电机房等配套设施。加油区内设一座加油岛，岛上分布有3台0</w:t>
            </w:r>
            <w:r>
              <w:rPr>
                <w:rFonts w:hint="eastAsia"/>
                <w:sz w:val="24"/>
                <w:vertAlign w:val="superscript"/>
              </w:rPr>
              <w:t>#</w:t>
            </w:r>
            <w:r>
              <w:rPr>
                <w:rFonts w:hint="eastAsia"/>
                <w:sz w:val="24"/>
              </w:rPr>
              <w:t>柴油双枪加油机，2台92</w:t>
            </w:r>
            <w:r>
              <w:rPr>
                <w:rFonts w:hint="eastAsia"/>
                <w:sz w:val="24"/>
                <w:vertAlign w:val="superscript"/>
              </w:rPr>
              <w:t>#</w:t>
            </w:r>
            <w:r>
              <w:rPr>
                <w:rFonts w:hint="eastAsia"/>
                <w:sz w:val="24"/>
              </w:rPr>
              <w:t>汽油双枪加油机和1台95</w:t>
            </w:r>
            <w:r>
              <w:rPr>
                <w:rFonts w:hint="eastAsia"/>
                <w:sz w:val="24"/>
                <w:vertAlign w:val="superscript"/>
              </w:rPr>
              <w:t>#</w:t>
            </w:r>
            <w:r>
              <w:rPr>
                <w:rFonts w:hint="eastAsia"/>
                <w:sz w:val="24"/>
              </w:rPr>
              <w:t>汽油双枪加油机；储罐区设有4个地埋卧式油罐，每个油罐容积均为50m</w:t>
            </w:r>
            <w:r>
              <w:rPr>
                <w:rFonts w:hint="eastAsia"/>
                <w:sz w:val="24"/>
                <w:vertAlign w:val="superscript"/>
              </w:rPr>
              <w:t>3</w:t>
            </w:r>
            <w:r>
              <w:rPr>
                <w:rFonts w:hint="eastAsia"/>
                <w:sz w:val="24"/>
              </w:rPr>
              <w:t>，其中2个用于储存0</w:t>
            </w:r>
            <w:r>
              <w:rPr>
                <w:rFonts w:hint="eastAsia"/>
                <w:sz w:val="24"/>
                <w:vertAlign w:val="superscript"/>
              </w:rPr>
              <w:t>#</w:t>
            </w:r>
            <w:r>
              <w:rPr>
                <w:rFonts w:hint="eastAsia"/>
                <w:sz w:val="24"/>
              </w:rPr>
              <w:t>柴油，另外2分别个用于储存92</w:t>
            </w:r>
            <w:r>
              <w:rPr>
                <w:rFonts w:hint="eastAsia"/>
                <w:sz w:val="24"/>
                <w:vertAlign w:val="superscript"/>
              </w:rPr>
              <w:t>#</w:t>
            </w:r>
            <w:r>
              <w:rPr>
                <w:rFonts w:hint="eastAsia"/>
                <w:sz w:val="24"/>
              </w:rPr>
              <w:t>汽油和95</w:t>
            </w:r>
            <w:r>
              <w:rPr>
                <w:rFonts w:hint="eastAsia"/>
                <w:sz w:val="24"/>
                <w:vertAlign w:val="superscript"/>
              </w:rPr>
              <w:t>#</w:t>
            </w:r>
            <w:r>
              <w:rPr>
                <w:rFonts w:hint="eastAsia"/>
                <w:sz w:val="24"/>
              </w:rPr>
              <w:t>汽油。</w:t>
            </w:r>
          </w:p>
          <w:p>
            <w:pPr>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w:t>
            </w:r>
            <w:r>
              <w:rPr>
                <w:rFonts w:hint="eastAsia"/>
                <w:sz w:val="24"/>
              </w:rPr>
              <w:t>地不在自然保护区、特殊文物保护古迹、水源地范围内，项目建成后产生的污染物经采取治理措施后对周边环境影响较小，</w:t>
            </w:r>
            <w:r>
              <w:rPr>
                <w:sz w:val="24"/>
              </w:rPr>
              <w:t>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spacing w:line="360" w:lineRule="auto"/>
              <w:ind w:firstLine="480" w:firstLineChars="200"/>
              <w:jc w:val="left"/>
              <w:rPr>
                <w:sz w:val="24"/>
              </w:rPr>
            </w:pPr>
            <w:r>
              <w:rPr>
                <w:rFonts w:hint="eastAsia"/>
                <w:color w:val="auto"/>
                <w:sz w:val="24"/>
                <w:szCs w:val="24"/>
              </w:rPr>
              <w:t>项目用地形状呈矩形，场内主要布置加油区、储罐区和站房以及配套设施，配套设施主要为站区污水处理站、隔油池（水封）、危废暂存间和配电室等。项目西北侧与温泉服务区相连，加油站内自南向北依次布置为出入口指示灯和加油区；西北部自北向南布置为站房和罐区，加油区上方设置罩棚，下方设置为加油岛，加油岛设置3台0</w:t>
            </w:r>
            <w:r>
              <w:rPr>
                <w:rFonts w:hint="eastAsia"/>
                <w:color w:val="auto"/>
                <w:sz w:val="24"/>
                <w:szCs w:val="24"/>
                <w:vertAlign w:val="superscript"/>
              </w:rPr>
              <w:t>#</w:t>
            </w:r>
            <w:r>
              <w:rPr>
                <w:rFonts w:hint="eastAsia"/>
                <w:color w:val="auto"/>
                <w:sz w:val="24"/>
                <w:szCs w:val="24"/>
              </w:rPr>
              <w:t>柴油双枪加油机、2台92</w:t>
            </w:r>
            <w:r>
              <w:rPr>
                <w:rFonts w:hint="eastAsia"/>
                <w:color w:val="auto"/>
                <w:sz w:val="24"/>
                <w:szCs w:val="24"/>
                <w:vertAlign w:val="superscript"/>
              </w:rPr>
              <w:t>#</w:t>
            </w:r>
            <w:r>
              <w:rPr>
                <w:rFonts w:hint="eastAsia"/>
                <w:color w:val="auto"/>
                <w:sz w:val="24"/>
                <w:szCs w:val="24"/>
              </w:rPr>
              <w:t>双枪加油机和1台95</w:t>
            </w:r>
            <w:r>
              <w:rPr>
                <w:rFonts w:hint="eastAsia"/>
                <w:color w:val="auto"/>
                <w:sz w:val="24"/>
                <w:szCs w:val="24"/>
                <w:vertAlign w:val="superscript"/>
              </w:rPr>
              <w:t>#</w:t>
            </w:r>
            <w:r>
              <w:rPr>
                <w:rFonts w:hint="eastAsia"/>
                <w:color w:val="auto"/>
                <w:sz w:val="24"/>
                <w:szCs w:val="24"/>
              </w:rPr>
              <w:t>双枪加油机，储罐区设有4个地埋卧式油罐，最北侧和西侧均为绿化区；并在西北侧站房一楼设置配电房和柴油发电机房，在储罐区南侧设置卸油平台，在北南侧地势最底处设置隔油池（水封），在消防沙池旁设置1座危废暂存间。本项目自东向西设置有环形通道，便与车辆进出</w:t>
            </w:r>
            <w:r>
              <w:rPr>
                <w:rFonts w:hint="eastAsia"/>
                <w:sz w:val="24"/>
              </w:rPr>
              <w:t>。本项目属二级加油站，项目场内设施防火间距符合《汽车加油加气站设计与施工规范》（GB50156-2012及2014修订）中的站内设施防火间距一览表中的规定要求。</w:t>
            </w:r>
          </w:p>
          <w:p>
            <w:pPr>
              <w:spacing w:line="360" w:lineRule="auto"/>
              <w:ind w:firstLine="480" w:firstLineChars="200"/>
              <w:jc w:val="left"/>
              <w:rPr>
                <w:rFonts w:hAnsi="宋体"/>
                <w:sz w:val="24"/>
              </w:rPr>
            </w:pPr>
            <w:r>
              <w:rPr>
                <w:rFonts w:hint="eastAsia"/>
                <w:sz w:val="24"/>
              </w:rPr>
              <w:t>项目场区</w:t>
            </w:r>
            <w:r>
              <w:rPr>
                <w:sz w:val="24"/>
              </w:rPr>
              <w:t>总平面布置功能分区明确，工艺流程顺畅，</w:t>
            </w:r>
            <w:r>
              <w:rPr>
                <w:rFonts w:hint="eastAsia"/>
                <w:sz w:val="24"/>
              </w:rPr>
              <w:t>运输</w:t>
            </w:r>
            <w:r>
              <w:rPr>
                <w:sz w:val="24"/>
              </w:rPr>
              <w:t>便捷，各功能分区间距离设置合理</w:t>
            </w:r>
            <w:r>
              <w:rPr>
                <w:rFonts w:hint="eastAsia"/>
                <w:sz w:val="24"/>
              </w:rPr>
              <w:t>，与周边敏感点也保持了一定的距离范围</w:t>
            </w:r>
            <w:r>
              <w:rPr>
                <w:sz w:val="24"/>
              </w:rPr>
              <w:t>。从环保角度来看，本项目平面</w:t>
            </w:r>
            <w:r>
              <w:rPr>
                <w:rFonts w:hint="eastAsia"/>
                <w:sz w:val="24"/>
              </w:rPr>
              <w:t>布置</w:t>
            </w:r>
            <w:r>
              <w:rPr>
                <w:sz w:val="24"/>
              </w:rPr>
              <w:t>合理。</w:t>
            </w: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spacing w:line="360" w:lineRule="auto"/>
              <w:ind w:firstLine="480" w:firstLineChars="200"/>
              <w:rPr>
                <w:sz w:val="24"/>
              </w:rPr>
            </w:pPr>
            <w:r>
              <w:rPr>
                <w:rFonts w:hint="eastAsia" w:ascii="宋体" w:hAnsi="宋体"/>
                <w:sz w:val="24"/>
              </w:rPr>
              <w:t>评价区域地表水为热水小河</w:t>
            </w:r>
            <w:r>
              <w:rPr>
                <w:rFonts w:hint="eastAsia"/>
                <w:sz w:val="24"/>
              </w:rPr>
              <w:t>可达到《地表水环境质量标准》（GB3838-2002）</w:t>
            </w:r>
            <w:r>
              <w:rPr>
                <w:rFonts w:hint="eastAsia" w:ascii="宋体" w:hAnsi="宋体"/>
                <w:sz w:val="24"/>
              </w:rPr>
              <w:t>Ⅲ</w:t>
            </w:r>
            <w:r>
              <w:rPr>
                <w:kern w:val="0"/>
                <w:sz w:val="24"/>
              </w:rPr>
              <w:t>类</w:t>
            </w:r>
            <w:r>
              <w:rPr>
                <w:rFonts w:hint="eastAsia"/>
                <w:kern w:val="0"/>
                <w:sz w:val="24"/>
              </w:rPr>
              <w:t>标准</w:t>
            </w:r>
            <w:r>
              <w:rPr>
                <w:sz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评价区域环境空气质量可达到《环境空气质量标准》(GB3095-</w:t>
            </w:r>
            <w:r>
              <w:rPr>
                <w:rFonts w:hint="eastAsia" w:ascii="Times New Roman" w:hAnsi="Times New Roman" w:cs="Times New Roman"/>
                <w:sz w:val="24"/>
                <w:szCs w:val="24"/>
              </w:rPr>
              <w:t>2012</w:t>
            </w:r>
            <w:r>
              <w:rPr>
                <w:rFonts w:ascii="Times New Roman" w:hAnsi="Times New Roman" w:cs="Times New Roman"/>
                <w:sz w:val="24"/>
                <w:szCs w:val="24"/>
              </w:rPr>
              <w:t>)中的</w:t>
            </w:r>
            <w:r>
              <w:rPr>
                <w:rFonts w:hint="eastAsia" w:ascii="Times New Roman" w:hAnsi="Times New Roman" w:cs="Times New Roman"/>
                <w:sz w:val="24"/>
                <w:szCs w:val="24"/>
              </w:rPr>
              <w:t>一</w:t>
            </w:r>
            <w:r>
              <w:rPr>
                <w:rFonts w:ascii="Times New Roman" w:hAnsi="Times New Roman" w:cs="Times New Roman"/>
                <w:sz w:val="24"/>
                <w:szCs w:val="24"/>
              </w:rPr>
              <w:t>级标准；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spacing w:line="360" w:lineRule="auto"/>
              <w:ind w:firstLine="480" w:firstLineChars="200"/>
              <w:rPr>
                <w:rFonts w:ascii="Times New Roman" w:hAnsi="Times New Roman" w:cs="Times New Roman"/>
                <w:sz w:val="24"/>
                <w:szCs w:val="24"/>
              </w:rPr>
            </w:pPr>
            <w:r>
              <w:rPr>
                <w:rFonts w:hint="eastAsia"/>
                <w:sz w:val="24"/>
              </w:rPr>
              <w:t>项目西北侧厂界约100m</w:t>
            </w:r>
            <w:r>
              <w:rPr>
                <w:rFonts w:hint="eastAsia" w:hAnsi="宋体"/>
                <w:sz w:val="24"/>
                <w:szCs w:val="28"/>
              </w:rPr>
              <w:t>为永烽高速公路，区域声环境在</w:t>
            </w:r>
            <w:r>
              <w:rPr>
                <w:rFonts w:hint="eastAsia" w:hAnsi="宋体"/>
                <w:sz w:val="24"/>
              </w:rPr>
              <w:t>临路一侧的35m</w:t>
            </w:r>
            <w:r>
              <w:rPr>
                <w:rFonts w:hint="eastAsia" w:ascii="宋体" w:hAnsi="宋体"/>
                <w:sz w:val="24"/>
              </w:rPr>
              <w:t>±</w:t>
            </w:r>
            <w:r>
              <w:rPr>
                <w:rFonts w:hint="eastAsia" w:hAnsi="宋体"/>
                <w:sz w:val="24"/>
              </w:rPr>
              <w:t>5m范围内的区域</w:t>
            </w:r>
            <w:r>
              <w:rPr>
                <w:rFonts w:hint="eastAsia"/>
                <w:sz w:val="24"/>
              </w:rPr>
              <w:t>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4a类</w:t>
            </w:r>
            <w:r>
              <w:rPr>
                <w:sz w:val="24"/>
              </w:rPr>
              <w:t>标准</w:t>
            </w:r>
            <w:r>
              <w:rPr>
                <w:rFonts w:hint="eastAsia"/>
                <w:sz w:val="24"/>
              </w:rPr>
              <w:t>，评价范围内其他区域声环境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2类</w:t>
            </w:r>
            <w:r>
              <w:rPr>
                <w:sz w:val="24"/>
              </w:rPr>
              <w:t>标准。</w:t>
            </w:r>
          </w:p>
          <w:p>
            <w:pPr>
              <w:spacing w:line="360" w:lineRule="auto"/>
              <w:ind w:firstLine="480" w:firstLineChars="200"/>
              <w:rPr>
                <w:sz w:val="24"/>
              </w:rPr>
            </w:pPr>
            <w:r>
              <w:rPr>
                <w:rFonts w:hint="eastAsia"/>
                <w:sz w:val="24"/>
              </w:rPr>
              <w:t>（</w:t>
            </w:r>
            <w:r>
              <w:rPr>
                <w:sz w:val="24"/>
              </w:rPr>
              <w:t>4</w:t>
            </w:r>
            <w:r>
              <w:rPr>
                <w:rFonts w:hint="eastAsia"/>
                <w:sz w:val="24"/>
              </w:rPr>
              <w:t>）</w:t>
            </w:r>
            <w:r>
              <w:rPr>
                <w:sz w:val="24"/>
              </w:rPr>
              <w:t>生态环境现状：根据现场踏勘，</w:t>
            </w:r>
            <w:r>
              <w:rPr>
                <w:rFonts w:hint="eastAsia"/>
                <w:sz w:val="24"/>
              </w:rPr>
              <w:t>本项目区内多山地、丘陵，植被覆盖率较高，多为灌丛和旱地植被，水土流失为轻度，生物及自然植被有较强的恢复能力，总体评价为良。</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500" w:lineRule="exact"/>
              <w:ind w:firstLine="480" w:firstLineChars="200"/>
              <w:rPr>
                <w:rFonts w:hAnsi="宋体"/>
                <w:szCs w:val="21"/>
              </w:rPr>
            </w:pPr>
            <w:r>
              <w:rPr>
                <w:sz w:val="24"/>
              </w:rPr>
              <w:t>(1)废水：</w:t>
            </w:r>
            <w:r>
              <w:rPr>
                <w:rFonts w:hint="eastAsia" w:hAnsi="宋体"/>
                <w:sz w:val="24"/>
              </w:rPr>
              <w:t>施工废水经沉淀后回用于混凝土养护，不外排；施工场地设置临时旱厕，产生的污物定期外运，其余施工人员洗漱废水及</w:t>
            </w:r>
            <w:r>
              <w:rPr>
                <w:rFonts w:hAnsi="宋体"/>
                <w:sz w:val="24"/>
              </w:rPr>
              <w:t>沙石料冲洗废水和机械冲洗废水</w:t>
            </w:r>
            <w:r>
              <w:rPr>
                <w:rFonts w:hint="eastAsia" w:hAnsi="宋体"/>
                <w:sz w:val="24"/>
              </w:rPr>
              <w:t>排入施工废水沉淀池，经沉淀后回用于混凝土养护、</w:t>
            </w:r>
            <w:r>
              <w:rPr>
                <w:rFonts w:hAnsi="宋体"/>
                <w:sz w:val="24"/>
              </w:rPr>
              <w:t>汽车降尘、道路洒水降尘</w:t>
            </w:r>
            <w:r>
              <w:rPr>
                <w:rFonts w:hAnsi="宋体"/>
                <w:szCs w:val="21"/>
              </w:rPr>
              <w:t>，</w:t>
            </w:r>
            <w:r>
              <w:rPr>
                <w:rFonts w:hint="eastAsia" w:hAnsi="宋体"/>
                <w:sz w:val="24"/>
              </w:rPr>
              <w:t>不外排，对地表水环境影响较小。</w:t>
            </w:r>
          </w:p>
          <w:p>
            <w:pPr>
              <w:ind w:firstLine="240" w:firstLineChars="100"/>
              <w:rPr>
                <w:sz w:val="24"/>
              </w:rPr>
            </w:pPr>
            <w:r>
              <w:rPr>
                <w:sz w:val="24"/>
              </w:rPr>
              <w:t xml:space="preserve"> </w:t>
            </w:r>
          </w:p>
          <w:p>
            <w:pPr>
              <w:tabs>
                <w:tab w:val="left" w:pos="624"/>
              </w:tabs>
              <w:spacing w:line="360" w:lineRule="auto"/>
              <w:ind w:firstLine="480" w:firstLineChars="200"/>
              <w:rPr>
                <w:sz w:val="24"/>
              </w:rPr>
            </w:pPr>
            <w:r>
              <w:rPr>
                <w:sz w:val="24"/>
              </w:rPr>
              <w:t>(2)废气：</w:t>
            </w:r>
            <w:r>
              <w:rPr>
                <w:rFonts w:hint="eastAsia"/>
                <w:sz w:val="24"/>
              </w:rPr>
              <w:t>施工期</w:t>
            </w:r>
            <w:r>
              <w:rPr>
                <w:rFonts w:hint="eastAsia" w:hAnsi="宋体"/>
                <w:sz w:val="24"/>
              </w:rPr>
              <w:t>产生的</w:t>
            </w:r>
            <w:r>
              <w:rPr>
                <w:rFonts w:hAnsi="宋体"/>
                <w:sz w:val="24"/>
              </w:rPr>
              <w:t>扬尘</w:t>
            </w:r>
            <w:r>
              <w:rPr>
                <w:rFonts w:hint="eastAsia"/>
                <w:sz w:val="24"/>
              </w:rPr>
              <w:t>通过采取施工场地每天定时洒水、对场地内运输通道及时清扫、冲洗；运输车辆进入施工场地低速行驶；在施工场周围设置防护栏等相应</w:t>
            </w:r>
            <w:r>
              <w:rPr>
                <w:sz w:val="24"/>
              </w:rPr>
              <w:t>的防尘措施后</w:t>
            </w:r>
            <w:r>
              <w:rPr>
                <w:rFonts w:hint="eastAsia"/>
                <w:sz w:val="24"/>
              </w:rPr>
              <w:t>，</w:t>
            </w:r>
            <w:r>
              <w:rPr>
                <w:rFonts w:hint="eastAsia" w:ascii="宋体" w:hAnsi="宋体"/>
                <w:sz w:val="24"/>
              </w:rPr>
              <w:t>能有效减轻扬尘对周围敏感点的影响。</w:t>
            </w:r>
            <w:r>
              <w:rPr>
                <w:sz w:val="24"/>
              </w:rPr>
              <w:t>机动车辆少，尾气排放量较小，区域空气流动性好，对区域大气环境影响较小。</w:t>
            </w:r>
          </w:p>
          <w:p>
            <w:pPr>
              <w:spacing w:line="360" w:lineRule="auto"/>
              <w:ind w:firstLine="480" w:firstLineChars="200"/>
              <w:rPr>
                <w:sz w:val="24"/>
              </w:rPr>
            </w:pPr>
            <w:r>
              <w:rPr>
                <w:sz w:val="24"/>
              </w:rPr>
              <w:t xml:space="preserve"> (3)噪声：</w:t>
            </w:r>
            <w:r>
              <w:rPr>
                <w:rFonts w:hint="eastAsia" w:ascii="宋体" w:cs="宋体"/>
                <w:kern w:val="0"/>
                <w:sz w:val="24"/>
              </w:rPr>
              <w:t>施工及交通噪声对周边环境有一定影响，通过采取</w:t>
            </w:r>
            <w:r>
              <w:rPr>
                <w:rFonts w:hint="eastAsia"/>
                <w:sz w:val="24"/>
              </w:rPr>
              <w:t>使用</w:t>
            </w:r>
            <w:r>
              <w:rPr>
                <w:sz w:val="24"/>
              </w:rPr>
              <w:t>较低噪声的设备，合理布局施工现场</w:t>
            </w:r>
            <w:r>
              <w:rPr>
                <w:rFonts w:hint="eastAsia"/>
                <w:sz w:val="24"/>
              </w:rPr>
              <w:t>，</w:t>
            </w:r>
            <w:r>
              <w:rPr>
                <w:sz w:val="24"/>
              </w:rPr>
              <w:t>合理安排作业时间</w:t>
            </w:r>
            <w:r>
              <w:rPr>
                <w:rFonts w:hint="eastAsia"/>
                <w:sz w:val="24"/>
              </w:rPr>
              <w:t>等措施，可将施工期产生的噪声对周围环境的影响降至最低。</w:t>
            </w:r>
            <w:r>
              <w:rPr>
                <w:sz w:val="24"/>
              </w:rPr>
              <w:t xml:space="preserve"> </w:t>
            </w:r>
          </w:p>
          <w:p>
            <w:pPr>
              <w:spacing w:line="360" w:lineRule="auto"/>
              <w:ind w:firstLine="482"/>
              <w:rPr>
                <w:rFonts w:ascii="Times New Roman" w:hAnsi="Times New Roman" w:cs="Times New Roman"/>
                <w:sz w:val="24"/>
              </w:rPr>
            </w:pPr>
            <w:r>
              <w:rPr>
                <w:sz w:val="24"/>
              </w:rPr>
              <w:t>(4)固体废物：</w:t>
            </w:r>
            <w:r>
              <w:rPr>
                <w:rFonts w:hint="eastAsia"/>
                <w:sz w:val="24"/>
              </w:rPr>
              <w:t>施工期产生的土方用作后期绿化培植用土及场地回填土，不外排；施工人员的生活垃圾用加盖垃圾桶收集后，委托环卫部门统一清运处理。</w:t>
            </w:r>
          </w:p>
          <w:p>
            <w:pPr>
              <w:spacing w:line="360" w:lineRule="auto"/>
              <w:ind w:firstLine="720" w:firstLineChars="300"/>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color w:val="FF0000"/>
                <w:sz w:val="24"/>
              </w:rPr>
            </w:pPr>
            <w:r>
              <w:rPr>
                <w:rFonts w:hint="eastAsia" w:ascii="Times New Roman" w:hAnsi="Times New Roman" w:cs="Times New Roman"/>
                <w:b/>
                <w:color w:val="auto"/>
                <w:sz w:val="24"/>
              </w:rPr>
              <w:t>7、营运期环境影响及防治措施</w:t>
            </w:r>
          </w:p>
          <w:p>
            <w:pPr>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w:t>
            </w:r>
            <w:r>
              <w:rPr>
                <w:rFonts w:hint="eastAsia"/>
                <w:sz w:val="24"/>
              </w:rPr>
              <w:t>项目站址东南侧与六广河服务区相接，本项目不</w:t>
            </w:r>
          </w:p>
          <w:p>
            <w:pPr>
              <w:rPr>
                <w:sz w:val="24"/>
              </w:rPr>
            </w:pPr>
          </w:p>
          <w:p>
            <w:pPr>
              <w:rPr>
                <w:sz w:val="24"/>
              </w:rPr>
            </w:pPr>
            <w:r>
              <w:rPr>
                <w:rFonts w:hint="eastAsia"/>
                <w:sz w:val="24"/>
              </w:rPr>
              <w:t>设置公厕系统，故</w:t>
            </w:r>
            <w:r>
              <w:rPr>
                <w:sz w:val="24"/>
              </w:rPr>
              <w:t>项目投入使用后，</w:t>
            </w:r>
            <w:r>
              <w:rPr>
                <w:rFonts w:hint="eastAsia"/>
                <w:sz w:val="24"/>
              </w:rPr>
              <w:t>外排</w:t>
            </w:r>
            <w:r>
              <w:rPr>
                <w:sz w:val="24"/>
              </w:rPr>
              <w:t>污水主要</w:t>
            </w:r>
            <w:r>
              <w:rPr>
                <w:rFonts w:hint="eastAsia"/>
                <w:sz w:val="24"/>
              </w:rPr>
              <w:t>为员工生活污水和加油作业区冲洗废</w:t>
            </w:r>
          </w:p>
          <w:p>
            <w:pPr>
              <w:rPr>
                <w:sz w:val="24"/>
              </w:rPr>
            </w:pPr>
          </w:p>
          <w:p>
            <w:pPr>
              <w:rPr>
                <w:sz w:val="24"/>
              </w:rPr>
            </w:pPr>
            <w:r>
              <w:rPr>
                <w:rFonts w:hint="eastAsia"/>
                <w:sz w:val="24"/>
              </w:rPr>
              <w:t>水。加油作业区地面冲洗废水经隔油池处理后，同站房员工生活污水排入站区污水站（采</w:t>
            </w:r>
          </w:p>
          <w:p>
            <w:pPr>
              <w:rPr>
                <w:sz w:val="24"/>
              </w:rPr>
            </w:pPr>
          </w:p>
          <w:p>
            <w:pPr>
              <w:rPr>
                <w:sz w:val="24"/>
              </w:rPr>
            </w:pPr>
            <w:r>
              <w:rPr>
                <w:rFonts w:hint="eastAsia"/>
                <w:sz w:val="24"/>
              </w:rPr>
              <w:t>用“化粪池＋地沟式土地处理系统”工艺）处理后，能够达到</w:t>
            </w:r>
            <w:r>
              <w:rPr>
                <w:sz w:val="24"/>
              </w:rPr>
              <w:t>《城市污水再生利用 城</w:t>
            </w:r>
          </w:p>
          <w:p>
            <w:pPr>
              <w:rPr>
                <w:sz w:val="24"/>
              </w:rPr>
            </w:pPr>
          </w:p>
          <w:p>
            <w:pPr>
              <w:rPr>
                <w:sz w:val="24"/>
              </w:rPr>
            </w:pPr>
            <w:r>
              <w:rPr>
                <w:sz w:val="24"/>
              </w:rPr>
              <w:t>市杂用水水质》</w:t>
            </w:r>
            <w:r>
              <w:rPr>
                <w:rFonts w:hint="eastAsia"/>
                <w:sz w:val="24"/>
              </w:rPr>
              <w:t>（</w:t>
            </w:r>
            <w:r>
              <w:rPr>
                <w:sz w:val="24"/>
              </w:rPr>
              <w:t>GB/T18920-2002</w:t>
            </w:r>
            <w:r>
              <w:rPr>
                <w:rFonts w:hint="eastAsia"/>
                <w:sz w:val="24"/>
              </w:rPr>
              <w:t>）</w:t>
            </w:r>
            <w:r>
              <w:rPr>
                <w:sz w:val="24"/>
              </w:rPr>
              <w:t>标准</w:t>
            </w:r>
            <w:r>
              <w:rPr>
                <w:rFonts w:hint="eastAsia"/>
                <w:sz w:val="24"/>
              </w:rPr>
              <w:t>要求，再回用于道路洒水降尘和站区绿化，对地表水影响较小</w:t>
            </w:r>
            <w:r>
              <w:rPr>
                <w:sz w:val="24"/>
              </w:rPr>
              <w:t>。</w:t>
            </w:r>
          </w:p>
          <w:p>
            <w:pPr>
              <w:spacing w:line="348" w:lineRule="auto"/>
              <w:rPr>
                <w:sz w:val="24"/>
              </w:rPr>
            </w:pPr>
            <w:r>
              <w:rPr>
                <w:sz w:val="24"/>
              </w:rPr>
              <w:t xml:space="preserve">     (2)废气：项目设置油气回收装置，非甲烷总烃排放量较小，无组织排放监控浓度限值周</w:t>
            </w:r>
            <w:r>
              <w:rPr>
                <w:rFonts w:hint="eastAsia"/>
                <w:sz w:val="24"/>
              </w:rPr>
              <w:t>界</w:t>
            </w:r>
            <w:r>
              <w:rPr>
                <w:sz w:val="24"/>
              </w:rPr>
              <w:t>外最高浓度点：非甲烷总烃≤4.0mg/m3。</w:t>
            </w:r>
            <w:r>
              <w:rPr>
                <w:rFonts w:hint="eastAsia"/>
                <w:sz w:val="24"/>
              </w:rPr>
              <w:t>油气回收措施符合《加油站大气污染物排放标准》（GB20952-2007）中要求，并且</w:t>
            </w:r>
            <w:r>
              <w:rPr>
                <w:sz w:val="24"/>
              </w:rPr>
              <w:t>项目地处空</w:t>
            </w:r>
            <w:r>
              <w:rPr>
                <w:rFonts w:hint="eastAsia"/>
                <w:sz w:val="24"/>
              </w:rPr>
              <w:t>旷地区，空气流动性强，油蒸汽在风力作业下稀释扩散，对周边环境影响不大</w:t>
            </w:r>
            <w:r>
              <w:rPr>
                <w:rFonts w:hint="eastAsia"/>
                <w:szCs w:val="21"/>
              </w:rPr>
              <w:t>。</w:t>
            </w:r>
            <w:r>
              <w:rPr>
                <w:sz w:val="24"/>
              </w:rPr>
              <w:t>加油车辆</w:t>
            </w:r>
            <w:r>
              <w:rPr>
                <w:rFonts w:hint="eastAsia" w:ascii="宋体" w:hAnsi="宋体"/>
                <w:sz w:val="24"/>
              </w:rPr>
              <w:t>尾气经绿化区吸收和自然稀释扩散后，对周围环境空气影响较小</w:t>
            </w:r>
            <w:r>
              <w:rPr>
                <w:rFonts w:hint="eastAsia"/>
                <w:sz w:val="24"/>
              </w:rPr>
              <w:t>，</w:t>
            </w:r>
            <w:r>
              <w:rPr>
                <w:sz w:val="24"/>
              </w:rPr>
              <w:t>备用发电机</w:t>
            </w:r>
            <w:r>
              <w:rPr>
                <w:rFonts w:hint="eastAsia"/>
                <w:sz w:val="24"/>
              </w:rPr>
              <w:t>仅在停电、故障的时候使用，因此</w:t>
            </w:r>
            <w:r>
              <w:rPr>
                <w:sz w:val="24"/>
              </w:rPr>
              <w:t xml:space="preserve">废气对环境的影响较小。 </w:t>
            </w:r>
          </w:p>
          <w:p>
            <w:pPr>
              <w:spacing w:line="348" w:lineRule="auto"/>
              <w:ind w:firstLine="480" w:firstLineChars="200"/>
              <w:rPr>
                <w:sz w:val="24"/>
              </w:rPr>
            </w:pPr>
            <w:r>
              <w:rPr>
                <w:sz w:val="24"/>
              </w:rPr>
              <w:t>(3)噪声：所有设备安装厂房内，对产噪设备首先选用低噪声设备，采取封闭厂房、减震、隔声、消声、距离衰减措施降低对周边环境影响；对进出 车辆进行限速，禁止鸣笛</w:t>
            </w:r>
            <w:r>
              <w:rPr>
                <w:rFonts w:hint="eastAsia"/>
                <w:sz w:val="24"/>
              </w:rPr>
              <w:t>，绿化带隔音</w:t>
            </w:r>
            <w:r>
              <w:rPr>
                <w:sz w:val="24"/>
              </w:rPr>
              <w:t xml:space="preserve">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numPr>
                <w:ilvl w:val="0"/>
                <w:numId w:val="6"/>
              </w:numPr>
              <w:adjustRightInd w:val="0"/>
              <w:snapToGrid w:val="0"/>
              <w:jc w:val="left"/>
              <w:rPr>
                <w:bCs/>
                <w:sz w:val="24"/>
              </w:rPr>
            </w:pPr>
            <w:r>
              <w:rPr>
                <w:rFonts w:hint="eastAsia" w:ascii="Times New Roman" w:hAnsi="Times New Roman" w:cs="Times New Roman"/>
                <w:b/>
                <w:bCs/>
                <w:sz w:val="24"/>
              </w:rPr>
              <w:t xml:space="preserve"> </w:t>
            </w:r>
            <w:r>
              <w:rPr>
                <w:rFonts w:hint="eastAsia"/>
                <w:bCs/>
                <w:sz w:val="24"/>
              </w:rPr>
              <w:t>本项目建设时应严格遵循</w:t>
            </w:r>
            <w:r>
              <w:rPr>
                <w:sz w:val="24"/>
              </w:rPr>
              <w:t>《汽车加油加气站设计与施工规范》（GB50156—2012）</w:t>
            </w:r>
          </w:p>
          <w:p>
            <w:pPr>
              <w:adjustRightInd w:val="0"/>
              <w:snapToGrid w:val="0"/>
              <w:ind w:left="360"/>
              <w:jc w:val="left"/>
              <w:rPr>
                <w:sz w:val="24"/>
              </w:rPr>
            </w:pPr>
          </w:p>
          <w:p>
            <w:pPr>
              <w:adjustRightInd w:val="0"/>
              <w:snapToGrid w:val="0"/>
              <w:ind w:left="360"/>
              <w:jc w:val="left"/>
              <w:rPr>
                <w:bCs/>
                <w:sz w:val="24"/>
              </w:rPr>
            </w:pPr>
            <w:r>
              <w:rPr>
                <w:sz w:val="24"/>
              </w:rPr>
              <w:t>等相关法律、法规和标准</w:t>
            </w:r>
            <w:r>
              <w:rPr>
                <w:rFonts w:hint="eastAsia"/>
                <w:bCs/>
                <w:sz w:val="24"/>
              </w:rPr>
              <w:t>；在火灾爆炸危险场所内的建构筑物的结构形式、建筑材</w:t>
            </w:r>
          </w:p>
          <w:p>
            <w:pPr>
              <w:adjustRightInd w:val="0"/>
              <w:snapToGrid w:val="0"/>
              <w:ind w:left="360"/>
              <w:jc w:val="left"/>
              <w:rPr>
                <w:bCs/>
                <w:sz w:val="24"/>
              </w:rPr>
            </w:pPr>
          </w:p>
          <w:p>
            <w:pPr>
              <w:adjustRightInd w:val="0"/>
              <w:snapToGrid w:val="0"/>
              <w:ind w:left="360"/>
              <w:jc w:val="left"/>
              <w:rPr>
                <w:bCs/>
                <w:sz w:val="24"/>
              </w:rPr>
            </w:pPr>
            <w:r>
              <w:rPr>
                <w:rFonts w:hint="eastAsia"/>
                <w:bCs/>
                <w:sz w:val="24"/>
              </w:rPr>
              <w:t>料及设备符合防火防爆要求，建筑地面均采用防火化地面；各设备、管道和建构筑</w:t>
            </w:r>
          </w:p>
          <w:p>
            <w:pPr>
              <w:adjustRightInd w:val="0"/>
              <w:snapToGrid w:val="0"/>
              <w:ind w:left="360"/>
              <w:jc w:val="left"/>
              <w:rPr>
                <w:bCs/>
                <w:sz w:val="24"/>
              </w:rPr>
            </w:pPr>
          </w:p>
          <w:p>
            <w:pPr>
              <w:adjustRightInd w:val="0"/>
              <w:snapToGrid w:val="0"/>
              <w:ind w:left="360"/>
              <w:jc w:val="left"/>
              <w:rPr>
                <w:bCs/>
                <w:sz w:val="24"/>
              </w:rPr>
            </w:pPr>
            <w:r>
              <w:rPr>
                <w:rFonts w:hint="eastAsia"/>
                <w:bCs/>
                <w:sz w:val="24"/>
              </w:rPr>
              <w:t>物之间保持足够的防火距离；对具有火灾、爆炸危险的生产设备和管道设置安全阀、</w:t>
            </w:r>
          </w:p>
          <w:p>
            <w:pPr>
              <w:adjustRightInd w:val="0"/>
              <w:snapToGrid w:val="0"/>
              <w:ind w:left="360"/>
              <w:jc w:val="left"/>
              <w:rPr>
                <w:bCs/>
                <w:sz w:val="24"/>
              </w:rPr>
            </w:pPr>
          </w:p>
          <w:p>
            <w:pPr>
              <w:adjustRightInd w:val="0"/>
              <w:snapToGrid w:val="0"/>
              <w:ind w:left="360"/>
              <w:jc w:val="left"/>
              <w:rPr>
                <w:bCs/>
                <w:sz w:val="24"/>
              </w:rPr>
            </w:pPr>
            <w:r>
              <w:rPr>
                <w:rFonts w:hint="eastAsia"/>
                <w:bCs/>
                <w:sz w:val="24"/>
              </w:rPr>
              <w:t>阻火器等防爆设施；做好系统安全接地和漏电保护；设置监测报警系统；配置各种</w:t>
            </w:r>
          </w:p>
          <w:p>
            <w:pPr>
              <w:adjustRightInd w:val="0"/>
              <w:snapToGrid w:val="0"/>
              <w:ind w:left="360"/>
              <w:jc w:val="left"/>
              <w:rPr>
                <w:bCs/>
                <w:sz w:val="24"/>
              </w:rPr>
            </w:pPr>
          </w:p>
          <w:p>
            <w:pPr>
              <w:adjustRightInd w:val="0"/>
              <w:snapToGrid w:val="0"/>
              <w:ind w:left="360"/>
              <w:jc w:val="left"/>
              <w:rPr>
                <w:bCs/>
                <w:sz w:val="24"/>
              </w:rPr>
            </w:pPr>
            <w:r>
              <w:rPr>
                <w:rFonts w:hint="eastAsia"/>
                <w:bCs/>
                <w:sz w:val="24"/>
              </w:rPr>
              <w:t>防护用品；严格划分防爆区域；展区内设醒目的“严禁烟火”标志。</w:t>
            </w:r>
          </w:p>
          <w:p>
            <w:pPr>
              <w:adjustRightInd w:val="0"/>
              <w:snapToGrid w:val="0"/>
              <w:jc w:val="left"/>
              <w:rPr>
                <w:b/>
                <w:sz w:val="24"/>
              </w:rPr>
            </w:pPr>
          </w:p>
          <w:p>
            <w:pPr>
              <w:numPr>
                <w:ilvl w:val="0"/>
                <w:numId w:val="0"/>
              </w:numPr>
              <w:adjustRightInd w:val="0"/>
              <w:snapToGrid w:val="0"/>
              <w:ind w:leftChars="0"/>
              <w:jc w:val="left"/>
              <w:rPr>
                <w:b/>
                <w:sz w:val="24"/>
              </w:rPr>
            </w:pPr>
            <w:r>
              <w:rPr>
                <w:rFonts w:hint="eastAsia"/>
                <w:bCs/>
                <w:sz w:val="24"/>
                <w:lang w:val="en-US" w:eastAsia="zh-CN"/>
              </w:rPr>
              <w:t>2、</w:t>
            </w:r>
            <w:r>
              <w:rPr>
                <w:rFonts w:hint="eastAsia"/>
                <w:bCs/>
                <w:sz w:val="24"/>
              </w:rPr>
              <w:t>制定相关的安全管理防范措施和应急救援预案。</w:t>
            </w:r>
          </w:p>
          <w:p>
            <w:pPr>
              <w:spacing w:line="348" w:lineRule="auto"/>
              <w:rPr>
                <w:rFonts w:ascii="Times New Roman" w:hAnsi="Times New Roman" w:cs="Times New Roman"/>
                <w:b/>
                <w:bCs/>
                <w:sz w:val="24"/>
              </w:rPr>
            </w:pPr>
            <w:r>
              <w:rPr>
                <w:rFonts w:hint="eastAsia" w:hAnsi="宋体"/>
                <w:sz w:val="24"/>
              </w:rPr>
              <w:t>3、油罐池做防渗系统，防止油品泄漏污染地下水。</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60" w:lineRule="auto"/>
              <w:ind w:firstLine="481"/>
              <w:rPr>
                <w:rFonts w:hint="eastAsia" w:ascii="Times New Roman" w:hAnsi="Times New Roman" w:cs="Times New Roman"/>
                <w:sz w:val="24"/>
              </w:rPr>
            </w:pPr>
            <w:r>
              <w:rPr>
                <w:rFonts w:hint="eastAsia" w:ascii="Times New Roman" w:hAnsi="Times New Roman" w:cs="Times New Roman"/>
                <w:sz w:val="24"/>
              </w:rPr>
              <w:t>综上所述，</w:t>
            </w:r>
            <w:r>
              <w:rPr>
                <w:rFonts w:hint="eastAsia" w:ascii="宋体" w:hAnsi="宋体"/>
                <w:b w:val="0"/>
                <w:bCs w:val="0"/>
                <w:sz w:val="24"/>
              </w:rPr>
              <w:t>贵州交建国储贸易有限公司拟</w:t>
            </w:r>
            <w:r>
              <w:rPr>
                <w:rFonts w:ascii="宋体" w:hAnsi="宋体"/>
                <w:b w:val="0"/>
                <w:bCs w:val="0"/>
                <w:sz w:val="24"/>
              </w:rPr>
              <w:t>在</w:t>
            </w:r>
            <w:r>
              <w:rPr>
                <w:rFonts w:hint="eastAsia" w:ascii="宋体" w:hAnsi="宋体"/>
                <w:b w:val="0"/>
                <w:bCs w:val="0"/>
                <w:sz w:val="24"/>
              </w:rPr>
              <w:t>开阳至息烽高速公路西北侧建设温泉服务区加油站二站项目，项目建设符合国家产业政策，项目选址合理。项目施工期产生的主要污染物为扬尘、噪声、废水和固体废</w:t>
            </w:r>
            <w:r>
              <w:rPr>
                <w:rFonts w:hint="eastAsia" w:hAnsi="宋体"/>
                <w:b w:val="0"/>
                <w:bCs w:val="0"/>
                <w:sz w:val="24"/>
              </w:rPr>
              <w:t>物。</w:t>
            </w:r>
            <w:r>
              <w:rPr>
                <w:rFonts w:hint="eastAsia"/>
                <w:b w:val="0"/>
                <w:bCs w:val="0"/>
                <w:sz w:val="24"/>
              </w:rPr>
              <w:t>施工期的环境影响是暂时的，采取本报告提出的治理措施后，能有效降低施工期产生的扬尘、噪声、废水和固体废物对周边环境的影响。项目投产</w:t>
            </w:r>
            <w:r>
              <w:rPr>
                <w:b w:val="0"/>
                <w:bCs w:val="0"/>
                <w:sz w:val="24"/>
              </w:rPr>
              <w:t>后</w:t>
            </w:r>
            <w:r>
              <w:rPr>
                <w:rFonts w:hint="eastAsia"/>
                <w:b w:val="0"/>
                <w:bCs w:val="0"/>
                <w:sz w:val="24"/>
              </w:rPr>
              <w:t>产生的废气、废水、噪声经采取本报告提出的环保治理措施后均能达标排放，固体废物均得到妥善处置。项目运行对区域环境的影响较小，</w:t>
            </w:r>
            <w:r>
              <w:rPr>
                <w:b w:val="0"/>
                <w:bCs w:val="0"/>
                <w:sz w:val="24"/>
              </w:rPr>
              <w:t>区域环境能够满足环境保护目标要求。</w:t>
            </w:r>
            <w:r>
              <w:rPr>
                <w:rFonts w:hint="eastAsia"/>
                <w:b w:val="0"/>
                <w:bCs w:val="0"/>
                <w:sz w:val="24"/>
              </w:rPr>
              <w:t>从环境保护的角度分析，</w:t>
            </w:r>
            <w:r>
              <w:rPr>
                <w:b w:val="0"/>
                <w:bCs w:val="0"/>
                <w:sz w:val="24"/>
              </w:rPr>
              <w:t>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tabs>
                <w:tab w:val="left" w:pos="624"/>
              </w:tabs>
              <w:spacing w:line="360" w:lineRule="auto"/>
              <w:ind w:firstLine="480" w:firstLineChars="200"/>
              <w:rPr>
                <w:sz w:val="24"/>
              </w:rPr>
            </w:pPr>
            <w:r>
              <w:rPr>
                <w:rFonts w:hint="eastAsia"/>
                <w:sz w:val="24"/>
              </w:rPr>
              <w:t>（1）项目投产后，必须严格执行“三同时”制度，即项目防治污染的措施，必须与主题工程</w:t>
            </w:r>
            <w:r>
              <w:rPr>
                <w:sz w:val="24"/>
              </w:rPr>
              <w:t>同时设计、同时施工、同时</w:t>
            </w:r>
            <w:r>
              <w:rPr>
                <w:rFonts w:hint="eastAsia"/>
                <w:sz w:val="24"/>
              </w:rPr>
              <w:t>投产</w:t>
            </w:r>
            <w:r>
              <w:rPr>
                <w:sz w:val="24"/>
              </w:rPr>
              <w:t>使用</w:t>
            </w:r>
            <w:r>
              <w:rPr>
                <w:rFonts w:hint="eastAsia"/>
                <w:sz w:val="24"/>
              </w:rPr>
              <w:t>。</w:t>
            </w:r>
          </w:p>
          <w:p>
            <w:pPr>
              <w:spacing w:line="360" w:lineRule="auto"/>
              <w:ind w:firstLine="480"/>
              <w:rPr>
                <w:sz w:val="24"/>
              </w:rPr>
            </w:pPr>
            <w:r>
              <w:rPr>
                <w:rFonts w:hint="eastAsia"/>
                <w:sz w:val="24"/>
              </w:rPr>
              <w:t>（2）</w:t>
            </w:r>
            <w:r>
              <w:rPr>
                <w:rFonts w:hAnsi="宋体"/>
                <w:sz w:val="24"/>
              </w:rPr>
              <w:t>加强对施工建设的管理，文明施工、安全施工，对环境的影响降低至最低程度。</w:t>
            </w:r>
          </w:p>
          <w:p>
            <w:pPr>
              <w:pStyle w:val="8"/>
              <w:spacing w:line="360" w:lineRule="auto"/>
              <w:ind w:left="0" w:right="0" w:firstLine="480"/>
              <w:rPr>
                <w:rFonts w:ascii="Times New Roman"/>
                <w:sz w:val="24"/>
              </w:rPr>
            </w:pPr>
            <w:r>
              <w:rPr>
                <w:rFonts w:hint="eastAsia" w:ascii="Times New Roman"/>
                <w:sz w:val="24"/>
              </w:rPr>
              <w:t>（3）</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8"/>
              <w:spacing w:line="360" w:lineRule="auto"/>
              <w:ind w:left="0" w:right="0" w:firstLine="480"/>
              <w:rPr>
                <w:rFonts w:ascii="Times New Roman"/>
                <w:sz w:val="24"/>
              </w:rPr>
            </w:pPr>
            <w:r>
              <w:rPr>
                <w:rFonts w:hint="eastAsia" w:ascii="Times New Roman"/>
                <w:sz w:val="24"/>
              </w:rPr>
              <w:t>（4）</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pStyle w:val="8"/>
              <w:spacing w:line="360" w:lineRule="auto"/>
              <w:ind w:left="0" w:right="0" w:firstLine="480"/>
              <w:rPr>
                <w:rFonts w:ascii="Times New Roman"/>
                <w:sz w:val="24"/>
              </w:rPr>
            </w:pPr>
            <w:r>
              <w:rPr>
                <w:rFonts w:hint="eastAsia" w:ascii="Times New Roman"/>
                <w:sz w:val="24"/>
              </w:rPr>
              <w:t>（5）</w:t>
            </w:r>
            <w:r>
              <w:rPr>
                <w:rFonts w:ascii="Times New Roman"/>
                <w:sz w:val="24"/>
              </w:rPr>
              <w:t>加油站内可种植草坪、设置花坛，但不得种植油性植物。</w:t>
            </w:r>
          </w:p>
          <w:p>
            <w:pPr>
              <w:spacing w:line="348" w:lineRule="auto"/>
              <w:ind w:firstLine="480" w:firstLineChars="200"/>
              <w:rPr>
                <w:rFonts w:ascii="Times New Roman" w:hAnsi="Times New Roman" w:cs="Times New Roman"/>
                <w:b/>
                <w:bCs/>
                <w:sz w:val="28"/>
                <w:szCs w:val="28"/>
              </w:rPr>
            </w:pPr>
            <w:r>
              <w:rPr>
                <w:rFonts w:hint="eastAsia"/>
                <w:sz w:val="24"/>
              </w:rPr>
              <w:t>（6）</w:t>
            </w:r>
            <w:r>
              <w:rPr>
                <w:sz w:val="24"/>
              </w:rPr>
              <w:t>进一步加强对职工环境保护和消防的宣传教育工作，提高全体员工的环保意识，做到环境保护、安全生产人人有责，并落实到每个员工身上。</w:t>
            </w:r>
          </w:p>
          <w:p>
            <w:pPr>
              <w:rPr>
                <w:rFonts w:ascii="Times New Roman" w:hAnsi="Times New Roman" w:cs="Times New Roman"/>
                <w:b/>
                <w:bCs/>
                <w:sz w:val="28"/>
                <w:szCs w:val="28"/>
              </w:rPr>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20"/>
              <w:ind w:firstLine="480"/>
              <w:jc w:val="both"/>
            </w:pPr>
            <w:r>
              <w:drawing>
                <wp:inline distT="0" distB="0" distL="0" distR="0">
                  <wp:extent cx="4933950" cy="7276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l="2224" t="4472" r="1790" b="2334"/>
                          <a:stretch>
                            <a:fillRect/>
                          </a:stretch>
                        </pic:blipFill>
                        <pic:spPr>
                          <a:xfrm>
                            <a:off x="0" y="0"/>
                            <a:ext cx="4966908" cy="7325070"/>
                          </a:xfrm>
                          <a:prstGeom prst="rect">
                            <a:avLst/>
                          </a:prstGeom>
                          <a:ln>
                            <a:noFill/>
                          </a:ln>
                        </pic:spPr>
                      </pic:pic>
                    </a:graphicData>
                  </a:graphic>
                </wp:inline>
              </w:drawing>
            </w:r>
          </w:p>
          <w:p>
            <w:pPr>
              <w:pStyle w:val="20"/>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3" w:name="_Toc22230"/>
      <w:r>
        <w:rPr>
          <w:rFonts w:ascii="Times New Roman" w:hAnsi="Times New Roman" w:cs="Times New Roman"/>
          <w:b/>
          <w:sz w:val="28"/>
          <w:szCs w:val="28"/>
        </w:rPr>
        <w:t>表四  验收监测标准</w:t>
      </w:r>
      <w:bookmarkEnd w:id="13"/>
    </w:p>
    <w:tbl>
      <w:tblPr>
        <w:tblStyle w:val="1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7"/>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2类及4a</w:t>
                  </w:r>
                  <w:r>
                    <w:rPr>
                      <w:rFonts w:ascii="Times New Roman" w:hAnsi="Times New Roman" w:cs="Times New Roman"/>
                      <w:bCs/>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4" w:name="_Toc26604"/>
      <w:bookmarkStart w:id="15" w:name="_Toc22536"/>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4"/>
      <w:bookmarkEnd w:id="15"/>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6" w:name="_Toc3687"/>
            <w:r>
              <w:rPr>
                <w:rFonts w:ascii="Times New Roman" w:hAnsi="Times New Roman" w:cs="Times New Roman"/>
                <w:b/>
                <w:sz w:val="28"/>
                <w:szCs w:val="28"/>
              </w:rPr>
              <w:t>5.1</w:t>
            </w:r>
            <w:bookmarkStart w:id="17" w:name="_Toc338170898"/>
            <w:bookmarkStart w:id="18" w:name="_Toc338171815"/>
            <w:bookmarkStart w:id="19" w:name="_Toc346805210"/>
            <w:bookmarkStart w:id="20" w:name="_Toc352244157"/>
            <w:r>
              <w:rPr>
                <w:rFonts w:ascii="Times New Roman" w:hAnsi="Times New Roman" w:eastAsia="宋体" w:cs="Times New Roman"/>
                <w:b/>
                <w:bCs/>
                <w:sz w:val="28"/>
                <w:szCs w:val="28"/>
              </w:rPr>
              <w:t>监测质量保证</w:t>
            </w:r>
            <w:bookmarkEnd w:id="17"/>
            <w:bookmarkEnd w:id="18"/>
            <w:bookmarkEnd w:id="19"/>
            <w:bookmarkEnd w:id="20"/>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w:t>
            </w:r>
            <w:r>
              <w:rPr>
                <w:rFonts w:hint="eastAsia" w:ascii="Times New Roman" w:hAnsi="Times New Roman" w:eastAsia="宋体" w:cs="Times New Roman"/>
                <w:sz w:val="24"/>
              </w:rPr>
              <w:t>后</w:t>
            </w:r>
            <w:r>
              <w:rPr>
                <w:rFonts w:ascii="Times New Roman" w:hAnsi="Times New Roman" w:eastAsia="宋体" w:cs="Times New Roman"/>
                <w:sz w:val="24"/>
              </w:rPr>
              <w:t>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w:t>
            </w:r>
            <w:r>
              <w:rPr>
                <w:rFonts w:hint="eastAsia" w:ascii="Times New Roman" w:hAnsi="Times New Roman" w:cs="Times New Roman"/>
                <w:sz w:val="24"/>
              </w:rPr>
              <w:t>可靠</w:t>
            </w:r>
            <w:r>
              <w:rPr>
                <w:rFonts w:ascii="Times New Roman" w:hAnsi="Times New Roman" w:cs="Times New Roman"/>
                <w:sz w:val="24"/>
              </w:rPr>
              <w:t>、有效</w:t>
            </w:r>
            <w:r>
              <w:rPr>
                <w:rFonts w:ascii="Times New Roman" w:hAnsi="Times New Roman" w:eastAsia="宋体" w:cs="Times New Roman"/>
                <w:sz w:val="24"/>
              </w:rPr>
              <w:t>。</w:t>
            </w:r>
            <w:bookmarkEnd w:id="16"/>
          </w:p>
        </w:tc>
      </w:tr>
    </w:tbl>
    <w:p>
      <w:pPr>
        <w:rPr>
          <w:rFonts w:ascii="Times New Roman" w:hAnsi="Times New Roman" w:cs="Times New Roman"/>
        </w:rPr>
      </w:pPr>
    </w:p>
    <w:p>
      <w:pPr>
        <w:pStyle w:val="2"/>
        <w:rPr>
          <w:rFonts w:ascii="Times New Roman" w:hAnsi="Times New Roman"/>
        </w:rPr>
      </w:pPr>
      <w:bookmarkStart w:id="21" w:name="_Toc8246"/>
      <w:bookmarkStart w:id="22" w:name="_Toc10699"/>
      <w:r>
        <w:rPr>
          <w:rFonts w:ascii="Times New Roman" w:hAnsi="Times New Roman"/>
        </w:rPr>
        <w:t>表六  验收监测内容</w:t>
      </w:r>
      <w:bookmarkEnd w:id="21"/>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9288" w:type="dxa"/>
          </w:tcPr>
          <w:p>
            <w:pPr>
              <w:pStyle w:val="3"/>
              <w:outlineLvl w:val="1"/>
              <w:rPr>
                <w:rFonts w:ascii="Times New Roman" w:hAnsi="Times New Roman" w:eastAsia="宋体"/>
              </w:rPr>
            </w:pPr>
            <w:bookmarkStart w:id="23" w:name="_Toc23272"/>
            <w:bookmarkStart w:id="24" w:name="_Toc9364"/>
            <w:bookmarkStart w:id="25" w:name="_Toc29098"/>
            <w:bookmarkStart w:id="26" w:name="_Toc32648"/>
            <w:bookmarkStart w:id="27" w:name="_Toc32652"/>
            <w:bookmarkStart w:id="28" w:name="_Toc7635"/>
            <w:bookmarkStart w:id="29" w:name="_Toc8191"/>
            <w:bookmarkStart w:id="30" w:name="_Toc3050"/>
            <w:bookmarkStart w:id="31" w:name="_Toc20884"/>
            <w:bookmarkStart w:id="32" w:name="_Toc1076"/>
            <w:bookmarkStart w:id="33" w:name="_Toc6960"/>
            <w:bookmarkStart w:id="34" w:name="_Toc12471"/>
            <w:r>
              <w:rPr>
                <w:rFonts w:ascii="Times New Roman" w:hAnsi="Times New Roman"/>
              </w:rPr>
              <w:t>6</w:t>
            </w:r>
            <w:r>
              <w:rPr>
                <w:rFonts w:ascii="Times New Roman" w:hAnsi="Times New Roman" w:eastAsia="宋体"/>
              </w:rPr>
              <w:t>.1 环境保护设施调试效果</w:t>
            </w:r>
            <w:bookmarkEnd w:id="23"/>
            <w:bookmarkEnd w:id="24"/>
            <w:bookmarkEnd w:id="25"/>
            <w:bookmarkEnd w:id="26"/>
            <w:bookmarkEnd w:id="27"/>
            <w:bookmarkEnd w:id="28"/>
            <w:bookmarkEnd w:id="29"/>
            <w:bookmarkEnd w:id="30"/>
            <w:bookmarkEnd w:id="31"/>
            <w:bookmarkEnd w:id="32"/>
            <w:bookmarkEnd w:id="33"/>
            <w:bookmarkEnd w:id="34"/>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通过对各类污染物达标排放，来说明环境保护设施调试效果，具体监测内容如下：</w:t>
            </w:r>
          </w:p>
          <w:p>
            <w:pPr>
              <w:spacing w:line="360" w:lineRule="auto"/>
              <w:rPr>
                <w:rFonts w:ascii="Times New Roman" w:hAnsi="Times New Roman" w:cs="Times New Roman"/>
                <w:b/>
                <w:bCs/>
                <w:sz w:val="24"/>
              </w:rPr>
            </w:pPr>
            <w:bookmarkStart w:id="35" w:name="_Toc21542"/>
            <w:bookmarkStart w:id="36" w:name="_Toc9704"/>
            <w:bookmarkStart w:id="37" w:name="_Toc23731"/>
            <w:bookmarkStart w:id="38"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20"/>
              <w:ind w:firstLine="480"/>
              <w:jc w:val="both"/>
            </w:pPr>
            <w:r>
              <w:rPr>
                <w:rFonts w:hint="eastAsia"/>
              </w:rPr>
              <w:t xml:space="preserve"> 本次废水监测在废水处理设施进出口各设一个监测点，监测项目见表6-1；</w:t>
            </w:r>
          </w:p>
          <w:p>
            <w:pPr>
              <w:pStyle w:val="20"/>
              <w:ind w:firstLine="480"/>
              <w:jc w:val="both"/>
            </w:pPr>
            <w:r>
              <w:rPr>
                <w:rFonts w:hint="eastAsia"/>
              </w:rPr>
              <w:t xml:space="preserve"> </w:t>
            </w:r>
            <w:r>
              <w:t xml:space="preserve">                </w:t>
            </w:r>
            <w:r>
              <w:rPr>
                <w:rFonts w:hint="eastAsia"/>
              </w:rPr>
              <w:t>表6-1废水监测点位和监测项目</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left"/>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污水处理设施进口</w:t>
                  </w:r>
                </w:p>
              </w:tc>
              <w:tc>
                <w:tcPr>
                  <w:tcW w:w="275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pH、</w:t>
                  </w:r>
                  <w:r>
                    <w:rPr>
                      <w:rFonts w:ascii="Times New Roman" w:hAnsi="Times New Roman" w:eastAsia="宋体" w:cs="Times New Roman"/>
                      <w:szCs w:val="21"/>
                    </w:rPr>
                    <w:t>SS</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cr、</w:t>
                  </w:r>
                  <w:r>
                    <w:rPr>
                      <w:rFonts w:ascii="Times New Roman" w:hAnsi="Times New Roman" w:eastAsia="宋体" w:cs="Times New Roman"/>
                      <w:szCs w:val="21"/>
                    </w:rPr>
                    <w:t>BOD</w:t>
                  </w:r>
                  <w:r>
                    <w:rPr>
                      <w:rFonts w:hint="eastAsia" w:ascii="Times New Roman" w:hAnsi="Times New Roman" w:eastAsia="宋体" w:cs="Times New Roman"/>
                      <w:szCs w:val="21"/>
                    </w:rPr>
                    <w:t>、氨氮、石油、动植物油</w:t>
                  </w:r>
                </w:p>
              </w:tc>
              <w:tc>
                <w:tcPr>
                  <w:tcW w:w="2448"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监测两天，每天4次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污水处理设施出口</w:t>
                  </w:r>
                </w:p>
              </w:tc>
              <w:tc>
                <w:tcPr>
                  <w:tcW w:w="275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448"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0"/>
              <w:ind w:firstLine="480"/>
              <w:jc w:val="both"/>
            </w:pPr>
            <w:r>
              <w:rPr>
                <w:rFonts w:hint="eastAsia"/>
              </w:rPr>
              <w:t>2、废水监测分析方法</w:t>
            </w:r>
          </w:p>
          <w:p>
            <w:pPr>
              <w:pStyle w:val="20"/>
              <w:ind w:firstLine="480"/>
              <w:jc w:val="both"/>
            </w:pPr>
            <w:r>
              <w:rPr>
                <w:rFonts w:hint="eastAsia"/>
              </w:rPr>
              <w:t>废水监测分析方法见表6-2</w:t>
            </w:r>
          </w:p>
          <w:p>
            <w:pPr>
              <w:pStyle w:val="20"/>
              <w:ind w:firstLine="480"/>
              <w:jc w:val="both"/>
            </w:pPr>
            <w:r>
              <w:rPr>
                <w:rFonts w:hint="eastAsia"/>
              </w:rPr>
              <w:t xml:space="preserve"> </w:t>
            </w:r>
            <w:r>
              <w:t xml:space="preserve">                </w:t>
            </w:r>
            <w:r>
              <w:rPr>
                <w:rFonts w:hint="eastAsia"/>
              </w:rPr>
              <w:t>表6-2废水监测分析方法</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02"/>
              <w:gridCol w:w="2268"/>
              <w:gridCol w:w="2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
                      <w:szCs w:val="21"/>
                    </w:rPr>
                  </w:pPr>
                  <w:r>
                    <w:rPr>
                      <w:rFonts w:hint="eastAsia" w:ascii="Times New Roman" w:hAnsi="Times New Roman" w:eastAsia="宋体" w:cs="Times New Roman"/>
                      <w:b/>
                      <w:szCs w:val="21"/>
                    </w:rPr>
                    <w:t>项目</w:t>
                  </w:r>
                </w:p>
              </w:tc>
              <w:tc>
                <w:tcPr>
                  <w:tcW w:w="3402"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方法依据</w:t>
                  </w:r>
                </w:p>
              </w:tc>
              <w:tc>
                <w:tcPr>
                  <w:tcW w:w="2268"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设备</w:t>
                  </w:r>
                </w:p>
              </w:tc>
              <w:tc>
                <w:tcPr>
                  <w:tcW w:w="2254"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p</w:t>
                  </w:r>
                  <w:r>
                    <w:rPr>
                      <w:rFonts w:ascii="Times New Roman" w:hAnsi="Times New Roman" w:eastAsia="宋体" w:cs="Times New Roman"/>
                      <w:bCs/>
                      <w:szCs w:val="21"/>
                    </w:rPr>
                    <w:t>H</w:t>
                  </w:r>
                </w:p>
              </w:tc>
              <w:tc>
                <w:tcPr>
                  <w:tcW w:w="3402" w:type="dxa"/>
                  <w:tcBorders>
                    <w:tl2br w:val="nil"/>
                    <w:tr2bl w:val="nil"/>
                  </w:tcBorders>
                  <w:vAlign w:val="center"/>
                </w:tcPr>
                <w:p>
                  <w:pPr>
                    <w:ind w:left="630" w:hanging="630" w:hangingChars="300"/>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eastAsia="zh-CN"/>
                    </w:rPr>
                    <w:t>水质</w:t>
                  </w:r>
                  <w:r>
                    <w:rPr>
                      <w:rFonts w:hint="eastAsia" w:ascii="Times New Roman" w:hAnsi="Times New Roman" w:eastAsia="宋体" w:cs="Times New Roman"/>
                      <w:bCs/>
                      <w:szCs w:val="21"/>
                      <w:lang w:val="en-US" w:eastAsia="zh-CN"/>
                    </w:rPr>
                    <w:t xml:space="preserve"> pH 值的测定 玻璃电极法</w:t>
                  </w:r>
                </w:p>
              </w:tc>
              <w:tc>
                <w:tcPr>
                  <w:tcW w:w="2268" w:type="dxa"/>
                  <w:tcBorders>
                    <w:tl2br w:val="nil"/>
                    <w:tr2bl w:val="nil"/>
                  </w:tcBorders>
                  <w:vAlign w:val="center"/>
                </w:tcPr>
                <w:p>
                  <w:pPr>
                    <w:ind w:firstLine="48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笔式酸度计</w:t>
                  </w:r>
                </w:p>
                <w:p>
                  <w:pPr>
                    <w:ind w:firstLine="48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MD-105-02</w:t>
                  </w:r>
                </w:p>
              </w:tc>
              <w:tc>
                <w:tcPr>
                  <w:tcW w:w="2254" w:type="dxa"/>
                  <w:tcBorders>
                    <w:tl2br w:val="nil"/>
                    <w:tr2bl w:val="nil"/>
                  </w:tcBorders>
                  <w:vAlign w:val="center"/>
                </w:tcPr>
                <w:p>
                  <w:pPr>
                    <w:ind w:firstLine="480"/>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悬浮物</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悬浮物的测定 重量法</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11901-89）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电子天平</w:t>
                  </w:r>
                </w:p>
                <w:p>
                  <w:pPr>
                    <w:ind w:firstLine="480"/>
                    <w:jc w:val="center"/>
                    <w:rPr>
                      <w:rFonts w:ascii="Times New Roman" w:hAnsi="Times New Roman" w:eastAsia="宋体" w:cs="Times New Roman"/>
                      <w:szCs w:val="21"/>
                    </w:rPr>
                  </w:pPr>
                  <w:r>
                    <w:rPr>
                      <w:rFonts w:ascii="Times New Roman" w:hAnsi="Times New Roman" w:eastAsia="宋体" w:cs="Times New Roman"/>
                      <w:szCs w:val="21"/>
                    </w:rPr>
                    <w:t>MD-114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化学需氧量</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化学需氧量 重铬酸盐法</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HJ828-2017</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酸式滴定管</w:t>
                  </w:r>
                </w:p>
                <w:p>
                  <w:pPr>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2</w:t>
                  </w:r>
                  <w:r>
                    <w:rPr>
                      <w:rFonts w:ascii="Times New Roman" w:hAnsi="Times New Roman" w:eastAsia="宋体" w:cs="Times New Roman"/>
                      <w:szCs w:val="21"/>
                    </w:rPr>
                    <w:t>018110102</w:t>
                  </w:r>
                  <w:r>
                    <w:rPr>
                      <w:rFonts w:hint="eastAsia" w:ascii="Times New Roman" w:hAnsi="Times New Roman" w:eastAsia="宋体" w:cs="Times New Roman"/>
                      <w:szCs w:val="21"/>
                      <w:lang w:val="en-US" w:eastAsia="zh-CN"/>
                    </w:rPr>
                    <w:t>1</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4mg/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五日生化需氧量（B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r>
                    <w:rPr>
                      <w:rFonts w:hint="eastAsia" w:ascii="Times New Roman" w:hAnsi="Times New Roman" w:eastAsia="宋体" w:cs="Times New Roman"/>
                      <w:bCs/>
                      <w:szCs w:val="21"/>
                    </w:rPr>
                    <w:t>的测定 稀释与接种法》（</w:t>
                  </w:r>
                  <w:r>
                    <w:rPr>
                      <w:rFonts w:ascii="Times New Roman" w:hAnsi="Times New Roman" w:eastAsia="宋体" w:cs="Times New Roman"/>
                      <w:bCs/>
                      <w:szCs w:val="21"/>
                    </w:rPr>
                    <w:t>HJ505-2009</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生化培养箱</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 5mg/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氨氮</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氨氮的测定 纳氏试剂分光光度法》（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535-2009）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D-004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0.025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石油</w:t>
                  </w:r>
                </w:p>
              </w:tc>
              <w:tc>
                <w:tcPr>
                  <w:tcW w:w="3402"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石油类和动植物油类的测定 红外分光光度法》（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637-2018）</w:t>
                  </w:r>
                </w:p>
              </w:tc>
              <w:tc>
                <w:tcPr>
                  <w:tcW w:w="226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红外分光测油仪</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D-089</w:t>
                  </w:r>
                </w:p>
              </w:tc>
              <w:tc>
                <w:tcPr>
                  <w:tcW w:w="2254"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0.06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动植物油</w:t>
                  </w:r>
                </w:p>
              </w:tc>
              <w:tc>
                <w:tcPr>
                  <w:tcW w:w="3402"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6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54"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0"/>
              <w:ind w:firstLine="480"/>
              <w:jc w:val="both"/>
            </w:pP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5"/>
            <w:bookmarkEnd w:id="36"/>
            <w:bookmarkEnd w:id="37"/>
            <w:bookmarkEnd w:id="38"/>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3</w:t>
            </w:r>
            <w:r>
              <w:rPr>
                <w:rFonts w:ascii="Times New Roman" w:hAnsi="Times New Roman" w:eastAsia="宋体" w:cs="Times New Roman"/>
                <w:b/>
                <w:sz w:val="24"/>
              </w:rPr>
              <w:t>无组织废气监测点位和监测项目</w:t>
            </w:r>
          </w:p>
          <w:tbl>
            <w:tblPr>
              <w:tblStyle w:val="17"/>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上风向参照点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4</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4</w:t>
            </w:r>
            <w:r>
              <w:rPr>
                <w:rFonts w:ascii="Times New Roman" w:hAnsi="Times New Roman" w:eastAsia="宋体" w:cs="Times New Roman"/>
                <w:b/>
                <w:sz w:val="24"/>
              </w:rPr>
              <w:t xml:space="preserve"> 废气监测分析方法</w:t>
            </w:r>
          </w:p>
          <w:tbl>
            <w:tblPr>
              <w:tblStyle w:val="17"/>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39" w:name="_Toc20647"/>
            <w:bookmarkStart w:id="40" w:name="_Toc30098"/>
            <w:bookmarkStart w:id="41" w:name="_Toc13649"/>
            <w:bookmarkStart w:id="42" w:name="_Toc22872"/>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3</w:t>
            </w:r>
            <w:r>
              <w:rPr>
                <w:rFonts w:ascii="Times New Roman" w:hAnsi="Times New Roman" w:eastAsia="宋体" w:cs="Times New Roman"/>
                <w:b/>
                <w:sz w:val="24"/>
              </w:rPr>
              <w:t>噪声</w:t>
            </w:r>
            <w:bookmarkEnd w:id="39"/>
            <w:bookmarkEnd w:id="40"/>
            <w:bookmarkEnd w:id="41"/>
            <w:bookmarkEnd w:id="42"/>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-5。监测布点图见图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-5</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噪声监测点位和监测项目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7"/>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 xml:space="preserve">-6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MD-</w:t>
                  </w:r>
                  <w:r>
                    <w:rPr>
                      <w:rFonts w:hint="eastAsia" w:ascii="Times New Roman" w:hAnsi="Times New Roman" w:eastAsia="宋体" w:cs="Times New Roman"/>
                      <w:szCs w:val="21"/>
                    </w:rPr>
                    <w:t>095-0</w:t>
                  </w:r>
                  <w:r>
                    <w:rPr>
                      <w:rFonts w:hint="eastAsia" w:ascii="Times New Roman" w:hAnsi="Times New Roman" w:eastAsia="宋体" w:cs="Times New Roman"/>
                      <w:szCs w:val="21"/>
                      <w:lang w:val="en-US" w:eastAsia="zh-CN"/>
                    </w:rPr>
                    <w:t>4</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w:t>
            </w:r>
            <w:r>
              <w:rPr>
                <w:rFonts w:hint="eastAsia" w:ascii="Times New Roman" w:hAnsi="Times New Roman" w:cs="Times New Roman"/>
                <w:b/>
                <w:sz w:val="24"/>
                <w:lang w:val="en-US" w:eastAsia="zh-CN"/>
              </w:rPr>
              <w:t>4</w:t>
            </w:r>
            <w:r>
              <w:rPr>
                <w:rFonts w:hint="eastAsia" w:ascii="Times New Roman" w:hAnsi="Times New Roman" w:cs="Times New Roman"/>
                <w:b/>
                <w:sz w:val="24"/>
              </w:rPr>
              <w:t>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本次油汽回收对加油站油汽系统进行监测；监测点位和监测项目见表6-7；</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7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油汽回收监测分析方法见表6-8</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8  油汽回收</w:t>
            </w:r>
            <w:r>
              <w:rPr>
                <w:rFonts w:ascii="Times New Roman" w:hAnsi="Times New Roman" w:eastAsia="宋体" w:cs="Times New Roman"/>
                <w:b/>
                <w:sz w:val="24"/>
              </w:rPr>
              <w:t>监测分析方法</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规范性附录A（G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B</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C</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5</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eastAsia="宋体" w:cs="Times New Roman"/>
                <w:b/>
                <w:bCs/>
                <w:sz w:val="24"/>
              </w:rPr>
            </w:pPr>
            <w:r>
              <w:pict>
                <v:rect id="_x0000_s1086" o:spid="_x0000_s1086" o:spt="1" style="position:absolute;left:0pt;margin-left:357.15pt;margin-top:227.25pt;height:25.2pt;width:55.8pt;z-index:251663360;mso-width-relative:page;mso-height-relative:page;" stroked="t" coordsize="21600,21600">
                  <v:path/>
                  <v:fill focussize="0,0"/>
                  <v:stroke color="#FFFFFF"/>
                  <v:imagedata o:title=""/>
                  <o:lock v:ext="edit"/>
                  <v:textbox>
                    <w:txbxContent>
                      <w:p>
                        <w:r>
                          <w:t xml:space="preserve">   </w:t>
                        </w:r>
                      </w:p>
                    </w:txbxContent>
                  </v:textbox>
                </v:rect>
              </w:pict>
            </w:r>
            <w:r>
              <w:rPr>
                <w:rFonts w:ascii="Times New Roman" w:hAnsi="Times New Roman" w:cs="Times New Roman"/>
                <w:b/>
                <w:bCs/>
                <w:sz w:val="24"/>
              </w:rPr>
              <w:t>6</w:t>
            </w:r>
            <w:r>
              <w:rPr>
                <w:rFonts w:ascii="Times New Roman" w:hAnsi="Times New Roman" w:eastAsia="宋体" w:cs="Times New Roman"/>
                <w:b/>
                <w:bCs/>
                <w:sz w:val="24"/>
              </w:rPr>
              <w:t>.1.</w:t>
            </w:r>
            <w:r>
              <w:rPr>
                <w:rFonts w:hint="eastAsia" w:ascii="Times New Roman" w:hAnsi="Times New Roman" w:eastAsia="宋体" w:cs="Times New Roman"/>
                <w:b/>
                <w:bCs/>
                <w:sz w:val="24"/>
                <w:lang w:val="en-US" w:eastAsia="zh-CN"/>
              </w:rPr>
              <w:t>6</w:t>
            </w:r>
            <w:r>
              <w:rPr>
                <w:rFonts w:ascii="Times New Roman" w:hAnsi="Times New Roman" w:eastAsia="宋体" w:cs="Times New Roman"/>
                <w:b/>
                <w:bCs/>
                <w:sz w:val="24"/>
              </w:rPr>
              <w:t>监测布点图及现场监测图</w:t>
            </w:r>
          </w:p>
          <w:p>
            <w:pPr>
              <w:widowControl/>
              <w:jc w:val="left"/>
              <w:rPr>
                <w:rFonts w:ascii="宋体" w:hAnsi="宋体" w:eastAsia="宋体" w:cs="宋体"/>
                <w:kern w:val="0"/>
                <w:sz w:val="24"/>
              </w:rPr>
            </w:pPr>
            <w:r>
              <w:pict>
                <v:rect id="_x0000_s1088" o:spid="_x0000_s1088" o:spt="1" style="position:absolute;left:0pt;margin-left:74.75pt;margin-top:294.85pt;height:20.9pt;width:32.2pt;z-index:251665408;mso-width-relative:page;mso-height-relative:page;" fillcolor="#FFFFFF" filled="t" stroked="t" coordsize="21600,21600">
                  <v:path/>
                  <v:fill on="t" color2="#FFFFFF" focussize="0,0"/>
                  <v:stroke color="#FFFFFF" joinstyle="miter"/>
                  <v:imagedata o:title=""/>
                  <o:lock v:ext="edit" aspectratio="f"/>
                  <v:textbox>
                    <w:txbxContent>
                      <w:p>
                        <w:pPr>
                          <w:rPr>
                            <w:sz w:val="24"/>
                          </w:rPr>
                        </w:pPr>
                      </w:p>
                    </w:txbxContent>
                  </v:textbox>
                </v:rect>
              </w:pict>
            </w:r>
          </w:p>
          <w:p>
            <w:pPr>
              <w:spacing w:line="360" w:lineRule="auto"/>
              <w:rPr>
                <w:rFonts w:ascii="Times New Roman" w:hAnsi="Times New Roman" w:cs="Times New Roman"/>
                <w:b/>
                <w:bCs/>
                <w:sz w:val="24"/>
              </w:rPr>
            </w:pPr>
            <w:r>
              <w:drawing>
                <wp:inline distT="0" distB="0" distL="114300" distR="114300">
                  <wp:extent cx="5754370" cy="3394075"/>
                  <wp:effectExtent l="0" t="0" r="1778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754370" cy="3394075"/>
                          </a:xfrm>
                          <a:prstGeom prst="rect">
                            <a:avLst/>
                          </a:prstGeom>
                          <a:noFill/>
                          <a:ln>
                            <a:noFill/>
                          </a:ln>
                        </pic:spPr>
                      </pic:pic>
                    </a:graphicData>
                  </a:graphic>
                </wp:inline>
              </w:drawing>
            </w:r>
          </w:p>
          <w:p>
            <w:pPr>
              <w:spacing w:line="360" w:lineRule="auto"/>
              <w:jc w:val="center"/>
              <w:rPr>
                <w:rFonts w:ascii="Times New Roman" w:hAnsi="Times New Roman" w:cs="Times New Roman"/>
                <w:b/>
                <w:bCs/>
                <w:sz w:val="24"/>
              </w:rPr>
            </w:pPr>
          </w:p>
          <w:p>
            <w:pPr>
              <w:spacing w:line="360" w:lineRule="auto"/>
              <w:ind w:firstLine="3373" w:firstLineChars="1400"/>
              <w:rPr>
                <w:rFonts w:ascii="Times New Roman" w:hAnsi="Times New Roman" w:cs="Times New Roman"/>
                <w:b/>
                <w:color w:val="auto"/>
                <w:sz w:val="24"/>
              </w:rPr>
            </w:pPr>
            <w:r>
              <w:rPr>
                <w:rFonts w:ascii="Times New Roman" w:hAnsi="Times New Roman" w:cs="Times New Roman"/>
                <w:b/>
                <w:bCs/>
                <w:color w:val="auto"/>
                <w:sz w:val="24"/>
              </w:rPr>
              <w:t>图6-1 监测布点图</w:t>
            </w:r>
            <w:bookmarkStart w:id="43" w:name="_Toc30705"/>
            <w:bookmarkStart w:id="44" w:name="_Toc17845"/>
            <w:bookmarkStart w:id="45" w:name="_Toc24325"/>
            <w:bookmarkStart w:id="46" w:name="_Toc20816"/>
            <w:r>
              <w:rPr>
                <w:rFonts w:ascii="Times New Roman" w:hAnsi="Times New Roman" w:cs="Times New Roman"/>
                <w:b/>
                <w:color w:val="auto"/>
                <w:sz w:val="24"/>
              </w:rPr>
              <w:t xml:space="preserve">   </w:t>
            </w:r>
            <w:bookmarkEnd w:id="43"/>
            <w:bookmarkEnd w:id="44"/>
            <w:bookmarkEnd w:id="45"/>
            <w:bookmarkEnd w:id="46"/>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2940" w:firstLineChars="1400"/>
              <w:rPr>
                <w:rFonts w:ascii="Times New Roman" w:hAnsi="Times New Roman" w:cs="Times New Roman"/>
              </w:rPr>
            </w:pPr>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7" w:name="_Toc9058"/>
      <w:bookmarkStart w:id="48" w:name="_Toc18169"/>
      <w:r>
        <w:rPr>
          <w:rFonts w:ascii="Times New Roman" w:hAnsi="Times New Roman" w:cs="Times New Roman"/>
          <w:b/>
          <w:sz w:val="28"/>
          <w:szCs w:val="28"/>
        </w:rPr>
        <w:t xml:space="preserve">表七  </w:t>
      </w:r>
      <w:bookmarkEnd w:id="22"/>
      <w:bookmarkEnd w:id="47"/>
      <w:r>
        <w:rPr>
          <w:rFonts w:ascii="Times New Roman" w:hAnsi="Times New Roman" w:cs="Times New Roman"/>
          <w:b/>
          <w:sz w:val="28"/>
          <w:szCs w:val="28"/>
        </w:rPr>
        <w:t>验收监测结果</w:t>
      </w:r>
      <w:bookmarkEnd w:id="48"/>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p>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w:t>
            </w:r>
            <w:r>
              <w:rPr>
                <w:rFonts w:hint="eastAsia" w:ascii="Times New Roman" w:hAnsi="Times New Roman" w:cs="Times New Roman"/>
                <w:color w:val="auto"/>
                <w:kern w:val="0"/>
                <w:sz w:val="24"/>
              </w:rPr>
              <w:t>04</w:t>
            </w:r>
            <w:r>
              <w:rPr>
                <w:rFonts w:hint="eastAsia" w:ascii="Times New Roman" w:hAnsi="Times New Roman" w:cs="Times New Roman"/>
                <w:kern w:val="0"/>
                <w:sz w:val="24"/>
              </w:rPr>
              <w:t>月</w:t>
            </w:r>
            <w:r>
              <w:rPr>
                <w:rFonts w:hint="eastAsia" w:ascii="Times New Roman" w:hAnsi="Times New Roman" w:cs="Times New Roman"/>
                <w:color w:val="auto"/>
                <w:kern w:val="0"/>
                <w:sz w:val="24"/>
              </w:rPr>
              <w:t>30</w:t>
            </w:r>
            <w:r>
              <w:rPr>
                <w:rFonts w:hint="eastAsia" w:ascii="Times New Roman" w:hAnsi="Times New Roman" w:cs="Times New Roman"/>
                <w:kern w:val="0"/>
                <w:sz w:val="24"/>
              </w:rPr>
              <w:t>日，2020年</w:t>
            </w:r>
            <w:r>
              <w:rPr>
                <w:rFonts w:hint="eastAsia" w:ascii="Times New Roman" w:hAnsi="Times New Roman" w:cs="Times New Roman"/>
                <w:color w:val="auto"/>
                <w:kern w:val="0"/>
                <w:sz w:val="24"/>
              </w:rPr>
              <w:t>05</w:t>
            </w:r>
            <w:r>
              <w:rPr>
                <w:rFonts w:hint="eastAsia" w:ascii="Times New Roman" w:hAnsi="Times New Roman" w:cs="Times New Roman"/>
                <w:kern w:val="0"/>
                <w:sz w:val="24"/>
              </w:rPr>
              <w:t>月</w:t>
            </w:r>
            <w:r>
              <w:rPr>
                <w:rFonts w:hint="eastAsia" w:ascii="Times New Roman" w:hAnsi="Times New Roman" w:cs="Times New Roman"/>
                <w:color w:val="auto"/>
                <w:kern w:val="0"/>
                <w:sz w:val="24"/>
              </w:rPr>
              <w:t>27</w:t>
            </w:r>
            <w:r>
              <w:rPr>
                <w:rFonts w:hint="eastAsia" w:ascii="Times New Roman" w:hAnsi="Times New Roman" w:cs="Times New Roman"/>
                <w:kern w:val="0"/>
                <w:sz w:val="24"/>
              </w:rPr>
              <w:t>日至2020年05月28日</w:t>
            </w:r>
            <w:r>
              <w:rPr>
                <w:rFonts w:ascii="Times New Roman" w:hAnsi="Times New Roman" w:cs="Times New Roman"/>
                <w:kern w:val="0"/>
                <w:sz w:val="24"/>
              </w:rPr>
              <w:t>，</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永烽高速温泉服务区加油站二站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spacing w:line="360" w:lineRule="auto"/>
              <w:rPr>
                <w:rFonts w:ascii="Times New Roman" w:hAnsi="Times New Roman" w:cs="Times New Roman"/>
                <w:b/>
                <w:bCs/>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1</w:t>
            </w:r>
            <w:r>
              <w:rPr>
                <w:rFonts w:ascii="Times New Roman" w:hAnsi="Times New Roman" w:eastAsia="宋体" w:cs="Times New Roman"/>
                <w:b/>
                <w:bCs/>
                <w:sz w:val="24"/>
              </w:rPr>
              <w:t xml:space="preserve"> 废</w:t>
            </w:r>
            <w:r>
              <w:rPr>
                <w:rFonts w:ascii="Times New Roman" w:hAnsi="Times New Roman" w:cs="Times New Roman"/>
                <w:b/>
                <w:bCs/>
                <w:sz w:val="24"/>
              </w:rPr>
              <w:t>水</w:t>
            </w:r>
            <w:r>
              <w:rPr>
                <w:rFonts w:ascii="Times New Roman" w:hAnsi="Times New Roman" w:eastAsia="宋体" w:cs="Times New Roman"/>
                <w:b/>
                <w:bCs/>
                <w:sz w:val="24"/>
              </w:rPr>
              <w:t>监测及评价结果</w:t>
            </w:r>
          </w:p>
          <w:p>
            <w:pPr>
              <w:tabs>
                <w:tab w:val="left" w:pos="1350"/>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 xml:space="preserve"> </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废水监测结果见表7-1</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rFonts w:hint="eastAsia" w:ascii="Times New Roman" w:hAnsi="Times New Roman" w:cs="Times New Roman"/>
                <w:sz w:val="24"/>
              </w:rPr>
              <w:t>表7-1废水监测结果</w:t>
            </w:r>
          </w:p>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监测结果（mg/L）</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w:t>
                  </w:r>
                  <w:r>
                    <w:rPr>
                      <w:rFonts w:hint="eastAsia" w:ascii="Times New Roman" w:hAnsi="Times New Roman" w:eastAsia="宋体" w:cs="Times New Roman"/>
                      <w:b/>
                      <w:szCs w:val="21"/>
                    </w:rPr>
                    <w:t>四</w:t>
                  </w:r>
                  <w:r>
                    <w:rPr>
                      <w:rFonts w:ascii="Times New Roman" w:hAnsi="Times New Roman" w:eastAsia="宋体" w:cs="Times New Roman"/>
                      <w:b/>
                      <w:szCs w:val="21"/>
                    </w:rPr>
                    <w:t>频次</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污水处理设施进水口</w:t>
                  </w: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widowControl/>
                    <w:jc w:val="center"/>
                    <w:textAlignment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7.74</w:t>
                  </w:r>
                </w:p>
              </w:tc>
              <w:tc>
                <w:tcPr>
                  <w:tcW w:w="933"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7.78</w:t>
                  </w:r>
                </w:p>
              </w:tc>
              <w:tc>
                <w:tcPr>
                  <w:tcW w:w="933"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7.79</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7.81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11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28</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26</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27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widowControl/>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0.114</w:t>
                  </w:r>
                </w:p>
              </w:tc>
              <w:tc>
                <w:tcPr>
                  <w:tcW w:w="933" w:type="dxa"/>
                  <w:vAlign w:val="center"/>
                </w:tcPr>
                <w:p>
                  <w:pPr>
                    <w:widowControl/>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0.063</w:t>
                  </w:r>
                </w:p>
              </w:tc>
              <w:tc>
                <w:tcPr>
                  <w:tcW w:w="933" w:type="dxa"/>
                  <w:vAlign w:val="center"/>
                </w:tcPr>
                <w:p>
                  <w:pPr>
                    <w:widowControl/>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0.066</w:t>
                  </w:r>
                </w:p>
              </w:tc>
              <w:tc>
                <w:tcPr>
                  <w:tcW w:w="936" w:type="dxa"/>
                  <w:vAlign w:val="center"/>
                </w:tcPr>
                <w:p>
                  <w:pPr>
                    <w:widowControl/>
                    <w:jc w:val="center"/>
                    <w:textAlignment w:val="center"/>
                    <w:rPr>
                      <w:rFonts w:hint="default" w:ascii="Times New Roman" w:hAnsi="Times New Roman" w:eastAsia="等线" w:cs="Times New Roman"/>
                      <w:color w:val="000000" w:themeColor="text1"/>
                      <w:kern w:val="0"/>
                      <w:szCs w:val="21"/>
                      <w:lang w:val="en-US" w:eastAsia="zh-CN" w:bidi="ar"/>
                    </w:rPr>
                  </w:pPr>
                  <w:r>
                    <w:rPr>
                      <w:rFonts w:hint="eastAsia" w:ascii="Times New Roman" w:hAnsi="Times New Roman" w:eastAsia="等线" w:cs="Times New Roman"/>
                      <w:color w:val="000000" w:themeColor="text1"/>
                      <w:kern w:val="0"/>
                      <w:szCs w:val="21"/>
                      <w:lang w:val="en-US" w:eastAsia="zh-CN" w:bidi="ar"/>
                    </w:rPr>
                    <w:t>0.050</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933" w:type="dxa"/>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w:t>
                  </w:r>
                </w:p>
              </w:tc>
              <w:tc>
                <w:tcPr>
                  <w:tcW w:w="933" w:type="dxa"/>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7.8</w:t>
                  </w:r>
                </w:p>
              </w:tc>
              <w:tc>
                <w:tcPr>
                  <w:tcW w:w="936" w:type="dxa"/>
                  <w:vAlign w:val="center"/>
                </w:tcPr>
                <w:p>
                  <w:pPr>
                    <w:widowControl/>
                    <w:jc w:val="center"/>
                    <w:textAlignment w:val="center"/>
                    <w:rPr>
                      <w:rFonts w:hint="default" w:ascii="Times New Roman" w:hAnsi="Times New Roman" w:eastAsia="等线" w:cs="Times New Roman"/>
                      <w:color w:val="auto"/>
                      <w:kern w:val="0"/>
                      <w:szCs w:val="21"/>
                      <w:lang w:val="en-US" w:eastAsia="zh-CN" w:bidi="ar"/>
                    </w:rPr>
                  </w:pPr>
                  <w:r>
                    <w:rPr>
                      <w:rFonts w:hint="eastAsia" w:ascii="Times New Roman" w:hAnsi="Times New Roman" w:eastAsia="等线" w:cs="Times New Roman"/>
                      <w:color w:val="auto"/>
                      <w:kern w:val="0"/>
                      <w:szCs w:val="21"/>
                      <w:lang w:val="en-US" w:eastAsia="zh-CN" w:bidi="ar"/>
                    </w:rPr>
                    <w:t>7.8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0.12</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0.13</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0.18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w:t>
                  </w:r>
                </w:p>
              </w:tc>
              <w:tc>
                <w:tcPr>
                  <w:tcW w:w="933" w:type="dxa"/>
                  <w:vAlign w:val="center"/>
                </w:tcPr>
                <w:p>
                  <w:pPr>
                    <w:widowControl/>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0.09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7.81</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7.74</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7.76</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7.82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12</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13</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27</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23</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24</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lang w:val="en-US" w:eastAsia="zh-CN"/>
                    </w:rPr>
                    <w:t>29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0.117</w:t>
                  </w:r>
                </w:p>
              </w:tc>
              <w:tc>
                <w:tcPr>
                  <w:tcW w:w="933" w:type="dxa"/>
                  <w:vAlign w:val="center"/>
                </w:tcPr>
                <w:p>
                  <w:pPr>
                    <w:jc w:val="center"/>
                    <w:rPr>
                      <w:rFonts w:hint="default" w:ascii="Times New Roman" w:hAnsi="Times New Roman" w:eastAsia="宋体" w:cs="Times New Roman"/>
                      <w:color w:val="000000" w:themeColor="text1"/>
                      <w:kern w:val="0"/>
                      <w:szCs w:val="21"/>
                      <w:lang w:val="en-US" w:eastAsia="zh-CN" w:bidi="ar"/>
                    </w:rPr>
                  </w:pPr>
                  <w:r>
                    <w:rPr>
                      <w:rFonts w:hint="eastAsia" w:ascii="Times New Roman" w:hAnsi="Times New Roman" w:eastAsia="宋体" w:cs="Times New Roman"/>
                      <w:color w:val="000000" w:themeColor="text1"/>
                      <w:kern w:val="0"/>
                      <w:szCs w:val="21"/>
                      <w:lang w:val="en-US" w:eastAsia="zh-CN" w:bidi="ar"/>
                    </w:rPr>
                    <w:t>0.047</w:t>
                  </w:r>
                </w:p>
              </w:tc>
              <w:tc>
                <w:tcPr>
                  <w:tcW w:w="933" w:type="dxa"/>
                  <w:vAlign w:val="center"/>
                </w:tcPr>
                <w:p>
                  <w:pPr>
                    <w:jc w:val="center"/>
                    <w:rPr>
                      <w:rFonts w:hint="default" w:ascii="Times New Roman" w:hAnsi="Times New Roman" w:eastAsia="宋体" w:cs="Times New Roman"/>
                      <w:color w:val="000000" w:themeColor="text1"/>
                      <w:kern w:val="0"/>
                      <w:szCs w:val="21"/>
                      <w:lang w:val="en-US" w:eastAsia="zh-CN" w:bidi="ar"/>
                    </w:rPr>
                  </w:pPr>
                  <w:r>
                    <w:rPr>
                      <w:rFonts w:hint="eastAsia" w:ascii="Times New Roman" w:hAnsi="Times New Roman" w:eastAsia="宋体" w:cs="Times New Roman"/>
                      <w:color w:val="000000" w:themeColor="text1"/>
                      <w:kern w:val="0"/>
                      <w:szCs w:val="21"/>
                      <w:lang w:val="en-US" w:eastAsia="zh-CN" w:bidi="ar"/>
                    </w:rPr>
                    <w:t>0.077</w:t>
                  </w:r>
                </w:p>
              </w:tc>
              <w:tc>
                <w:tcPr>
                  <w:tcW w:w="936" w:type="dxa"/>
                  <w:vAlign w:val="center"/>
                </w:tcPr>
                <w:p>
                  <w:pPr>
                    <w:widowControl/>
                    <w:jc w:val="center"/>
                    <w:textAlignment w:val="center"/>
                    <w:rPr>
                      <w:rFonts w:hint="default" w:ascii="Times New Roman" w:hAnsi="Times New Roman" w:eastAsia="等线" w:cs="Times New Roman"/>
                      <w:color w:val="000000" w:themeColor="text1"/>
                      <w:kern w:val="0"/>
                      <w:szCs w:val="21"/>
                      <w:lang w:val="en-US" w:eastAsia="zh-CN" w:bidi="ar"/>
                    </w:rPr>
                  </w:pPr>
                  <w:r>
                    <w:rPr>
                      <w:rFonts w:hint="eastAsia" w:ascii="Times New Roman" w:hAnsi="Times New Roman" w:eastAsia="等线" w:cs="Times New Roman"/>
                      <w:color w:val="000000" w:themeColor="text1"/>
                      <w:kern w:val="0"/>
                      <w:szCs w:val="21"/>
                      <w:lang w:val="en-US" w:eastAsia="zh-CN" w:bidi="ar"/>
                    </w:rPr>
                    <w:t>0.071</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7.8</w:t>
                  </w:r>
                </w:p>
              </w:tc>
              <w:tc>
                <w:tcPr>
                  <w:tcW w:w="933" w:type="dxa"/>
                  <w:vAlign w:val="center"/>
                </w:tcPr>
                <w:p>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6.9</w:t>
                  </w:r>
                </w:p>
              </w:tc>
              <w:tc>
                <w:tcPr>
                  <w:tcW w:w="933" w:type="dxa"/>
                  <w:vAlign w:val="center"/>
                </w:tcPr>
                <w:p>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7.2</w:t>
                  </w:r>
                </w:p>
              </w:tc>
              <w:tc>
                <w:tcPr>
                  <w:tcW w:w="936" w:type="dxa"/>
                  <w:vAlign w:val="center"/>
                </w:tcPr>
                <w:p>
                  <w:pPr>
                    <w:widowControl/>
                    <w:jc w:val="center"/>
                    <w:textAlignment w:val="center"/>
                    <w:rPr>
                      <w:rFonts w:hint="default" w:ascii="Times New Roman" w:hAnsi="Times New Roman" w:eastAsia="等线" w:cs="Times New Roman"/>
                      <w:color w:val="auto"/>
                      <w:kern w:val="0"/>
                      <w:szCs w:val="21"/>
                      <w:lang w:val="en-US" w:eastAsia="zh-CN" w:bidi="ar"/>
                    </w:rPr>
                  </w:pPr>
                  <w:r>
                    <w:rPr>
                      <w:rFonts w:hint="eastAsia" w:ascii="Times New Roman" w:hAnsi="Times New Roman" w:eastAsia="等线" w:cs="Times New Roman"/>
                      <w:color w:val="auto"/>
                      <w:kern w:val="0"/>
                      <w:szCs w:val="21"/>
                      <w:lang w:val="en-US" w:eastAsia="zh-CN" w:bidi="ar"/>
                    </w:rPr>
                    <w:t>8.6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0.12</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0.17</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0.10</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0.12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0.16</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0.10</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0.20</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0.16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restart"/>
                  <w:vAlign w:val="center"/>
                </w:tcPr>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污水处理设施出口</w:t>
                  </w: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7.63</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7.62</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7.67</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7.63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933" w:type="dxa"/>
                  <w:vAlign w:val="center"/>
                </w:tcPr>
                <w:p>
                  <w:pPr>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5</w:t>
                  </w:r>
                </w:p>
              </w:tc>
              <w:tc>
                <w:tcPr>
                  <w:tcW w:w="933" w:type="dxa"/>
                  <w:vAlign w:val="center"/>
                </w:tcPr>
                <w:p>
                  <w:pPr>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8</w:t>
                  </w:r>
                </w:p>
              </w:tc>
              <w:tc>
                <w:tcPr>
                  <w:tcW w:w="936" w:type="dxa"/>
                  <w:vAlign w:val="center"/>
                </w:tcPr>
                <w:p>
                  <w:pPr>
                    <w:widowControl/>
                    <w:jc w:val="center"/>
                    <w:textAlignment w:val="center"/>
                    <w:rPr>
                      <w:rFonts w:hint="eastAsia"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25</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23</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20</w:t>
                  </w:r>
                </w:p>
              </w:tc>
              <w:tc>
                <w:tcPr>
                  <w:tcW w:w="885" w:type="dxa"/>
                  <w:vAlign w:val="center"/>
                </w:tcPr>
                <w:p>
                  <w:pPr>
                    <w:adjustRightInd w:val="0"/>
                    <w:snapToGrid w:val="0"/>
                    <w:ind w:firstLine="420" w:firstLineChars="200"/>
                    <w:jc w:val="left"/>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0.031</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0.042</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0.055</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0.055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bl>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6.7</w:t>
                  </w:r>
                </w:p>
              </w:tc>
              <w:tc>
                <w:tcPr>
                  <w:tcW w:w="933" w:type="dxa"/>
                  <w:vAlign w:val="center"/>
                </w:tcPr>
                <w:p>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7.3</w:t>
                  </w:r>
                </w:p>
              </w:tc>
              <w:tc>
                <w:tcPr>
                  <w:tcW w:w="933" w:type="dxa"/>
                  <w:vAlign w:val="center"/>
                </w:tcPr>
                <w:p>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7.0</w:t>
                  </w:r>
                </w:p>
              </w:tc>
              <w:tc>
                <w:tcPr>
                  <w:tcW w:w="936" w:type="dxa"/>
                  <w:vAlign w:val="center"/>
                </w:tcPr>
                <w:p>
                  <w:pPr>
                    <w:widowControl/>
                    <w:jc w:val="center"/>
                    <w:textAlignment w:val="center"/>
                    <w:rPr>
                      <w:rFonts w:hint="default" w:ascii="Times New Roman" w:hAnsi="Times New Roman" w:eastAsia="等线" w:cs="Times New Roman"/>
                      <w:color w:val="auto"/>
                      <w:kern w:val="0"/>
                      <w:szCs w:val="21"/>
                      <w:lang w:val="en-US" w:eastAsia="zh-CN" w:bidi="ar"/>
                    </w:rPr>
                  </w:pPr>
                  <w:r>
                    <w:rPr>
                      <w:rFonts w:hint="eastAsia" w:ascii="Times New Roman" w:hAnsi="Times New Roman" w:eastAsia="等线" w:cs="Times New Roman"/>
                      <w:color w:val="auto"/>
                      <w:kern w:val="0"/>
                      <w:szCs w:val="21"/>
                      <w:lang w:val="en-US" w:eastAsia="zh-CN" w:bidi="ar"/>
                    </w:rPr>
                    <w:t>5.6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ND</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ND</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ND</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ND</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0.08</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0.10</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0.12</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0.06</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hint="eastAsia" w:ascii="Times New Roman" w:hAnsi="Times New Roman" w:cs="Times New Roman"/>
                      <w:color w:val="auto"/>
                      <w:szCs w:val="21"/>
                    </w:rPr>
                    <w:t>2020.05.28</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7.64</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7.61</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7.58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7.59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933" w:type="dxa"/>
                  <w:vAlign w:val="center"/>
                </w:tcPr>
                <w:p>
                  <w:pPr>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6</w:t>
                  </w:r>
                </w:p>
              </w:tc>
              <w:tc>
                <w:tcPr>
                  <w:tcW w:w="933" w:type="dxa"/>
                  <w:vAlign w:val="center"/>
                </w:tcPr>
                <w:p>
                  <w:pPr>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w:t>
                  </w:r>
                </w:p>
              </w:tc>
              <w:tc>
                <w:tcPr>
                  <w:tcW w:w="936" w:type="dxa"/>
                  <w:vAlign w:val="center"/>
                </w:tcPr>
                <w:p>
                  <w:pPr>
                    <w:widowControl/>
                    <w:jc w:val="center"/>
                    <w:textAlignment w:val="center"/>
                    <w:rPr>
                      <w:rFonts w:hint="eastAsia"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26</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22</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20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0.039</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ND</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0.039</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0.031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6.4</w:t>
                  </w:r>
                </w:p>
              </w:tc>
              <w:tc>
                <w:tcPr>
                  <w:tcW w:w="933" w:type="dxa"/>
                  <w:vAlign w:val="center"/>
                </w:tcPr>
                <w:p>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7.5</w:t>
                  </w:r>
                </w:p>
              </w:tc>
              <w:tc>
                <w:tcPr>
                  <w:tcW w:w="933" w:type="dxa"/>
                  <w:vAlign w:val="center"/>
                </w:tcPr>
                <w:p>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6.4</w:t>
                  </w:r>
                </w:p>
              </w:tc>
              <w:tc>
                <w:tcPr>
                  <w:tcW w:w="936" w:type="dxa"/>
                  <w:vAlign w:val="center"/>
                </w:tcPr>
                <w:p>
                  <w:pPr>
                    <w:widowControl/>
                    <w:jc w:val="center"/>
                    <w:textAlignment w:val="center"/>
                    <w:rPr>
                      <w:rFonts w:hint="default" w:ascii="Times New Roman" w:hAnsi="Times New Roman" w:eastAsia="等线" w:cs="Times New Roman"/>
                      <w:color w:val="auto"/>
                      <w:kern w:val="0"/>
                      <w:szCs w:val="21"/>
                      <w:lang w:val="en-US" w:eastAsia="zh-CN" w:bidi="ar"/>
                    </w:rPr>
                  </w:pPr>
                  <w:r>
                    <w:rPr>
                      <w:rFonts w:hint="eastAsia" w:ascii="Times New Roman" w:hAnsi="Times New Roman" w:eastAsia="等线" w:cs="Times New Roman"/>
                      <w:color w:val="auto"/>
                      <w:kern w:val="0"/>
                      <w:szCs w:val="21"/>
                      <w:lang w:val="en-US" w:eastAsia="zh-CN" w:bidi="ar"/>
                    </w:rPr>
                    <w:t>5.8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ND</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ND</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ND</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ND</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0.07</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0.07</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ND</w:t>
                  </w:r>
                </w:p>
              </w:tc>
              <w:tc>
                <w:tcPr>
                  <w:tcW w:w="936" w:type="dxa"/>
                  <w:vAlign w:val="center"/>
                </w:tcPr>
                <w:p>
                  <w:pPr>
                    <w:widowControl/>
                    <w:jc w:val="center"/>
                    <w:textAlignment w:val="center"/>
                    <w:rPr>
                      <w:rFonts w:hint="default" w:ascii="Times New Roman" w:hAnsi="Times New Roman" w:eastAsia="等线" w:cs="Times New Roman"/>
                      <w:kern w:val="0"/>
                      <w:szCs w:val="21"/>
                      <w:lang w:val="en-US" w:eastAsia="zh-CN" w:bidi="ar"/>
                    </w:rPr>
                  </w:pPr>
                  <w:r>
                    <w:rPr>
                      <w:rFonts w:hint="eastAsia" w:ascii="Times New Roman" w:hAnsi="Times New Roman" w:eastAsia="等线" w:cs="Times New Roman"/>
                      <w:kern w:val="0"/>
                      <w:szCs w:val="21"/>
                      <w:lang w:val="en-US" w:eastAsia="zh-CN" w:bidi="ar"/>
                    </w:rPr>
                    <w:t>0.08</w:t>
                  </w:r>
                </w:p>
              </w:tc>
              <w:tc>
                <w:tcPr>
                  <w:tcW w:w="885" w:type="dxa"/>
                  <w:vAlign w:val="center"/>
                </w:tcPr>
                <w:p>
                  <w:pPr>
                    <w:adjustRightInd w:val="0"/>
                    <w:snapToGrid w:val="0"/>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9072" w:type="dxa"/>
                  <w:gridSpan w:val="9"/>
                  <w:vAlign w:val="center"/>
                </w:tcPr>
                <w:p>
                  <w:pPr>
                    <w:adjustRightInd w:val="0"/>
                    <w:snapToGrid w:val="0"/>
                    <w:ind w:firstLine="210" w:firstLineChars="100"/>
                    <w:jc w:val="both"/>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备注：</w:t>
                  </w:r>
                  <w:r>
                    <w:rPr>
                      <w:rFonts w:hint="eastAsia" w:ascii="Times New Roman" w:hAnsi="Times New Roman" w:cs="Times New Roman"/>
                      <w:szCs w:val="21"/>
                      <w:lang w:val="en-US" w:eastAsia="zh-CN"/>
                    </w:rPr>
                    <w:t xml:space="preserve">     1.ND表示检测结果低于方法检出限；</w:t>
                  </w:r>
                </w:p>
                <w:p>
                  <w:pPr>
                    <w:adjustRightInd w:val="0"/>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2.</w:t>
                  </w:r>
                  <w:r>
                    <w:rPr>
                      <w:rFonts w:ascii="Times New Roman" w:hAnsi="Times New Roman" w:cs="Times New Roman"/>
                      <w:szCs w:val="21"/>
                    </w:rPr>
                    <w:t>执行</w:t>
                  </w: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r>
                    <w:rPr>
                      <w:rFonts w:hint="eastAsia"/>
                      <w:lang w:eastAsia="zh-CN"/>
                    </w:rPr>
                    <w:t>；</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经监测，</w:t>
            </w:r>
            <w:r>
              <w:rPr>
                <w:rFonts w:hint="eastAsia" w:ascii="Times New Roman" w:hAnsi="Times New Roman" w:eastAsia="宋体" w:cs="Times New Roman"/>
                <w:sz w:val="24"/>
                <w:lang w:eastAsia="zh-CN"/>
              </w:rPr>
              <w:t>污水处理设施出口</w:t>
            </w:r>
            <w:r>
              <w:rPr>
                <w:rFonts w:ascii="Times New Roman" w:hAnsi="Times New Roman" w:eastAsia="宋体" w:cs="Times New Roman"/>
                <w:sz w:val="24"/>
              </w:rPr>
              <w:t>监测结果均能满足《</w:t>
            </w:r>
            <w:r>
              <w:rPr>
                <w:rFonts w:hint="eastAsia"/>
                <w:sz w:val="24"/>
                <w:szCs w:val="24"/>
              </w:rPr>
              <w:t xml:space="preserve">城市污水再生利用 </w:t>
            </w:r>
            <w:r>
              <w:rPr>
                <w:sz w:val="24"/>
                <w:szCs w:val="24"/>
              </w:rPr>
              <w:t xml:space="preserve"> </w:t>
            </w:r>
            <w:r>
              <w:rPr>
                <w:rFonts w:hint="eastAsia"/>
                <w:sz w:val="24"/>
                <w:szCs w:val="24"/>
              </w:rPr>
              <w:t>城市杂用水</w:t>
            </w:r>
            <w:r>
              <w:rPr>
                <w:rFonts w:ascii="Times New Roman" w:hAnsi="Times New Roman" w:eastAsia="宋体" w:cs="Times New Roman"/>
                <w:sz w:val="24"/>
              </w:rPr>
              <w:t>》（</w:t>
            </w:r>
            <w:r>
              <w:rPr>
                <w:sz w:val="24"/>
                <w:szCs w:val="24"/>
              </w:rPr>
              <w:t>GB</w:t>
            </w:r>
            <w:r>
              <w:rPr>
                <w:rFonts w:hint="eastAsia"/>
                <w:sz w:val="24"/>
                <w:szCs w:val="24"/>
              </w:rPr>
              <w:t>/</w:t>
            </w:r>
            <w:r>
              <w:rPr>
                <w:sz w:val="24"/>
                <w:szCs w:val="24"/>
              </w:rPr>
              <w:t>T18920-2002</w:t>
            </w:r>
            <w:r>
              <w:rPr>
                <w:rFonts w:hint="eastAsia"/>
                <w:sz w:val="24"/>
                <w:szCs w:val="24"/>
                <w:lang w:eastAsia="zh-CN"/>
              </w:rPr>
              <w:t>）</w:t>
            </w:r>
            <w:r>
              <w:rPr>
                <w:rFonts w:ascii="Times New Roman" w:hAnsi="Times New Roman" w:eastAsia="宋体" w:cs="Times New Roman"/>
                <w:sz w:val="24"/>
              </w:rPr>
              <w:t>标准</w:t>
            </w:r>
            <w:r>
              <w:rPr>
                <w:rFonts w:hint="eastAsia" w:ascii="Times New Roman" w:hAnsi="Times New Roman" w:eastAsia="宋体" w:cs="Times New Roman"/>
                <w:sz w:val="24"/>
                <w:lang w:eastAsia="zh-CN"/>
              </w:rPr>
              <w:t>限值</w:t>
            </w:r>
            <w:r>
              <w:rPr>
                <w:rFonts w:ascii="Times New Roman" w:hAnsi="Times New Roman" w:eastAsia="宋体" w:cs="Times New Roman"/>
                <w:sz w:val="24"/>
              </w:rPr>
              <w:t>的要求</w:t>
            </w:r>
            <w:r>
              <w:rPr>
                <w:rFonts w:ascii="Times New Roman" w:hAnsi="Times New Roman" w:cs="Times New Roman"/>
                <w:sz w:val="24"/>
              </w:rPr>
              <w:t>。</w:t>
            </w:r>
          </w:p>
          <w:p>
            <w:pPr>
              <w:tabs>
                <w:tab w:val="left" w:pos="1350"/>
              </w:tabs>
              <w:spacing w:line="360" w:lineRule="auto"/>
              <w:rPr>
                <w:rFonts w:hint="default" w:ascii="Times New Roman" w:hAnsi="Times New Roman" w:eastAsia="宋体" w:cs="Times New Roman"/>
                <w:sz w:val="24"/>
                <w:lang w:val="en-US" w:eastAsia="zh-CN"/>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.2.2 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无组织废气监测结果</w:t>
            </w:r>
          </w:p>
          <w:tbl>
            <w:tblPr>
              <w:tblStyle w:val="16"/>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jc w:val="center"/>
                    <w:textAlignment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0.22</w:t>
                  </w:r>
                </w:p>
              </w:tc>
              <w:tc>
                <w:tcPr>
                  <w:tcW w:w="933"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0.26</w:t>
                  </w:r>
                </w:p>
              </w:tc>
              <w:tc>
                <w:tcPr>
                  <w:tcW w:w="933"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0.20</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0.26</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0.20</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0.20</w:t>
                  </w:r>
                </w:p>
              </w:tc>
              <w:tc>
                <w:tcPr>
                  <w:tcW w:w="933" w:type="dxa"/>
                  <w:vAlign w:val="center"/>
                </w:tcPr>
                <w:p>
                  <w:pPr>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0.17</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0.20</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0.21</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w:t>
                  </w:r>
                </w:p>
              </w:tc>
              <w:tc>
                <w:tcPr>
                  <w:tcW w:w="933" w:type="dxa"/>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0.17</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0.21</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0.21</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0.15</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0.21</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0.25</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0.09</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0.25</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0.22</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0.14</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0.22</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0.21</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0.24</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0.22</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0.24</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0.18</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0.22</w:t>
                  </w:r>
                </w:p>
              </w:tc>
              <w:tc>
                <w:tcPr>
                  <w:tcW w:w="933" w:type="dxa"/>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0.19</w:t>
                  </w:r>
                </w:p>
              </w:tc>
              <w:tc>
                <w:tcPr>
                  <w:tcW w:w="936" w:type="dxa"/>
                  <w:vAlign w:val="center"/>
                </w:tcPr>
                <w:p>
                  <w:pPr>
                    <w:widowControl/>
                    <w:jc w:val="center"/>
                    <w:textAlignment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0.22</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49" w:name="_Toc32477"/>
            <w:bookmarkStart w:id="50" w:name="_Toc15557"/>
            <w:bookmarkStart w:id="51" w:name="_Toc20321"/>
            <w:bookmarkStart w:id="52" w:name="_Toc25309"/>
            <w:bookmarkStart w:id="53" w:name="_Toc9250"/>
            <w:bookmarkStart w:id="54" w:name="_Toc13103"/>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49"/>
            <w:bookmarkEnd w:id="50"/>
            <w:bookmarkEnd w:id="51"/>
            <w:bookmarkEnd w:id="52"/>
            <w:bookmarkEnd w:id="53"/>
            <w:bookmarkEnd w:id="54"/>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-3</w:t>
            </w:r>
          </w:p>
          <w:p>
            <w:pPr>
              <w:jc w:val="both"/>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-3</w:t>
            </w:r>
            <w:r>
              <w:rPr>
                <w:rFonts w:hint="eastAsia" w:ascii="Times New Roman" w:hAnsi="Times New Roman" w:cs="Times New Roman"/>
                <w:b/>
                <w:bCs/>
                <w:sz w:val="24"/>
              </w:rPr>
              <w:t xml:space="preserve"> </w:t>
            </w:r>
            <w:r>
              <w:rPr>
                <w:rFonts w:ascii="Times New Roman" w:hAnsi="Times New Roman" w:eastAsia="宋体" w:cs="Times New Roman"/>
                <w:b/>
                <w:bCs/>
                <w:sz w:val="24"/>
              </w:rPr>
              <w:t>噪声监测结果</w:t>
            </w:r>
          </w:p>
          <w:tbl>
            <w:tblPr>
              <w:tblStyle w:val="16"/>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59.7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51.8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61.2</w:t>
                  </w:r>
                </w:p>
              </w:tc>
              <w:tc>
                <w:tcPr>
                  <w:tcW w:w="151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color w:val="000000" w:themeColor="text1"/>
                      <w:szCs w:val="21"/>
                      <w:lang w:val="en-US" w:eastAsia="zh-CN"/>
                    </w:rPr>
                  </w:pPr>
                  <w:r>
                    <w:rPr>
                      <w:rFonts w:hint="eastAsia" w:ascii="Times New Roman" w:hAnsi="Times New Roman" w:cs="Times New Roman"/>
                      <w:color w:val="000000" w:themeColor="text1"/>
                      <w:szCs w:val="21"/>
                      <w:lang w:val="en-US" w:eastAsia="zh-CN"/>
                    </w:rPr>
                    <w:t>53.3</w:t>
                  </w:r>
                </w:p>
              </w:tc>
              <w:tc>
                <w:tcPr>
                  <w:tcW w:w="1517"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rPr>
                    <w:t>5</w:t>
                  </w:r>
                  <w:r>
                    <w:rPr>
                      <w:rFonts w:hint="eastAsia" w:ascii="Times New Roman" w:hAnsi="Times New Roman" w:cs="Times New Roman"/>
                      <w:szCs w:val="21"/>
                      <w:lang w:val="en-US" w:eastAsia="zh-CN"/>
                    </w:rPr>
                    <w:t>5</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64.8</w:t>
                  </w:r>
                </w:p>
              </w:tc>
              <w:tc>
                <w:tcPr>
                  <w:tcW w:w="151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53.2</w:t>
                  </w:r>
                </w:p>
              </w:tc>
              <w:tc>
                <w:tcPr>
                  <w:tcW w:w="1517"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rPr>
                    <w:t>5</w:t>
                  </w:r>
                  <w:r>
                    <w:rPr>
                      <w:rFonts w:hint="eastAsia" w:ascii="Times New Roman" w:hAnsi="Times New Roman" w:cs="Times New Roman"/>
                      <w:szCs w:val="21"/>
                      <w:lang w:val="en-US" w:eastAsia="zh-CN"/>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64.1</w:t>
                  </w:r>
                </w:p>
              </w:tc>
              <w:tc>
                <w:tcPr>
                  <w:tcW w:w="151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54.2</w:t>
                  </w:r>
                </w:p>
              </w:tc>
              <w:tc>
                <w:tcPr>
                  <w:tcW w:w="1517"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rPr>
                    <w:t>5</w:t>
                  </w:r>
                  <w:r>
                    <w:rPr>
                      <w:rFonts w:hint="eastAsia" w:ascii="Times New Roman" w:hAnsi="Times New Roman" w:cs="Times New Roman"/>
                      <w:szCs w:val="21"/>
                      <w:lang w:val="en-US" w:eastAsia="zh-CN"/>
                    </w:rPr>
                    <w:t>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53.6</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48.9</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56.7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48.8</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51.5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6</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46.5</w:t>
                  </w:r>
                </w:p>
              </w:tc>
              <w:tc>
                <w:tcPr>
                  <w:tcW w:w="1517"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rPr>
                    <w:t>5</w:t>
                  </w:r>
                  <w:r>
                    <w:rPr>
                      <w:rFonts w:hint="eastAsia" w:ascii="Times New Roman" w:hAnsi="Times New Roman" w:cs="Times New Roman"/>
                      <w:szCs w:val="21"/>
                      <w:lang w:val="en-US" w:eastAsia="zh-CN"/>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51.9</w:t>
                  </w:r>
                </w:p>
              </w:tc>
              <w:tc>
                <w:tcPr>
                  <w:tcW w:w="151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47.3</w:t>
                  </w:r>
                </w:p>
              </w:tc>
              <w:tc>
                <w:tcPr>
                  <w:tcW w:w="1517" w:type="dxa"/>
                  <w:tcBorders>
                    <w:tl2br w:val="nil"/>
                    <w:tr2bl w:val="nil"/>
                  </w:tcBorders>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rPr>
                    <w:t>5</w:t>
                  </w:r>
                  <w:r>
                    <w:rPr>
                      <w:rFonts w:hint="eastAsia" w:ascii="Times New Roman" w:hAnsi="Times New Roman" w:cs="Times New Roman"/>
                      <w:szCs w:val="21"/>
                      <w:lang w:val="en-US" w:eastAsia="zh-CN"/>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8920" w:type="dxa"/>
                  <w:gridSpan w:val="6"/>
                  <w:tcBorders>
                    <w:tl2br w:val="nil"/>
                    <w:tr2bl w:val="nil"/>
                  </w:tcBorders>
                  <w:vAlign w:val="center"/>
                </w:tcPr>
                <w:p>
                  <w:pPr>
                    <w:widowControl/>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备注：</w:t>
                  </w:r>
                  <w:r>
                    <w:rPr>
                      <w:rFonts w:ascii="Times New Roman" w:hAnsi="Times New Roman" w:cs="Times New Roman"/>
                      <w:szCs w:val="21"/>
                    </w:rPr>
                    <w:t>执行标准</w:t>
                  </w:r>
                  <w:r>
                    <w:rPr>
                      <w:rFonts w:ascii="Times New Roman" w:hAnsi="Times New Roman" w:eastAsia="宋体" w:cs="Times New Roman"/>
                      <w:sz w:val="21"/>
                      <w:szCs w:val="21"/>
                    </w:rPr>
                    <w:t>《工业企业厂界环境噪声排放标准》（GB 12348-2008）中</w:t>
                  </w:r>
                  <w:r>
                    <w:rPr>
                      <w:rFonts w:hint="eastAsia" w:ascii="Times New Roman" w:hAnsi="Times New Roman" w:eastAsia="宋体" w:cs="Times New Roman"/>
                      <w:sz w:val="21"/>
                      <w:szCs w:val="21"/>
                    </w:rPr>
                    <w:t>2</w:t>
                  </w:r>
                  <w:r>
                    <w:rPr>
                      <w:rFonts w:ascii="Times New Roman" w:hAnsi="Times New Roman" w:eastAsia="宋体" w:cs="Times New Roman"/>
                      <w:sz w:val="21"/>
                      <w:szCs w:val="21"/>
                    </w:rPr>
                    <w:t>类</w:t>
                  </w:r>
                  <w:r>
                    <w:rPr>
                      <w:rFonts w:hint="eastAsia" w:ascii="Times New Roman" w:hAnsi="Times New Roman" w:eastAsia="宋体" w:cs="Times New Roman"/>
                      <w:sz w:val="21"/>
                      <w:szCs w:val="21"/>
                    </w:rPr>
                    <w:t>及4a</w:t>
                  </w:r>
                  <w:r>
                    <w:rPr>
                      <w:rFonts w:hint="eastAsia" w:ascii="Times New Roman" w:hAnsi="Times New Roman" w:eastAsia="宋体" w:cs="Times New Roman"/>
                      <w:sz w:val="21"/>
                      <w:szCs w:val="21"/>
                      <w:lang w:eastAsia="zh-CN"/>
                    </w:rPr>
                    <w:t>标准限值</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4</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pStyle w:val="9"/>
              <w:spacing w:line="360" w:lineRule="auto"/>
              <w:rPr>
                <w:rFonts w:hint="eastAsia" w:ascii="Times New Roman" w:hAnsi="Times New Roman" w:cs="Times New Roman"/>
                <w:b/>
                <w:bCs/>
              </w:rPr>
            </w:pPr>
          </w:p>
          <w:p>
            <w:pPr>
              <w:pStyle w:val="9"/>
              <w:spacing w:line="360" w:lineRule="auto"/>
              <w:rPr>
                <w:rFonts w:hint="eastAsia" w:ascii="Times New Roman" w:hAnsi="Times New Roman" w:cs="Times New Roman"/>
                <w:b/>
                <w:bCs/>
              </w:rPr>
            </w:pPr>
          </w:p>
          <w:p>
            <w:pPr>
              <w:pStyle w:val="9"/>
              <w:spacing w:line="360" w:lineRule="auto"/>
              <w:rPr>
                <w:rFonts w:hint="eastAsia" w:ascii="Times New Roman" w:hAnsi="Times New Roman" w:cs="Times New Roman"/>
                <w:b/>
                <w:bCs/>
              </w:rPr>
            </w:pPr>
          </w:p>
          <w:p>
            <w:pPr>
              <w:pStyle w:val="9"/>
              <w:spacing w:line="360" w:lineRule="auto"/>
              <w:rPr>
                <w:rFonts w:ascii="Times New Roman" w:hAnsi="Times New Roman" w:cs="Times New Roman"/>
                <w:b/>
                <w:bCs/>
              </w:rPr>
            </w:pPr>
            <w:r>
              <w:rPr>
                <w:rFonts w:hint="eastAsia" w:ascii="Times New Roman" w:hAnsi="Times New Roman" w:cs="Times New Roman"/>
                <w:b/>
                <w:bCs/>
              </w:rPr>
              <w:t>7.2.5</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油汽回收监测结果见表7-4</w:t>
            </w:r>
          </w:p>
          <w:p>
            <w:pPr>
              <w:spacing w:line="360" w:lineRule="auto"/>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-4</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7"/>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336"/>
              <w:gridCol w:w="852"/>
              <w:gridCol w:w="979"/>
              <w:gridCol w:w="582"/>
              <w:gridCol w:w="564"/>
              <w:gridCol w:w="997"/>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监测日期</w:t>
                  </w:r>
                </w:p>
              </w:tc>
              <w:tc>
                <w:tcPr>
                  <w:tcW w:w="85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1336"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2020.04.30</w:t>
                  </w:r>
                </w:p>
              </w:tc>
              <w:tc>
                <w:tcPr>
                  <w:tcW w:w="852"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1336" w:type="dxa"/>
                  <w:vMerge w:val="continue"/>
                  <w:tcBorders>
                    <w:tl2br w:val="nil"/>
                    <w:tr2bl w:val="nil"/>
                  </w:tcBorders>
                  <w:vAlign w:val="center"/>
                </w:tcPr>
                <w:p>
                  <w:pPr>
                    <w:jc w:val="center"/>
                    <w:rPr>
                      <w:rFonts w:ascii="Times New Roman" w:hAnsi="Times New Roman" w:eastAsia="宋体" w:cs="Times New Roman"/>
                      <w:bCs/>
                      <w:szCs w:val="21"/>
                    </w:rPr>
                  </w:pPr>
                </w:p>
              </w:tc>
              <w:tc>
                <w:tcPr>
                  <w:tcW w:w="852" w:type="dxa"/>
                  <w:vMerge w:val="continue"/>
                  <w:tcBorders>
                    <w:tl2br w:val="nil"/>
                    <w:tr2bl w:val="nil"/>
                  </w:tcBorders>
                  <w:vAlign w:val="center"/>
                </w:tcPr>
                <w:p>
                  <w:pPr>
                    <w:jc w:val="center"/>
                    <w:rPr>
                      <w:rFonts w:ascii="Times New Roman" w:hAnsi="Times New Roman" w:eastAsia="宋体" w:cs="Times New Roman"/>
                      <w:szCs w:val="21"/>
                    </w:rPr>
                  </w:pPr>
                </w:p>
              </w:tc>
              <w:tc>
                <w:tcPr>
                  <w:tcW w:w="979" w:type="dxa"/>
                  <w:tcBorders>
                    <w:tl2br w:val="nil"/>
                    <w:tr2bl w:val="nil"/>
                  </w:tcBorders>
                  <w:vAlign w:val="center"/>
                </w:tcPr>
                <w:p>
                  <w:pPr>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6</w:t>
                  </w:r>
                </w:p>
              </w:tc>
              <w:tc>
                <w:tcPr>
                  <w:tcW w:w="1146" w:type="dxa"/>
                  <w:gridSpan w:val="2"/>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w:t>
                  </w:r>
                </w:p>
              </w:tc>
              <w:tc>
                <w:tcPr>
                  <w:tcW w:w="997" w:type="dxa"/>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146" w:type="dxa"/>
                  <w:gridSpan w:val="2"/>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997"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146" w:type="dxa"/>
                  <w:gridSpan w:val="2"/>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997" w:type="dxa"/>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509</w:t>
                  </w:r>
                </w:p>
              </w:tc>
              <w:tc>
                <w:tcPr>
                  <w:tcW w:w="1561" w:type="dxa"/>
                  <w:gridSpan w:val="2"/>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482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1.03</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1.07</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1.08</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1.09</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9"/>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备注：液阻、密闭性、汽液比</w:t>
                  </w:r>
                  <w:r>
                    <w:rPr>
                      <w:rFonts w:hint="eastAsia" w:ascii="Times New Roman" w:hAnsi="Times New Roman" w:eastAsia="宋体" w:cs="Times New Roman"/>
                      <w:szCs w:val="21"/>
                      <w:lang w:eastAsia="zh-CN"/>
                    </w:rPr>
                    <w:t>执行</w:t>
                  </w:r>
                  <w:r>
                    <w:t>《加油站大气污染物排放标准》(GB20952-2007)</w:t>
                  </w:r>
                  <w:r>
                    <w:rPr>
                      <w:rFonts w:hint="eastAsia"/>
                    </w:rPr>
                    <w:t>要求</w:t>
                  </w:r>
                </w:p>
              </w:tc>
            </w:tr>
          </w:tbl>
          <w:p>
            <w:pPr>
              <w:spacing w:line="360" w:lineRule="auto"/>
              <w:ind w:firstLine="480" w:firstLineChars="200"/>
              <w:rPr>
                <w:rFonts w:ascii="Times New Roman" w:hAnsi="Times New Roman" w:cs="Times New Roman"/>
                <w:bCs/>
                <w:sz w:val="24"/>
              </w:rPr>
            </w:pPr>
            <w:r>
              <w:rPr>
                <w:rFonts w:hint="eastAsia" w:ascii="Times New Roman" w:hAnsi="Times New Roman" w:eastAsia="宋体" w:cs="Times New Roman"/>
                <w:sz w:val="24"/>
                <w:szCs w:val="24"/>
              </w:rPr>
              <w:t>监测结果表明，</w:t>
            </w:r>
            <w:r>
              <w:rPr>
                <w:rFonts w:hint="eastAsia" w:ascii="Times New Roman" w:hAnsi="Times New Roman" w:eastAsia="宋体" w:cs="Times New Roman"/>
                <w:sz w:val="24"/>
                <w:szCs w:val="24"/>
                <w:lang w:eastAsia="zh-CN"/>
              </w:rPr>
              <w:t>验收监测期间</w:t>
            </w:r>
            <w:r>
              <w:rPr>
                <w:rFonts w:hint="eastAsia" w:ascii="Times New Roman" w:hAnsi="Times New Roman" w:eastAsia="宋体" w:cs="Times New Roman"/>
                <w:sz w:val="24"/>
                <w:szCs w:val="24"/>
              </w:rPr>
              <w:t>液阻、密闭性、汽液比均满足</w:t>
            </w:r>
            <w:r>
              <w:rPr>
                <w:sz w:val="24"/>
                <w:szCs w:val="24"/>
              </w:rPr>
              <w:t>《加油站大气污染物排放标准》(GB20952-2007)</w:t>
            </w:r>
            <w:r>
              <w:rPr>
                <w:rFonts w:hint="eastAsia"/>
                <w:sz w:val="24"/>
                <w:szCs w:val="24"/>
              </w:rPr>
              <w:t>要求</w:t>
            </w:r>
            <w:r>
              <w:rPr>
                <w:sz w:val="24"/>
                <w:szCs w:val="24"/>
              </w:rPr>
              <w:t>。</w:t>
            </w: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5" w:name="_Toc2044"/>
      <w:bookmarkStart w:id="56" w:name="_Toc27235"/>
      <w:bookmarkStart w:id="57" w:name="_Toc20547"/>
      <w:r>
        <w:rPr>
          <w:rFonts w:ascii="Times New Roman" w:hAnsi="Times New Roman" w:cs="Times New Roman"/>
          <w:b/>
          <w:sz w:val="28"/>
          <w:szCs w:val="28"/>
        </w:rPr>
        <w:t>表八  环境管理检查</w:t>
      </w:r>
      <w:bookmarkEnd w:id="55"/>
    </w:p>
    <w:tbl>
      <w:tblPr>
        <w:tblStyle w:val="17"/>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息烽县经济、交通、运输业的发展，不断增加了该地区汽油、柴油的需求。因此，息烽县永烽高速温泉服务区加油站二站的建设可缓解当地对油品的需求。该项目由贵州交建国储贸易有限公司投资建设，拟设4个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92#、95#汽油储罐各1个，50m</w:t>
            </w:r>
            <w:r>
              <w:rPr>
                <w:rFonts w:hint="eastAsia"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sz w:val="24"/>
                <w:vertAlign w:val="superscript"/>
              </w:rPr>
              <w:t xml:space="preserve"> </w:t>
            </w:r>
            <w:r>
              <w:rPr>
                <w:rFonts w:hint="eastAsia" w:ascii="Times New Roman" w:hAnsi="Times New Roman" w:cs="Times New Roman"/>
                <w:sz w:val="24"/>
              </w:rPr>
              <w:t>0#柴油储罐2个，6台潜泵双油双枪加油机，预计年售柴油1200吨，92#汽油1100吨，95汽油600吨。</w:t>
            </w:r>
          </w:p>
          <w:p>
            <w:pPr>
              <w:adjustRightInd w:val="0"/>
              <w:snapToGrid w:val="0"/>
              <w:spacing w:line="360" w:lineRule="auto"/>
              <w:jc w:val="left"/>
              <w:rPr>
                <w:rFonts w:ascii="Times New Roman" w:hAnsi="Times New Roman" w:eastAsia="宋体"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eastAsia="宋体" w:cs="Times New Roman"/>
                <w:sz w:val="24"/>
              </w:rPr>
              <w:t>《</w:t>
            </w:r>
            <w:r>
              <w:rPr>
                <w:rFonts w:hint="eastAsia" w:ascii="宋体" w:hAnsi="宋体" w:cs="宋体"/>
                <w:b w:val="0"/>
                <w:bCs/>
                <w:sz w:val="24"/>
              </w:rPr>
              <w:t>贵州交建国储贸易有限公司永烽高速温泉服务区加油站二站</w:t>
            </w:r>
            <w:r>
              <w:rPr>
                <w:rFonts w:ascii="Times New Roman" w:hAnsi="Times New Roman" w:cs="Times New Roman"/>
                <w:b w:val="0"/>
                <w:bCs/>
                <w:spacing w:val="-4"/>
                <w:kern w:val="0"/>
                <w:sz w:val="24"/>
              </w:rPr>
              <w:t>环境影响报告表</w:t>
            </w:r>
            <w:r>
              <w:rPr>
                <w:rFonts w:ascii="Times New Roman" w:hAnsi="Times New Roman" w:eastAsia="宋体" w:cs="Times New Roman"/>
                <w:b w:val="0"/>
                <w:bCs/>
                <w:sz w:val="24"/>
              </w:rPr>
              <w:t>》；</w:t>
            </w:r>
            <w:r>
              <w:rPr>
                <w:rFonts w:ascii="Times New Roman" w:hAnsi="Times New Roman" w:cs="Times New Roman"/>
                <w:b w:val="0"/>
                <w:bCs/>
                <w:sz w:val="24"/>
              </w:rPr>
              <w:t>于</w:t>
            </w:r>
            <w:r>
              <w:rPr>
                <w:rFonts w:hint="eastAsia" w:ascii="Times New Roman" w:hAnsi="Times New Roman" w:cs="Times New Roman"/>
                <w:b w:val="0"/>
                <w:bCs/>
                <w:sz w:val="24"/>
              </w:rPr>
              <w:t>2017</w:t>
            </w:r>
            <w:r>
              <w:rPr>
                <w:rFonts w:ascii="Times New Roman" w:hAnsi="Times New Roman" w:cs="Times New Roman"/>
                <w:b w:val="0"/>
                <w:bCs/>
                <w:sz w:val="24"/>
              </w:rPr>
              <w:t>年</w:t>
            </w:r>
            <w:r>
              <w:rPr>
                <w:rFonts w:hint="eastAsia" w:ascii="Times New Roman" w:hAnsi="Times New Roman" w:cs="Times New Roman"/>
                <w:b w:val="0"/>
                <w:bCs/>
                <w:sz w:val="24"/>
              </w:rPr>
              <w:t>05</w:t>
            </w:r>
            <w:r>
              <w:rPr>
                <w:rFonts w:ascii="Times New Roman" w:hAnsi="Times New Roman" w:cs="Times New Roman"/>
                <w:b w:val="0"/>
                <w:bCs/>
                <w:sz w:val="24"/>
              </w:rPr>
              <w:t>月</w:t>
            </w:r>
            <w:r>
              <w:rPr>
                <w:rFonts w:hint="eastAsia" w:ascii="Times New Roman" w:hAnsi="Times New Roman" w:cs="Times New Roman"/>
                <w:b w:val="0"/>
                <w:bCs/>
                <w:sz w:val="24"/>
              </w:rPr>
              <w:t>2</w:t>
            </w:r>
            <w:r>
              <w:rPr>
                <w:rFonts w:ascii="Times New Roman" w:hAnsi="Times New Roman" w:cs="Times New Roman"/>
                <w:b w:val="0"/>
                <w:bCs/>
                <w:sz w:val="24"/>
              </w:rPr>
              <w:t>日取得</w:t>
            </w:r>
            <w:r>
              <w:rPr>
                <w:rFonts w:hint="eastAsia" w:ascii="Times New Roman" w:hAnsi="Times New Roman" w:cs="Times New Roman"/>
                <w:b w:val="0"/>
                <w:bCs/>
                <w:sz w:val="24"/>
              </w:rPr>
              <w:t>息烽县生态</w:t>
            </w:r>
            <w:r>
              <w:rPr>
                <w:rFonts w:ascii="Times New Roman" w:hAnsi="Times New Roman" w:cs="Times New Roman"/>
                <w:b w:val="0"/>
                <w:bCs/>
                <w:sz w:val="24"/>
              </w:rPr>
              <w:t>环境局对</w:t>
            </w:r>
            <w:r>
              <w:rPr>
                <w:rFonts w:ascii="Times New Roman" w:hAnsi="Times New Roman" w:eastAsia="宋体" w:cs="Times New Roman"/>
                <w:b w:val="0"/>
                <w:bCs/>
                <w:sz w:val="24"/>
              </w:rPr>
              <w:t>《</w:t>
            </w:r>
            <w:r>
              <w:rPr>
                <w:rFonts w:hint="eastAsia" w:ascii="宋体" w:hAnsi="宋体" w:cs="宋体"/>
                <w:b w:val="0"/>
                <w:bCs/>
                <w:sz w:val="24"/>
              </w:rPr>
              <w:t>贵州交建国储贸易有限公司永烽高速温泉服务区加油站二站</w:t>
            </w:r>
            <w:r>
              <w:rPr>
                <w:rFonts w:ascii="Times New Roman" w:hAnsi="Times New Roman" w:cs="Times New Roman"/>
                <w:b w:val="0"/>
                <w:bCs/>
                <w:spacing w:val="-4"/>
                <w:kern w:val="0"/>
                <w:sz w:val="24"/>
              </w:rPr>
              <w:t>环境影响报告表</w:t>
            </w:r>
            <w:r>
              <w:rPr>
                <w:rFonts w:ascii="Times New Roman" w:hAnsi="Times New Roman" w:eastAsia="宋体" w:cs="Times New Roman"/>
                <w:b w:val="0"/>
                <w:bCs/>
                <w:sz w:val="24"/>
              </w:rPr>
              <w:t>》</w:t>
            </w:r>
            <w:r>
              <w:rPr>
                <w:rFonts w:ascii="Times New Roman" w:hAnsi="Times New Roman" w:cs="Times New Roman"/>
                <w:b w:val="0"/>
                <w:bCs/>
                <w:sz w:val="24"/>
              </w:rPr>
              <w:t>的</w:t>
            </w:r>
            <w:r>
              <w:rPr>
                <w:rFonts w:hint="eastAsia" w:ascii="Times New Roman" w:hAnsi="Times New Roman" w:cs="Times New Roman"/>
                <w:b w:val="0"/>
                <w:bCs/>
                <w:sz w:val="24"/>
              </w:rPr>
              <w:t>批复，批复文号：息环审表</w:t>
            </w:r>
            <w:r>
              <w:rPr>
                <w:rFonts w:ascii="Calibri" w:hAnsi="Calibri" w:cs="Calibri"/>
                <w:sz w:val="24"/>
              </w:rPr>
              <w:t>[</w:t>
            </w:r>
            <w:r>
              <w:rPr>
                <w:rFonts w:hint="eastAsia" w:ascii="Times New Roman" w:hAnsi="Times New Roman" w:eastAsia="宋体" w:cs="Times New Roman"/>
                <w:sz w:val="24"/>
              </w:rPr>
              <w:t>2017</w:t>
            </w:r>
            <w:r>
              <w:rPr>
                <w:rFonts w:ascii="Calibri" w:hAnsi="Calibri" w:eastAsia="宋体" w:cs="Calibri"/>
                <w:sz w:val="24"/>
              </w:rPr>
              <w:t>]</w:t>
            </w:r>
            <w:r>
              <w:rPr>
                <w:rFonts w:hint="eastAsia" w:ascii="Times New Roman" w:hAnsi="Times New Roman" w:eastAsia="宋体" w:cs="Times New Roman"/>
                <w:sz w:val="24"/>
              </w:rPr>
              <w:t>25号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400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56.3万元（施工期13.1）</w:t>
            </w:r>
            <w:r>
              <w:rPr>
                <w:rFonts w:ascii="Times New Roman" w:hAnsi="Times New Roman" w:cs="Times New Roman"/>
                <w:sz w:val="24"/>
              </w:rPr>
              <w:t>万元，占总投资</w:t>
            </w:r>
            <w:r>
              <w:rPr>
                <w:rFonts w:hint="eastAsia" w:ascii="Times New Roman" w:hAnsi="Times New Roman" w:cs="Times New Roman"/>
                <w:sz w:val="24"/>
              </w:rPr>
              <w:t>14.07</w:t>
            </w:r>
            <w:r>
              <w:rPr>
                <w:rFonts w:ascii="Times New Roman" w:hAnsi="Times New Roman" w:cs="Times New Roman"/>
                <w:sz w:val="24"/>
              </w:rPr>
              <w:t>%，环保设施基本按环评要求建设，目前已经落实到位，运行正常，环保治理设施由使用工段负责运行维护。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（520122-2019-123-L）</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项目厂区有绿化</w:t>
            </w:r>
            <w:r>
              <w:rPr>
                <w:rFonts w:hint="eastAsia" w:ascii="Times New Roman" w:hAnsi="Times New Roman" w:cs="Times New Roman"/>
                <w:color w:val="000000" w:themeColor="text1"/>
                <w:sz w:val="24"/>
              </w:rPr>
              <w:t>面积500m</w:t>
            </w:r>
            <w:r>
              <w:rPr>
                <w:rFonts w:hint="eastAsia" w:ascii="Times New Roman" w:hAnsi="Times New Roman" w:cs="Times New Roman"/>
                <w:color w:val="000000" w:themeColor="text1"/>
                <w:sz w:val="24"/>
                <w:vertAlign w:val="superscript"/>
              </w:rPr>
              <w:t>2</w:t>
            </w:r>
            <w:r>
              <w:rPr>
                <w:rFonts w:hint="eastAsia" w:ascii="Times New Roman" w:hAnsi="Times New Roman" w:cs="Times New Roman"/>
                <w:color w:val="000000" w:themeColor="text1"/>
                <w:sz w:val="24"/>
              </w:rPr>
              <w:t>，占总面积的31.</w:t>
            </w:r>
            <w:r>
              <w:rPr>
                <w:rFonts w:hint="eastAsia" w:ascii="Times New Roman" w:hAnsi="Times New Roman" w:cs="Times New Roman"/>
                <w:color w:val="000000" w:themeColor="text1"/>
                <w:sz w:val="24"/>
                <w:lang w:val="en-US" w:eastAsia="zh-CN"/>
              </w:rPr>
              <w:t>3</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，项目应加强厂区绿化建设与维护。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jc w:val="both"/>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7"/>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pStyle w:val="38"/>
                    <w:numPr>
                      <w:ilvl w:val="0"/>
                      <w:numId w:val="8"/>
                    </w:numPr>
                    <w:adjustRightInd w:val="0"/>
                    <w:snapToGrid w:val="0"/>
                    <w:ind w:firstLineChars="0"/>
                    <w:rPr>
                      <w:szCs w:val="21"/>
                    </w:rPr>
                  </w:pPr>
                  <w:r>
                    <w:rPr>
                      <w:rFonts w:hint="eastAsia"/>
                      <w:szCs w:val="21"/>
                    </w:rPr>
                    <w:t>场地隔油沉淀池，2.88m</w:t>
                  </w:r>
                  <w:r>
                    <w:rPr>
                      <w:rFonts w:hint="eastAsia"/>
                      <w:szCs w:val="21"/>
                      <w:vertAlign w:val="superscript"/>
                    </w:rPr>
                    <w:t>3</w:t>
                  </w:r>
                  <w:r>
                    <w:rPr>
                      <w:rFonts w:hint="eastAsia"/>
                      <w:szCs w:val="21"/>
                    </w:rPr>
                    <w:t>，规格：2.4m</w:t>
                  </w:r>
                  <w:r>
                    <w:rPr>
                      <w:szCs w:val="21"/>
                    </w:rPr>
                    <w:t>×</w:t>
                  </w:r>
                  <w:r>
                    <w:rPr>
                      <w:rFonts w:hint="eastAsia"/>
                      <w:szCs w:val="21"/>
                    </w:rPr>
                    <w:t>1.2m</w:t>
                  </w:r>
                  <w:r>
                    <w:rPr>
                      <w:szCs w:val="21"/>
                    </w:rPr>
                    <w:t>×</w:t>
                  </w:r>
                  <w:r>
                    <w:rPr>
                      <w:rFonts w:hint="eastAsia"/>
                      <w:szCs w:val="21"/>
                    </w:rPr>
                    <w:t>1.0m</w:t>
                  </w:r>
                </w:p>
                <w:p>
                  <w:pPr>
                    <w:pStyle w:val="38"/>
                    <w:numPr>
                      <w:ilvl w:val="0"/>
                      <w:numId w:val="8"/>
                    </w:numPr>
                    <w:adjustRightInd w:val="0"/>
                    <w:snapToGrid w:val="0"/>
                    <w:ind w:firstLineChars="0"/>
                    <w:rPr>
                      <w:rFonts w:ascii="Times New Roman" w:hAnsi="Times New Roman" w:eastAsia="宋体" w:cs="Times New Roman"/>
                      <w:kern w:val="0"/>
                      <w:szCs w:val="21"/>
                    </w:rPr>
                  </w:pPr>
                  <w:r>
                    <w:rPr>
                      <w:rFonts w:hint="eastAsia"/>
                      <w:szCs w:val="21"/>
                    </w:rPr>
                    <w:t>站区污水处理站，处理规模5m</w:t>
                  </w:r>
                  <w:r>
                    <w:rPr>
                      <w:rFonts w:hint="eastAsia"/>
                      <w:szCs w:val="21"/>
                      <w:vertAlign w:val="superscript"/>
                    </w:rPr>
                    <w:t>3</w:t>
                  </w:r>
                  <w:r>
                    <w:rPr>
                      <w:rFonts w:hint="eastAsia"/>
                      <w:szCs w:val="21"/>
                    </w:rPr>
                    <w:t>/</w:t>
                  </w:r>
                  <w:r>
                    <w:rPr>
                      <w:szCs w:val="21"/>
                    </w:rPr>
                    <w:t>d</w:t>
                  </w:r>
                  <w:r>
                    <w:rPr>
                      <w:rFonts w:hint="eastAsia"/>
                      <w:szCs w:val="21"/>
                    </w:rPr>
                    <w:t>，，采用“化粪池＋地沟式土地处理系统”工艺</w:t>
                  </w:r>
                </w:p>
                <w:p>
                  <w:pPr>
                    <w:pStyle w:val="38"/>
                    <w:adjustRightInd w:val="0"/>
                    <w:snapToGrid w:val="0"/>
                    <w:ind w:left="408" w:firstLine="0" w:firstLineChars="0"/>
                    <w:rPr>
                      <w:rFonts w:ascii="Times New Roman" w:hAnsi="Times New Roman" w:eastAsia="宋体" w:cs="Times New Roman"/>
                      <w:kern w:val="0"/>
                      <w:szCs w:val="21"/>
                    </w:rPr>
                  </w:pPr>
                  <w:r>
                    <w:rPr>
                      <w:rFonts w:hint="eastAsia"/>
                      <w:szCs w:val="21"/>
                    </w:rPr>
                    <w:t>废水处理达</w:t>
                  </w:r>
                  <w:r>
                    <w:t>《</w:t>
                  </w:r>
                  <w:r>
                    <w:rPr>
                      <w:rFonts w:hint="eastAsia"/>
                    </w:rPr>
                    <w:t>城市污水再生利用 城市杂用水</w:t>
                  </w:r>
                  <w:r>
                    <w:t>》</w:t>
                  </w:r>
                  <w:r>
                    <w:rPr>
                      <w:rFonts w:hint="eastAsia"/>
                    </w:rPr>
                    <w:t xml:space="preserve"> </w:t>
                  </w:r>
                  <w:r>
                    <w:t>(GB</w:t>
                  </w:r>
                  <w:r>
                    <w:rPr>
                      <w:rFonts w:hint="eastAsia"/>
                    </w:rPr>
                    <w:t>/</w:t>
                  </w:r>
                  <w:r>
                    <w:t>T18920-2002) 标准</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采用雨污分离，雨水经雨水沟排出站外，地面冲洗水经隔油池（水封）处理后和生活污水一起经</w:t>
                  </w:r>
                  <w:r>
                    <w:rPr>
                      <w:rFonts w:hint="eastAsia"/>
                      <w:szCs w:val="21"/>
                    </w:rPr>
                    <w:t>“化粪池＋地沟式土地处理系统”</w:t>
                  </w:r>
                  <w:r>
                    <w:rPr>
                      <w:rFonts w:hint="eastAsia" w:ascii="Times New Roman" w:hAnsi="Times New Roman" w:eastAsia="宋体" w:cs="Times New Roman"/>
                      <w:kern w:val="0"/>
                      <w:szCs w:val="21"/>
                    </w:rPr>
                    <w:t>处理达</w:t>
                  </w:r>
                  <w:r>
                    <w:t>《</w:t>
                  </w:r>
                  <w:r>
                    <w:rPr>
                      <w:rFonts w:hint="eastAsia"/>
                    </w:rPr>
                    <w:t>城市污水再生利用 城市杂用水</w:t>
                  </w:r>
                  <w:r>
                    <w:t>》</w:t>
                  </w:r>
                  <w:r>
                    <w:rPr>
                      <w:rFonts w:hint="eastAsia"/>
                    </w:rPr>
                    <w:t xml:space="preserve"> </w:t>
                  </w:r>
                  <w:r>
                    <w:t>(GB</w:t>
                  </w:r>
                  <w:r>
                    <w:rPr>
                      <w:rFonts w:hint="eastAsia"/>
                    </w:rPr>
                    <w:t>/</w:t>
                  </w:r>
                  <w:r>
                    <w:t>T18920-2002) 标准</w:t>
                  </w:r>
                  <w:r>
                    <w:rPr>
                      <w:rFonts w:hint="eastAsia"/>
                    </w:rPr>
                    <w:t>后用于绿化或道路洒水</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w:t>
                  </w:r>
                  <w:r>
                    <w:rPr>
                      <w:rFonts w:hint="eastAsia"/>
                      <w:szCs w:val="21"/>
                    </w:rPr>
                    <w:t>加油作业区地面冲洗废水经隔油池处理后与办公废水一并排入站区污水处理系统；处理达</w:t>
                  </w:r>
                  <w:r>
                    <w:t>《</w:t>
                  </w:r>
                  <w:r>
                    <w:rPr>
                      <w:rFonts w:hint="eastAsia"/>
                    </w:rPr>
                    <w:t>城市污水再生利用 城市杂用水</w:t>
                  </w:r>
                  <w:r>
                    <w:t>》(GB</w:t>
                  </w:r>
                  <w:r>
                    <w:rPr>
                      <w:rFonts w:hint="eastAsia"/>
                    </w:rPr>
                    <w:t>/</w:t>
                  </w:r>
                  <w:r>
                    <w:t>T18920-2002) 标准</w:t>
                  </w:r>
                  <w:r>
                    <w:rPr>
                      <w:rFonts w:hint="eastAsia"/>
                    </w:rPr>
                    <w:t>后用于绿化和洒水降尘。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jc w:val="center"/>
                    <w:rPr>
                      <w:snapToGrid w:val="0"/>
                      <w:kern w:val="0"/>
                      <w:szCs w:val="21"/>
                    </w:rPr>
                  </w:pPr>
                  <w:r>
                    <w:rPr>
                      <w:rFonts w:hint="eastAsia" w:ascii="Times New Roman" w:hAnsi="Times New Roman" w:eastAsia="宋体" w:cs="Times New Roman"/>
                      <w:kern w:val="0"/>
                      <w:szCs w:val="21"/>
                    </w:rPr>
                    <w:t>运营期大气环境影响主要为油品挥发产生的非甲烷烃类和汽车尾气。储存罐采用地埋式工艺安放储罐，保持油罐的恒温，减少烃类物质的排放；加强加油站的管理减少汽车滞留时间，加油工人的操作规范教育，减少因人为因素而造成的成品油的损失对大气的影响；并设置油气回收装置，严格管理，提高设备的自动化控制水平。该套油气回收系统的液阻、气液比、密闭性均需达到《加油站大气污染物排放标准</w:t>
                  </w:r>
                  <w:r>
                    <w:t>》</w:t>
                  </w:r>
                  <w:r>
                    <w:rPr>
                      <w:rFonts w:hint="eastAsia" w:ascii="Times New Roman" w:hAnsi="Times New Roman" w:eastAsia="宋体" w:cs="Times New Roman"/>
                      <w:kern w:val="0"/>
                      <w:szCs w:val="21"/>
                    </w:rPr>
                    <w:t>（GB20952-2007）的要求。</w:t>
                  </w:r>
                  <w:r>
                    <w:rPr>
                      <w:rFonts w:hint="eastAsia"/>
                      <w:szCs w:val="21"/>
                    </w:rPr>
                    <w:t>非甲烷总烃达到</w:t>
                  </w:r>
                  <w:r>
                    <w:rPr>
                      <w:szCs w:val="21"/>
                    </w:rPr>
                    <w:t>《大气污染物综合排放标准》（GB16297-1996）表2</w:t>
                  </w:r>
                  <w:r>
                    <w:rPr>
                      <w:snapToGrid w:val="0"/>
                      <w:kern w:val="0"/>
                      <w:szCs w:val="21"/>
                    </w:rPr>
                    <w:t>中的排放限值</w:t>
                  </w:r>
                  <w:r>
                    <w:rPr>
                      <w:rFonts w:hint="eastAsia"/>
                      <w:snapToGrid w:val="0"/>
                      <w:kern w:val="0"/>
                      <w:szCs w:val="21"/>
                    </w:rPr>
                    <w:t>；</w:t>
                  </w:r>
                </w:p>
                <w:p>
                  <w:pPr>
                    <w:widowControl/>
                    <w:ind w:firstLine="420" w:firstLineChars="200"/>
                    <w:jc w:val="left"/>
                    <w:rPr>
                      <w:rFonts w:ascii="Times New Roman" w:hAnsi="Times New Roman" w:eastAsia="宋体" w:cs="Times New Roman"/>
                      <w:kern w:val="0"/>
                      <w:szCs w:val="21"/>
                    </w:rPr>
                  </w:pP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卸油和加油油汽回收系统各一套。油汽回收系统达</w:t>
                  </w:r>
                  <w:r>
                    <w:t>《</w:t>
                  </w:r>
                  <w:r>
                    <w:rPr>
                      <w:rFonts w:hint="eastAsia"/>
                    </w:rPr>
                    <w:t>加油站大气污染物排放标准</w:t>
                  </w:r>
                  <w:r>
                    <w:t>》</w:t>
                  </w:r>
                  <w:r>
                    <w:rPr>
                      <w:rFonts w:hint="eastAsia"/>
                    </w:rPr>
                    <w:t>（G</w:t>
                  </w:r>
                  <w:r>
                    <w:t>B20952-2007</w:t>
                  </w:r>
                  <w:r>
                    <w:rPr>
                      <w:rFonts w:hint="eastAsia"/>
                    </w:rPr>
                    <w:t>）</w:t>
                  </w:r>
                  <w:r>
                    <w:rPr>
                      <w:rFonts w:hint="eastAsia"/>
                      <w:lang w:eastAsia="zh-CN"/>
                    </w:rPr>
                    <w:t>标准要求</w:t>
                  </w:r>
                  <w:r>
                    <w:rPr>
                      <w:rFonts w:hint="eastAsia"/>
                    </w:rPr>
                    <w:t>。</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建设项目采用</w:t>
                  </w:r>
                  <w:r>
                    <w:rPr>
                      <w:rFonts w:hint="eastAsia" w:ascii="Times New Roman" w:hAnsi="Times New Roman" w:cs="Times New Roman"/>
                      <w:szCs w:val="21"/>
                    </w:rPr>
                    <w:t>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9"/>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9"/>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w:t>
                  </w:r>
                  <w:r>
                    <w:rPr>
                      <w:rFonts w:hint="eastAsia" w:ascii="Times New Roman" w:hAnsi="Times New Roman" w:eastAsia="宋体" w:cs="Times New Roman"/>
                      <w:szCs w:val="21"/>
                    </w:rPr>
                    <w:t>达</w:t>
                  </w:r>
                  <w:r>
                    <w:rPr>
                      <w:sz w:val="21"/>
                      <w:szCs w:val="21"/>
                    </w:rPr>
                    <w:t>《</w:t>
                  </w:r>
                  <w:r>
                    <w:rPr>
                      <w:rFonts w:hint="eastAsia"/>
                      <w:sz w:val="21"/>
                      <w:szCs w:val="21"/>
                    </w:rPr>
                    <w:t>大气污染物综合排放标准</w:t>
                  </w:r>
                  <w:r>
                    <w:rPr>
                      <w:sz w:val="21"/>
                      <w:szCs w:val="21"/>
                    </w:rPr>
                    <w:t>》</w:t>
                  </w:r>
                  <w:r>
                    <w:rPr>
                      <w:rFonts w:hint="eastAsia"/>
                      <w:sz w:val="21"/>
                      <w:szCs w:val="21"/>
                    </w:rPr>
                    <w:t>（G</w:t>
                  </w:r>
                  <w:r>
                    <w:rPr>
                      <w:sz w:val="21"/>
                      <w:szCs w:val="21"/>
                    </w:rPr>
                    <w:t>B16297-19</w:t>
                  </w:r>
                  <w:r>
                    <w:rPr>
                      <w:rFonts w:hint="eastAsia"/>
                      <w:sz w:val="21"/>
                      <w:szCs w:val="21"/>
                      <w:lang w:eastAsia="zh-CN"/>
                    </w:rPr>
                    <w:t>标准要求；</w:t>
                  </w:r>
                  <w:r>
                    <w:rPr>
                      <w:rFonts w:hint="eastAsia" w:ascii="Times New Roman" w:hAnsi="Times New Roman" w:eastAsia="宋体" w:cs="Times New Roman"/>
                      <w:sz w:val="21"/>
                      <w:szCs w:val="21"/>
                    </w:rPr>
                    <w:t>油汽</w:t>
                  </w:r>
                  <w:r>
                    <w:rPr>
                      <w:rFonts w:hint="eastAsia" w:ascii="Times New Roman" w:hAnsi="Times New Roman" w:eastAsia="宋体" w:cs="Times New Roman"/>
                      <w:szCs w:val="21"/>
                    </w:rPr>
                    <w:t>回收系</w:t>
                  </w:r>
                  <w:r>
                    <w:rPr>
                      <w:rFonts w:hint="eastAsia" w:ascii="Times New Roman" w:hAnsi="Times New Roman" w:eastAsia="宋体" w:cs="Times New Roman"/>
                      <w:sz w:val="21"/>
                      <w:szCs w:val="21"/>
                    </w:rPr>
                    <w:t>统达</w:t>
                  </w:r>
                  <w:r>
                    <w:rPr>
                      <w:sz w:val="21"/>
                      <w:szCs w:val="21"/>
                    </w:rPr>
                    <w:t>《</w:t>
                  </w:r>
                  <w:r>
                    <w:rPr>
                      <w:rFonts w:hint="eastAsia"/>
                      <w:sz w:val="21"/>
                      <w:szCs w:val="21"/>
                    </w:rPr>
                    <w:t>加油站大气污染物排放标准</w:t>
                  </w:r>
                  <w:r>
                    <w:rPr>
                      <w:sz w:val="21"/>
                      <w:szCs w:val="21"/>
                    </w:rPr>
                    <w:t>》</w:t>
                  </w:r>
                  <w:r>
                    <w:rPr>
                      <w:rFonts w:hint="eastAsia"/>
                      <w:sz w:val="21"/>
                      <w:szCs w:val="21"/>
                    </w:rPr>
                    <w:t>（G</w:t>
                  </w:r>
                  <w:r>
                    <w:rPr>
                      <w:sz w:val="21"/>
                      <w:szCs w:val="21"/>
                    </w:rPr>
                    <w:t>B20952-2007</w:t>
                  </w:r>
                  <w:r>
                    <w:rPr>
                      <w:rFonts w:hint="eastAsia"/>
                      <w:sz w:val="21"/>
                      <w:szCs w:val="21"/>
                    </w:rPr>
                    <w:t>）要求</w:t>
                  </w:r>
                  <w:r>
                    <w:rPr>
                      <w:rFonts w:ascii="Times New Roman" w:hAnsi="Times New Roman" w:cs="Times New Roman"/>
                      <w:sz w:val="21"/>
                      <w:szCs w:val="21"/>
                    </w:rPr>
                    <w:t>。</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7"/>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绿化、安装消声器等措施控制，可以大大降低噪声；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项目选用低噪声设备，对高噪声声源采取消声、减震、隔声等措施后达标排放，严禁对周围环境造成影响。</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安装消声措施控制，站区内、外加强绿化等措施，减小项目产生的噪声对周边环境的影响，</w:t>
                  </w:r>
                  <w:r>
                    <w:rPr>
                      <w:rFonts w:hint="eastAsia"/>
                      <w:szCs w:val="21"/>
                    </w:rPr>
                    <w:t>加油站厂界噪声达到《工业企业厂界环境噪声排放标准》（GB12348-2008）2类及4a类标准要求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固体废物采取分类收集、集中处理。生活垃圾统一由环卫部门定期清运后集中处理。隔油池油泥、储油罐清洗的油泥和浮游统一收集后暂存于危废暂存间、定期按要求交由有资质的单位集中处理。</w:t>
                  </w:r>
                </w:p>
              </w:tc>
              <w:tc>
                <w:tcPr>
                  <w:tcW w:w="3889" w:type="dxa"/>
                  <w:tcBorders>
                    <w:top w:val="single" w:color="auto" w:sz="4" w:space="0"/>
                    <w:bottom w:val="single" w:color="auto" w:sz="12" w:space="0"/>
                    <w:right w:val="nil"/>
                  </w:tcBorders>
                  <w:vAlign w:val="center"/>
                </w:tcPr>
                <w:p>
                  <w:pPr>
                    <w:pStyle w:val="9"/>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w:t>
                  </w:r>
                </w:p>
                <w:p>
                  <w:pPr>
                    <w:pStyle w:val="9"/>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58"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6"/>
      <w:bookmarkEnd w:id="57"/>
      <w:bookmarkEnd w:id="58"/>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59"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59"/>
          </w:p>
          <w:p>
            <w:pPr>
              <w:tabs>
                <w:tab w:val="left" w:pos="395"/>
              </w:tabs>
              <w:spacing w:line="360" w:lineRule="auto"/>
              <w:ind w:firstLine="480" w:firstLineChars="200"/>
              <w:rPr>
                <w:rFonts w:ascii="Times New Roman" w:hAnsi="Times New Roman" w:eastAsia="宋体" w:cs="Times New Roman"/>
                <w:b/>
                <w:sz w:val="24"/>
              </w:rPr>
            </w:pPr>
            <w:bookmarkStart w:id="60" w:name="_Toc18451"/>
            <w:r>
              <w:rPr>
                <w:rFonts w:hint="eastAsia" w:ascii="Times New Roman" w:hAnsi="Times New Roman" w:cs="Times New Roman"/>
                <w:sz w:val="24"/>
              </w:rPr>
              <w:t>贵州交建国储贸易有限公司永烽高速温泉服务区加油站二站建设项目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雨水经雨水地沟排出项目区外；</w:t>
            </w:r>
            <w:r>
              <w:rPr>
                <w:sz w:val="24"/>
              </w:rPr>
              <w:t>场地冲洗水经隔油池预处理与其他生活污水一并进入</w:t>
            </w:r>
            <w:r>
              <w:rPr>
                <w:rFonts w:hint="eastAsia"/>
                <w:sz w:val="24"/>
              </w:rPr>
              <w:t>站区污水处理系统</w:t>
            </w:r>
            <w:r>
              <w:rPr>
                <w:sz w:val="24"/>
              </w:rPr>
              <w:t>处理达</w:t>
            </w:r>
            <w:r>
              <w:rPr>
                <w:rFonts w:hint="eastAsia"/>
                <w:sz w:val="24"/>
                <w:lang w:eastAsia="zh-CN"/>
              </w:rPr>
              <w:t>到</w:t>
            </w:r>
            <w:r>
              <w:rPr>
                <w:sz w:val="24"/>
              </w:rPr>
              <w:t>《</w:t>
            </w:r>
            <w:r>
              <w:rPr>
                <w:rFonts w:hint="eastAsia"/>
                <w:sz w:val="24"/>
              </w:rPr>
              <w:t>城市污水再生利用 城市杂用水</w:t>
            </w:r>
            <w:r>
              <w:rPr>
                <w:sz w:val="24"/>
              </w:rPr>
              <w:t>》(GB</w:t>
            </w:r>
            <w:r>
              <w:rPr>
                <w:rFonts w:hint="eastAsia"/>
                <w:sz w:val="24"/>
              </w:rPr>
              <w:t>/</w:t>
            </w:r>
            <w:r>
              <w:rPr>
                <w:sz w:val="24"/>
              </w:rPr>
              <w:t>T18920-2002) 标准</w:t>
            </w:r>
            <w:r>
              <w:rPr>
                <w:rFonts w:hint="eastAsia"/>
                <w:sz w:val="24"/>
                <w:lang w:eastAsia="zh-CN"/>
              </w:rPr>
              <w:t>要求，</w:t>
            </w:r>
            <w:r>
              <w:rPr>
                <w:rFonts w:hint="eastAsia"/>
                <w:sz w:val="24"/>
              </w:rPr>
              <w:t>用于绿化和洒水降尘</w:t>
            </w:r>
            <w:r>
              <w:rPr>
                <w:rFonts w:hint="eastAsia"/>
              </w:rPr>
              <w:t>，</w:t>
            </w:r>
            <w:r>
              <w:rPr>
                <w:sz w:val="24"/>
              </w:rPr>
              <w:t>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500" w:lineRule="atLeast"/>
              <w:ind w:firstLine="480" w:firstLineChars="200"/>
              <w:rPr>
                <w:rFonts w:ascii="Times New Roman" w:hAnsi="Times New Roman" w:cs="Times New Roman"/>
                <w:bCs/>
                <w:sz w:val="24"/>
              </w:rPr>
            </w:pPr>
            <w:r>
              <w:rPr>
                <w:rFonts w:ascii="Times New Roman" w:hAnsi="Times New Roman" w:cs="Times New Roman"/>
                <w:bCs/>
                <w:sz w:val="24"/>
              </w:rPr>
              <w:t>本项</w:t>
            </w:r>
            <w:r>
              <w:rPr>
                <w:rFonts w:hint="eastAsia" w:ascii="Times New Roman" w:hAnsi="Times New Roman" w:cs="Times New Roman"/>
                <w:bCs/>
                <w:sz w:val="24"/>
              </w:rPr>
              <w:t>不设污染物排放总量控制。</w:t>
            </w: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0"/>
          </w:p>
          <w:p>
            <w:pPr>
              <w:spacing w:before="156" w:beforeLines="50" w:line="360" w:lineRule="auto"/>
              <w:ind w:firstLine="480" w:firstLineChars="200"/>
              <w:outlineLvl w:val="0"/>
              <w:rPr>
                <w:rFonts w:ascii="Times New Roman" w:hAnsi="Times New Roman" w:cs="Times New Roman"/>
                <w:sz w:val="24"/>
              </w:rPr>
            </w:pPr>
            <w:bookmarkStart w:id="61" w:name="_Toc8701"/>
            <w:bookmarkStart w:id="62" w:name="_Toc1131"/>
            <w:bookmarkStart w:id="63" w:name="_Toc2288"/>
            <w:bookmarkStart w:id="64" w:name="_Toc7543"/>
            <w:r>
              <w:rPr>
                <w:rFonts w:ascii="Times New Roman" w:hAnsi="Times New Roman" w:cs="Times New Roman"/>
                <w:sz w:val="24"/>
              </w:rPr>
              <w:t>（1）严格遵守国家和地方的有关环保法律、法规，并落实报告表中提出的各项污染防治措施，实现污染物达标排放。</w:t>
            </w:r>
            <w:bookmarkEnd w:id="61"/>
            <w:bookmarkEnd w:id="62"/>
            <w:bookmarkEnd w:id="63"/>
            <w:bookmarkEnd w:id="64"/>
          </w:p>
          <w:p>
            <w:pPr>
              <w:spacing w:before="156" w:beforeLines="50"/>
              <w:ind w:firstLine="480" w:firstLineChars="200"/>
              <w:outlineLvl w:val="0"/>
              <w:rPr>
                <w:rFonts w:ascii="Times New Roman" w:hAnsi="Times New Roman" w:cs="Times New Roman"/>
                <w:sz w:val="24"/>
              </w:rPr>
            </w:pPr>
            <w:bookmarkStart w:id="65" w:name="_Toc1901"/>
            <w:bookmarkStart w:id="66" w:name="_Toc25057"/>
            <w:bookmarkStart w:id="67" w:name="_Toc19503"/>
            <w:bookmarkStart w:id="68" w:name="_Toc17074"/>
            <w:r>
              <w:rPr>
                <w:rFonts w:ascii="Times New Roman" w:hAnsi="Times New Roman" w:cs="Times New Roman"/>
                <w:sz w:val="24"/>
              </w:rPr>
              <w:t>（2）建议对工作人员进行专业的环保知识培训，加强环保意识。</w:t>
            </w:r>
            <w:bookmarkEnd w:id="65"/>
            <w:bookmarkEnd w:id="66"/>
            <w:bookmarkEnd w:id="67"/>
            <w:bookmarkEnd w:id="68"/>
          </w:p>
          <w:p>
            <w:pPr>
              <w:spacing w:before="156" w:beforeLines="50"/>
              <w:ind w:firstLine="480" w:firstLineChars="200"/>
              <w:outlineLvl w:val="0"/>
              <w:rPr>
                <w:rFonts w:ascii="Times New Roman" w:hAnsi="Times New Roman" w:cs="Times New Roman"/>
                <w:color w:val="000000" w:themeColor="text1"/>
                <w:sz w:val="24"/>
              </w:rPr>
            </w:pPr>
            <w:bookmarkStart w:id="69" w:name="_Toc17305"/>
            <w:bookmarkStart w:id="70" w:name="_Toc26541"/>
            <w:bookmarkStart w:id="71" w:name="_Toc21958"/>
            <w:bookmarkStart w:id="72" w:name="_Toc6143"/>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69"/>
            <w:bookmarkEnd w:id="70"/>
            <w:bookmarkEnd w:id="71"/>
            <w:bookmarkEnd w:id="72"/>
          </w:p>
          <w:p>
            <w:pPr>
              <w:spacing w:before="156" w:beforeLines="50"/>
              <w:ind w:firstLine="480" w:firstLineChars="200"/>
              <w:outlineLvl w:val="0"/>
              <w:rPr>
                <w:rFonts w:ascii="Times New Roman" w:hAnsi="Times New Roman" w:cs="Times New Roman"/>
                <w:color w:val="000000" w:themeColor="text1"/>
                <w:sz w:val="24"/>
              </w:rPr>
            </w:pPr>
            <w:bookmarkStart w:id="73" w:name="_Toc32030"/>
            <w:bookmarkStart w:id="74" w:name="_Toc6359"/>
            <w:bookmarkStart w:id="75" w:name="_Toc25887"/>
            <w:bookmarkStart w:id="76" w:name="_Toc17679"/>
            <w:r>
              <w:rPr>
                <w:rFonts w:ascii="Times New Roman" w:hAnsi="Times New Roman" w:cs="Times New Roman"/>
                <w:color w:val="000000" w:themeColor="text1"/>
                <w:sz w:val="24"/>
              </w:rPr>
              <w:t>（4）建立完整的环保手续档案。</w:t>
            </w:r>
            <w:bookmarkEnd w:id="73"/>
            <w:bookmarkEnd w:id="74"/>
            <w:bookmarkEnd w:id="75"/>
            <w:bookmarkEnd w:id="76"/>
          </w:p>
          <w:p>
            <w:pPr>
              <w:spacing w:before="156" w:beforeLines="50"/>
              <w:ind w:firstLine="480" w:firstLineChars="200"/>
              <w:outlineLvl w:val="0"/>
              <w:rPr>
                <w:rFonts w:ascii="Times New Roman" w:hAnsi="Times New Roman" w:cs="Times New Roman"/>
                <w:color w:val="000000" w:themeColor="text1"/>
                <w:sz w:val="24"/>
              </w:rPr>
            </w:pPr>
            <w:bookmarkStart w:id="77" w:name="_Toc32316"/>
            <w:bookmarkStart w:id="78" w:name="_Toc28859"/>
            <w:r>
              <w:rPr>
                <w:rFonts w:ascii="Times New Roman" w:hAnsi="Times New Roman" w:cs="Times New Roman"/>
                <w:color w:val="000000" w:themeColor="text1"/>
                <w:sz w:val="24"/>
              </w:rPr>
              <w:t>（5）加强厂区绿化</w:t>
            </w:r>
            <w:r>
              <w:rPr>
                <w:rFonts w:hint="eastAsia" w:ascii="Times New Roman" w:hAnsi="Times New Roman" w:cs="Times New Roman"/>
                <w:color w:val="000000" w:themeColor="text1"/>
                <w:sz w:val="24"/>
              </w:rPr>
              <w:t>维护</w:t>
            </w:r>
            <w:r>
              <w:rPr>
                <w:rFonts w:ascii="Times New Roman" w:hAnsi="Times New Roman" w:cs="Times New Roman"/>
                <w:color w:val="000000" w:themeColor="text1"/>
                <w:sz w:val="24"/>
              </w:rPr>
              <w:t>。</w:t>
            </w:r>
            <w:bookmarkEnd w:id="77"/>
            <w:bookmarkEnd w:id="78"/>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p>
          <w:p>
            <w:pPr>
              <w:spacing w:before="156" w:beforeLines="50"/>
              <w:ind w:firstLine="480" w:firstLineChars="200"/>
              <w:outlineLvl w:val="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（11）按相关要求完善环境风险防控应急措施（设施）、突发环境事件应急预案等。</w:t>
            </w:r>
          </w:p>
          <w:p>
            <w:pPr>
              <w:pStyle w:val="8"/>
              <w:ind w:left="0" w:right="0" w:firstLine="480"/>
              <w:rPr>
                <w:rFonts w:ascii="Times New Roman"/>
                <w:sz w:val="24"/>
              </w:rPr>
            </w:pPr>
            <w:r>
              <w:rPr>
                <w:rFonts w:hint="eastAsia" w:ascii="Times New Roman"/>
                <w:sz w:val="24"/>
              </w:rPr>
              <w:t>（12）</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8"/>
              <w:ind w:left="0" w:right="0" w:firstLine="480"/>
              <w:rPr>
                <w:rFonts w:ascii="Times New Roman"/>
                <w:sz w:val="24"/>
              </w:rPr>
            </w:pPr>
            <w:r>
              <w:rPr>
                <w:rFonts w:hint="eastAsia" w:ascii="Times New Roman"/>
                <w:sz w:val="24"/>
              </w:rPr>
              <w:t>（13）</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spacing w:before="156" w:beforeLines="50"/>
              <w:ind w:firstLine="480" w:firstLineChars="200"/>
              <w:outlineLvl w:val="0"/>
              <w:rPr>
                <w:rFonts w:ascii="Times New Roman" w:hAnsi="Times New Roman" w:cs="Times New Roman"/>
                <w:b/>
                <w:bCs/>
                <w:sz w:val="28"/>
                <w:szCs w:val="28"/>
              </w:rPr>
            </w:pPr>
            <w:r>
              <w:rPr>
                <w:rFonts w:hint="eastAsia" w:ascii="Times New Roman"/>
                <w:sz w:val="24"/>
              </w:rPr>
              <w:t>（14）</w:t>
            </w:r>
            <w:r>
              <w:rPr>
                <w:rFonts w:ascii="Times New Roman"/>
                <w:sz w:val="24"/>
              </w:rPr>
              <w:t>加油站内可种植草坪、设置花坛，但不得种植油性植物</w:t>
            </w: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79" w:name="_Toc14546"/>
    </w:p>
    <w:p>
      <w:pPr>
        <w:spacing w:before="156" w:beforeLines="50"/>
        <w:outlineLvl w:val="0"/>
        <w:rPr>
          <w:rFonts w:ascii="Times New Roman" w:hAnsi="Times New Roman" w:eastAsia="宋体" w:cs="Times New Roman"/>
          <w:b/>
          <w:bCs/>
          <w:sz w:val="28"/>
          <w:szCs w:val="28"/>
        </w:rPr>
      </w:pPr>
      <w:bookmarkStart w:id="80"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79"/>
      <w:r>
        <w:rPr>
          <w:rFonts w:ascii="Times New Roman" w:hAnsi="Times New Roman" w:cs="Times New Roman"/>
          <w:b/>
          <w:bCs/>
          <w:sz w:val="28"/>
          <w:szCs w:val="28"/>
        </w:rPr>
        <w:t>、附图</w:t>
      </w:r>
      <w:bookmarkEnd w:id="80"/>
      <w:r>
        <w:rPr>
          <w:rFonts w:ascii="Times New Roman" w:hAnsi="Times New Roman" w:cs="Times New Roman"/>
          <w:b/>
          <w:bCs/>
          <w:sz w:val="28"/>
          <w:szCs w:val="28"/>
        </w:rPr>
        <w:t>及附表</w:t>
      </w:r>
    </w:p>
    <w:tbl>
      <w:tblPr>
        <w:tblStyle w:val="1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w:t>
            </w:r>
            <w:r>
              <w:rPr>
                <w:rFonts w:hint="eastAsia" w:ascii="Times New Roman" w:hAnsi="Times New Roman" w:cs="Times New Roman"/>
                <w:b/>
                <w:bCs/>
                <w:sz w:val="24"/>
              </w:rPr>
              <w:t>环评</w:t>
            </w:r>
            <w:r>
              <w:rPr>
                <w:rFonts w:ascii="Times New Roman" w:hAnsi="Times New Roman" w:cs="Times New Roman"/>
                <w:b/>
                <w:bCs/>
                <w:sz w:val="24"/>
              </w:rPr>
              <w:t>批复</w:t>
            </w:r>
          </w:p>
          <w:p>
            <w:pPr>
              <w:rPr>
                <w:rFonts w:ascii="Times New Roman" w:hAnsi="Times New Roman" w:cs="Times New Roman"/>
                <w:b/>
                <w:bCs/>
                <w:sz w:val="24"/>
              </w:rPr>
            </w:pPr>
          </w:p>
          <w:p>
            <w:pPr>
              <w:widowControl/>
              <w:rPr>
                <w:rFonts w:hint="eastAsia" w:ascii="Times New Roman" w:hAnsi="Times New Roman" w:eastAsia="宋体" w:cs="Times New Roman"/>
                <w:color w:val="FF0000"/>
              </w:rPr>
            </w:pPr>
            <w:r>
              <w:drawing>
                <wp:anchor distT="0" distB="0" distL="114300" distR="114300" simplePos="0" relativeHeight="251659264" behindDoc="0" locked="0" layoutInCell="1" allowOverlap="1">
                  <wp:simplePos x="0" y="0"/>
                  <wp:positionH relativeFrom="column">
                    <wp:posOffset>482600</wp:posOffset>
                  </wp:positionH>
                  <wp:positionV relativeFrom="paragraph">
                    <wp:posOffset>108585</wp:posOffset>
                  </wp:positionV>
                  <wp:extent cx="5105400" cy="742315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rcRect l="1585" t="3759" r="2314" b="2192"/>
                          <a:stretch>
                            <a:fillRect/>
                          </a:stretch>
                        </pic:blipFill>
                        <pic:spPr>
                          <a:xfrm>
                            <a:off x="0" y="0"/>
                            <a:ext cx="5105400" cy="7423150"/>
                          </a:xfrm>
                          <a:prstGeom prst="rect">
                            <a:avLst/>
                          </a:prstGeom>
                          <a:ln>
                            <a:noFill/>
                          </a:ln>
                        </pic:spPr>
                      </pic:pic>
                    </a:graphicData>
                  </a:graphic>
                </wp:anchor>
              </w:drawing>
            </w:r>
          </w:p>
        </w:tc>
      </w:tr>
    </w:tbl>
    <w:p>
      <w:pPr>
        <w:rPr>
          <w:rFonts w:ascii="Times New Roman" w:hAnsi="Times New Roman" w:cs="Times New Roman"/>
        </w:rPr>
        <w:sectPr>
          <w:pgSz w:w="11850" w:h="16783"/>
          <w:pgMar w:top="1440" w:right="1080" w:bottom="1440" w:left="1080" w:header="851" w:footer="992" w:gutter="0"/>
          <w:cols w:space="425" w:num="1"/>
          <w:docGrid w:type="lines" w:linePitch="312" w:charSpace="0"/>
        </w:sectPr>
      </w:pPr>
    </w:p>
    <w:p>
      <w:pPr>
        <w:widowControl/>
        <w:jc w:val="left"/>
        <w:rPr>
          <w:rFonts w:ascii="宋体" w:hAnsi="宋体" w:eastAsia="宋体" w:cs="宋体"/>
          <w:kern w:val="0"/>
          <w:sz w:val="24"/>
        </w:rPr>
      </w:pPr>
    </w:p>
    <w:p>
      <w:pPr>
        <w:rPr>
          <w:b/>
        </w:rPr>
        <w:sectPr>
          <w:pgSz w:w="16783" w:h="11850" w:orient="landscape"/>
          <w:pgMar w:top="1080" w:right="1440" w:bottom="1080" w:left="1440" w:header="851" w:footer="992" w:gutter="0"/>
          <w:cols w:space="425" w:num="1"/>
          <w:docGrid w:type="lines" w:linePitch="312" w:charSpace="0"/>
        </w:sectPr>
      </w:pPr>
      <w:r>
        <w:drawing>
          <wp:anchor distT="0" distB="0" distL="114300" distR="114300" simplePos="0" relativeHeight="251668480" behindDoc="0" locked="0" layoutInCell="1" allowOverlap="1">
            <wp:simplePos x="0" y="0"/>
            <wp:positionH relativeFrom="column">
              <wp:posOffset>428625</wp:posOffset>
            </wp:positionH>
            <wp:positionV relativeFrom="paragraph">
              <wp:posOffset>87630</wp:posOffset>
            </wp:positionV>
            <wp:extent cx="8037195" cy="4714240"/>
            <wp:effectExtent l="0" t="0" r="1905" b="10160"/>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8037195" cy="4714240"/>
                    </a:xfrm>
                    <a:prstGeom prst="rect">
                      <a:avLst/>
                    </a:prstGeom>
                    <a:noFill/>
                    <a:ln>
                      <a:noFill/>
                    </a:ln>
                  </pic:spPr>
                </pic:pic>
              </a:graphicData>
            </a:graphic>
          </wp:anchor>
        </w:drawing>
      </w:r>
    </w:p>
    <w:p>
      <w:pPr>
        <w:widowControl/>
        <w:jc w:val="left"/>
        <w:rPr>
          <w:rFonts w:ascii="宋体" w:hAnsi="宋体" w:eastAsia="宋体" w:cs="宋体"/>
          <w:kern w:val="0"/>
          <w:sz w:val="24"/>
        </w:rPr>
      </w:pPr>
      <w:r>
        <w:rPr>
          <w:rFonts w:ascii="宋体" w:hAnsi="宋体" w:eastAsia="宋体" w:cs="宋体"/>
          <w:kern w:val="0"/>
          <w:sz w:val="24"/>
        </w:rPr>
        <w:t xml:space="preserve"> </w:t>
      </w:r>
    </w:p>
    <w:p>
      <w:pPr>
        <w:jc w:val="center"/>
      </w:pPr>
    </w:p>
    <w:p>
      <w:pPr>
        <w:jc w:val="center"/>
        <w:sectPr>
          <w:pgSz w:w="16783" w:h="11850" w:orient="landscape"/>
          <w:pgMar w:top="1080" w:right="1440" w:bottom="1080" w:left="1440" w:header="851" w:footer="992" w:gutter="0"/>
          <w:cols w:space="425" w:num="1"/>
          <w:docGrid w:type="lines" w:linePitch="312" w:charSpace="0"/>
        </w:sectPr>
      </w:pPr>
      <w:r>
        <w:drawing>
          <wp:anchor distT="0" distB="0" distL="114300" distR="114300" simplePos="0" relativeHeight="251669504" behindDoc="0" locked="0" layoutInCell="1" allowOverlap="1">
            <wp:simplePos x="0" y="0"/>
            <wp:positionH relativeFrom="column">
              <wp:posOffset>756285</wp:posOffset>
            </wp:positionH>
            <wp:positionV relativeFrom="paragraph">
              <wp:posOffset>47625</wp:posOffset>
            </wp:positionV>
            <wp:extent cx="7448550" cy="4908550"/>
            <wp:effectExtent l="0" t="0" r="0" b="6350"/>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7448550" cy="4908550"/>
                    </a:xfrm>
                    <a:prstGeom prst="rect">
                      <a:avLst/>
                    </a:prstGeom>
                    <a:noFill/>
                    <a:ln>
                      <a:noFill/>
                    </a:ln>
                  </pic:spPr>
                </pic:pic>
              </a:graphicData>
            </a:graphic>
          </wp:anchor>
        </w:drawing>
      </w:r>
      <w:r>
        <w:rPr>
          <w:rFonts w:eastAsia="宋体"/>
          <w:szCs w:val="20"/>
        </w:rPr>
        <w:tab/>
      </w:r>
    </w:p>
    <w:p>
      <w:pPr>
        <w:widowControl/>
        <w:jc w:val="left"/>
        <w:rPr>
          <w:rFonts w:eastAsia="宋体"/>
          <w:szCs w:val="20"/>
        </w:rPr>
      </w:pPr>
    </w:p>
    <w:p>
      <w:pPr>
        <w:ind w:firstLine="3780" w:firstLineChars="1800"/>
        <w:rPr>
          <w:color w:val="FF0000"/>
        </w:rPr>
      </w:pPr>
      <w:r>
        <w:drawing>
          <wp:anchor distT="0" distB="0" distL="114300" distR="114300" simplePos="0" relativeHeight="251670528" behindDoc="0" locked="0" layoutInCell="1" allowOverlap="1">
            <wp:simplePos x="0" y="0"/>
            <wp:positionH relativeFrom="column">
              <wp:posOffset>551180</wp:posOffset>
            </wp:positionH>
            <wp:positionV relativeFrom="paragraph">
              <wp:posOffset>85090</wp:posOffset>
            </wp:positionV>
            <wp:extent cx="7676515" cy="4666615"/>
            <wp:effectExtent l="0" t="0" r="635" b="635"/>
            <wp:wrapTopAndBottom/>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7676515" cy="4666615"/>
                    </a:xfrm>
                    <a:prstGeom prst="rect">
                      <a:avLst/>
                    </a:prstGeom>
                    <a:noFill/>
                    <a:ln>
                      <a:noFill/>
                    </a:ln>
                  </pic:spPr>
                </pic:pic>
              </a:graphicData>
            </a:graphic>
          </wp:anchor>
        </w:drawing>
      </w:r>
      <w:r>
        <w:t xml:space="preserve">                  </w:t>
      </w:r>
      <w:r>
        <w:rPr>
          <w:color w:val="FF0000"/>
        </w:rPr>
        <w:t xml:space="preserve"> </w:t>
      </w:r>
    </w:p>
    <w:p>
      <w:pPr>
        <w:ind w:firstLine="3780" w:firstLineChars="1800"/>
        <w:rPr>
          <w:color w:val="FF0000"/>
        </w:rPr>
      </w:pPr>
    </w:p>
    <w:p>
      <w:pPr>
        <w:ind w:firstLine="5250" w:firstLineChars="2500"/>
        <w:rPr>
          <w:rFonts w:hint="eastAsia" w:eastAsiaTheme="minorEastAsia"/>
          <w:b/>
          <w:color w:val="auto"/>
          <w:lang w:eastAsia="zh-CN"/>
        </w:rPr>
      </w:pPr>
      <w:r>
        <w:rPr>
          <w:color w:val="auto"/>
        </w:rPr>
        <w:t xml:space="preserve"> </w:t>
      </w:r>
      <w:r>
        <w:rPr>
          <w:rFonts w:hint="eastAsia"/>
          <w:b/>
          <w:color w:val="auto"/>
        </w:rPr>
        <w:t>附图</w:t>
      </w:r>
      <w:r>
        <w:rPr>
          <w:rFonts w:hint="eastAsia"/>
          <w:b/>
          <w:color w:val="auto"/>
          <w:lang w:val="en-US" w:eastAsia="zh-CN"/>
        </w:rPr>
        <w:t>3</w:t>
      </w:r>
      <w:r>
        <w:rPr>
          <w:rFonts w:hint="eastAsia"/>
          <w:b/>
          <w:color w:val="auto"/>
        </w:rPr>
        <w:t xml:space="preserve">  项目</w:t>
      </w:r>
      <w:r>
        <w:rPr>
          <w:rFonts w:hint="eastAsia"/>
          <w:b/>
          <w:color w:val="auto"/>
          <w:lang w:eastAsia="zh-CN"/>
        </w:rPr>
        <w:t>平面布置图</w:t>
      </w:r>
    </w:p>
    <w:p>
      <w:pPr>
        <w:pStyle w:val="6"/>
        <w:ind w:firstLine="0" w:firstLineChars="0"/>
      </w:pPr>
    </w:p>
    <w:p>
      <w:pPr>
        <w:rPr>
          <w:b/>
        </w:rPr>
      </w:pPr>
    </w:p>
    <w:p/>
    <w:p>
      <w:pPr>
        <w:jc w:val="center"/>
      </w:pPr>
      <w:r>
        <w:tab/>
      </w:r>
    </w:p>
    <w:p>
      <w:pPr>
        <w:tabs>
          <w:tab w:val="left" w:pos="5976"/>
        </w:tabs>
      </w:pPr>
      <w:r>
        <w:drawing>
          <wp:anchor distT="0" distB="0" distL="114300" distR="114300" simplePos="0" relativeHeight="251671552" behindDoc="0" locked="0" layoutInCell="1" allowOverlap="1">
            <wp:simplePos x="0" y="0"/>
            <wp:positionH relativeFrom="column">
              <wp:posOffset>657225</wp:posOffset>
            </wp:positionH>
            <wp:positionV relativeFrom="paragraph">
              <wp:posOffset>51435</wp:posOffset>
            </wp:positionV>
            <wp:extent cx="7399655" cy="4638040"/>
            <wp:effectExtent l="0" t="0" r="10795" b="10160"/>
            <wp:wrapTopAndBottom/>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7399655" cy="4638040"/>
                    </a:xfrm>
                    <a:prstGeom prst="rect">
                      <a:avLst/>
                    </a:prstGeom>
                    <a:noFill/>
                    <a:ln>
                      <a:noFill/>
                    </a:ln>
                  </pic:spPr>
                </pic:pic>
              </a:graphicData>
            </a:graphic>
          </wp:anchor>
        </w:drawing>
      </w:r>
      <w:r>
        <w:pict>
          <v:rect id="_x0000_s1084" o:spid="_x0000_s1084" o:spt="1" style="position:absolute;left:0pt;margin-left:504.6pt;margin-top:209.1pt;height:19.8pt;width:68.4pt;z-index:251662336;mso-width-relative:page;mso-height-relative:page;" stroked="t" coordsize="21600,21600">
            <v:path/>
            <v:fill focussize="0,0"/>
            <v:stroke color="#FFFFFF"/>
            <v:imagedata o:title=""/>
            <o:lock v:ext="edit"/>
            <v:textbox>
              <w:txbxContent>
                <w:p>
                  <w:r>
                    <w:rPr>
                      <w:rFonts w:hint="eastAsia"/>
                    </w:rPr>
                    <w:t>风向</w:t>
                  </w:r>
                </w:p>
              </w:txbxContent>
            </v:textbox>
          </v:rect>
        </w:pict>
      </w:r>
      <w:r>
        <w:pict>
          <v:shape id="_x0000_s1083" o:spid="_x0000_s1083" o:spt="32" type="#_x0000_t32" style="position:absolute;left:0pt;flip:x y;margin-left:484.2pt;margin-top:222.9pt;height:31.2pt;width:44.4pt;z-index:251661312;mso-width-relative:page;mso-height-relative:page;" o:connectortype="straight" filled="f" coordsize="21600,21600">
            <v:path arrowok="t"/>
            <v:fill on="f" focussize="0,0"/>
            <v:stroke endarrow="block"/>
            <v:imagedata o:title=""/>
            <o:lock v:ext="edit"/>
          </v:shape>
        </w:pict>
      </w:r>
    </w:p>
    <w:p/>
    <w:p>
      <w:pPr>
        <w:rPr>
          <w:color w:val="FF0000"/>
          <w:sz w:val="24"/>
        </w:rPr>
      </w:pPr>
      <w:r>
        <w:rPr>
          <w:rFonts w:hint="eastAsia"/>
        </w:rPr>
        <w:t xml:space="preserve"> </w:t>
      </w:r>
      <w:r>
        <w:t xml:space="preserve">                                          </w:t>
      </w:r>
      <w:r>
        <w:rPr>
          <w:sz w:val="24"/>
        </w:rPr>
        <w:t xml:space="preserve"> </w:t>
      </w:r>
    </w:p>
    <w:p/>
    <w:p/>
    <w:p/>
    <w:p/>
    <w:p>
      <w:r>
        <w:drawing>
          <wp:anchor distT="0" distB="0" distL="114300" distR="114300" simplePos="0" relativeHeight="251672576" behindDoc="0" locked="0" layoutInCell="1" allowOverlap="1">
            <wp:simplePos x="0" y="0"/>
            <wp:positionH relativeFrom="column">
              <wp:posOffset>552450</wp:posOffset>
            </wp:positionH>
            <wp:positionV relativeFrom="paragraph">
              <wp:posOffset>-179070</wp:posOffset>
            </wp:positionV>
            <wp:extent cx="7723505" cy="4542790"/>
            <wp:effectExtent l="0" t="0" r="10795" b="10160"/>
            <wp:wrapTopAndBottom/>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7"/>
                    <a:stretch>
                      <a:fillRect/>
                    </a:stretch>
                  </pic:blipFill>
                  <pic:spPr>
                    <a:xfrm>
                      <a:off x="0" y="0"/>
                      <a:ext cx="7723505" cy="4542790"/>
                    </a:xfrm>
                    <a:prstGeom prst="rect">
                      <a:avLst/>
                    </a:prstGeom>
                    <a:noFill/>
                    <a:ln>
                      <a:noFill/>
                    </a:ln>
                  </pic:spPr>
                </pic:pic>
              </a:graphicData>
            </a:graphic>
          </wp:anchor>
        </w:drawing>
      </w:r>
    </w:p>
    <w:p>
      <w:pPr>
        <w:bidi w:val="0"/>
        <w:rPr>
          <w:rFonts w:asciiTheme="minorHAnsi" w:hAnsiTheme="minorHAnsi" w:eastAsiaTheme="minorEastAsia" w:cstheme="minorBidi"/>
          <w:kern w:val="2"/>
          <w:sz w:val="21"/>
          <w:szCs w:val="24"/>
          <w:lang w:val="en-US" w:eastAsia="zh-CN" w:bidi="ar-SA"/>
        </w:rPr>
      </w:pPr>
    </w:p>
    <w:p>
      <w:pPr>
        <w:tabs>
          <w:tab w:val="left" w:pos="5474"/>
        </w:tabs>
        <w:bidi w:val="0"/>
        <w:jc w:val="left"/>
        <w:rPr>
          <w:rFonts w:hint="eastAsia"/>
          <w:lang w:val="en-US" w:eastAsia="zh-CN"/>
        </w:rPr>
      </w:pPr>
    </w:p>
    <w:p>
      <w:pPr>
        <w:tabs>
          <w:tab w:val="left" w:pos="5474"/>
        </w:tabs>
        <w:bidi w:val="0"/>
        <w:jc w:val="left"/>
        <w:rPr>
          <w:rFonts w:hint="eastAsia"/>
          <w:lang w:val="en-US" w:eastAsia="zh-CN"/>
        </w:rPr>
      </w:pPr>
      <w:r>
        <w:drawing>
          <wp:anchor distT="0" distB="0" distL="114300" distR="114300" simplePos="0" relativeHeight="251673600" behindDoc="0" locked="0" layoutInCell="1" allowOverlap="1">
            <wp:simplePos x="0" y="0"/>
            <wp:positionH relativeFrom="column">
              <wp:posOffset>455930</wp:posOffset>
            </wp:positionH>
            <wp:positionV relativeFrom="paragraph">
              <wp:posOffset>466725</wp:posOffset>
            </wp:positionV>
            <wp:extent cx="7353300" cy="4485640"/>
            <wp:effectExtent l="0" t="0" r="0" b="10160"/>
            <wp:wrapTopAndBottom/>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7353300" cy="4485640"/>
                    </a:xfrm>
                    <a:prstGeom prst="rect">
                      <a:avLst/>
                    </a:prstGeom>
                    <a:noFill/>
                    <a:ln>
                      <a:noFill/>
                    </a:ln>
                  </pic:spPr>
                </pic:pic>
              </a:graphicData>
            </a:graphic>
          </wp:anchor>
        </w:drawing>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04"/>
        </w:tabs>
        <w:bidi w:val="0"/>
        <w:jc w:val="left"/>
        <w:rPr>
          <w:rFonts w:hint="eastAsia" w:asciiTheme="minorHAnsi" w:hAnsiTheme="minorHAnsi" w:eastAsiaTheme="minorEastAsia" w:cstheme="minorBidi"/>
          <w:kern w:val="2"/>
          <w:sz w:val="21"/>
          <w:szCs w:val="24"/>
          <w:lang w:val="en-US" w:eastAsia="zh-CN" w:bidi="ar-SA"/>
        </w:rPr>
      </w:pPr>
      <w:r>
        <w:drawing>
          <wp:anchor distT="0" distB="0" distL="114300" distR="114300" simplePos="0" relativeHeight="251674624" behindDoc="0" locked="0" layoutInCell="1" allowOverlap="1">
            <wp:simplePos x="0" y="0"/>
            <wp:positionH relativeFrom="column">
              <wp:posOffset>656590</wp:posOffset>
            </wp:positionH>
            <wp:positionV relativeFrom="paragraph">
              <wp:posOffset>609600</wp:posOffset>
            </wp:positionV>
            <wp:extent cx="7447915" cy="4277360"/>
            <wp:effectExtent l="0" t="0" r="635" b="8890"/>
            <wp:wrapTopAndBottom/>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a:off x="0" y="0"/>
                      <a:ext cx="7447915" cy="4277360"/>
                    </a:xfrm>
                    <a:prstGeom prst="rect">
                      <a:avLst/>
                    </a:prstGeom>
                    <a:noFill/>
                    <a:ln>
                      <a:noFill/>
                    </a:ln>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383"/>
        </w:tabs>
        <w:bidi w:val="0"/>
        <w:ind w:firstLine="5250" w:firstLineChars="2500"/>
        <w:jc w:val="left"/>
        <w:rPr>
          <w:rFonts w:hint="default"/>
          <w:lang w:val="en-US" w:eastAsia="zh-CN"/>
        </w:rPr>
        <w:sectPr>
          <w:pgSz w:w="16783" w:h="11850" w:orient="landscape"/>
          <w:pgMar w:top="1080" w:right="1440" w:bottom="1080" w:left="1440" w:header="851" w:footer="992" w:gutter="0"/>
          <w:cols w:space="425" w:num="1"/>
          <w:docGrid w:type="lines" w:linePitch="312" w:charSpace="0"/>
        </w:sectPr>
      </w:pPr>
      <w:r>
        <w:rPr>
          <w:rFonts w:hint="eastAsia"/>
          <w:lang w:val="en-US" w:eastAsia="zh-CN"/>
        </w:rPr>
        <w:t>附图7    项目验收监测点位布置图</w:t>
      </w:r>
    </w:p>
    <w:p>
      <w:pPr>
        <w:pStyle w:val="9"/>
        <w:rPr>
          <w:rFonts w:ascii="Times New Roman" w:hAnsi="Times New Roman" w:cs="Times New Roman"/>
        </w:rPr>
      </w:pPr>
    </w:p>
    <w:p>
      <w:pPr>
        <w:pStyle w:val="9"/>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60288;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填表单位（盖章）：贵州交建国储贸易有限公司永烽高速温泉服务区加油站二站                   填表人（签字）：                                                  项目经办人（签字）：</w:t>
                  </w:r>
                </w:p>
              </w:txbxContent>
            </v:textbox>
          </v:shape>
        </w:pict>
      </w:r>
    </w:p>
    <w:p>
      <w:pPr>
        <w:pStyle w:val="9"/>
        <w:rPr>
          <w:rFonts w:ascii="Times New Roman" w:hAnsi="Times New Roman" w:cs="Times New Roman"/>
        </w:rPr>
      </w:pPr>
    </w:p>
    <w:tbl>
      <w:tblPr>
        <w:tblStyle w:val="16"/>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59264;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
                <w:sz w:val="18"/>
                <w:szCs w:val="18"/>
              </w:rPr>
              <w:t>贵州交建国储贸易有限公司永烽高速温泉服务区加油站二站</w:t>
            </w:r>
            <w:r>
              <w:rPr>
                <w:rFonts w:hint="eastAsia" w:ascii="Times New Roman" w:hAnsi="Times New Roman" w:eastAsia="宋体" w:cs="Times New Roman"/>
                <w:bCs/>
                <w:sz w:val="18"/>
                <w:szCs w:val="18"/>
              </w:rPr>
              <w:t>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永烽高速温泉服务区</w:t>
            </w:r>
            <w:r>
              <w:rPr>
                <w:rFonts w:ascii="Times New Roman" w:hAnsi="Times New Roman" w:eastAsia="宋体" w:cs="Times New Roman"/>
                <w:bCs/>
                <w:sz w:val="18"/>
                <w:szCs w:val="18"/>
              </w:rPr>
              <w:t>B</w:t>
            </w:r>
            <w:r>
              <w:rPr>
                <w:rFonts w:hint="eastAsia" w:ascii="Times New Roman" w:hAnsi="Times New Roman" w:eastAsia="宋体" w:cs="Times New Roman"/>
                <w:bCs/>
                <w:sz w:val="18"/>
                <w:szCs w:val="18"/>
              </w:rPr>
              <w:t>场地（息烽县温泉镇）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rFonts w:hint="eastAsia"/>
                <w:sz w:val="18"/>
                <w:szCs w:val="18"/>
              </w:rPr>
              <w:t>国环宏博（北京）节能环保科技有限公司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息烽县环境保护局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息环审表[2017]25号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2018年04月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2018年07月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eastAsia="宋体"/>
                <w:b/>
                <w:sz w:val="18"/>
                <w:szCs w:val="18"/>
              </w:rPr>
              <w:t>贵州交建国储贸易有限公司永烽高速温泉服务区加油站二站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91520122</w:t>
            </w:r>
            <w:r>
              <w:rPr>
                <w:rFonts w:ascii="Times New Roman" w:hAnsi="Times New Roman" w:eastAsia="宋体" w:cs="Times New Roman"/>
                <w:sz w:val="18"/>
                <w:szCs w:val="18"/>
              </w:rPr>
              <w:t>MA6H5DMR7X</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w:t>
            </w:r>
            <w:r>
              <w:rPr>
                <w:rFonts w:hint="eastAsia" w:ascii="Times New Roman" w:hAnsi="Times New Roman" w:eastAsia="宋体" w:cs="Times New Roman"/>
                <w:sz w:val="18"/>
                <w:szCs w:val="18"/>
                <w:lang w:val="en-US" w:eastAsia="zh-CN"/>
              </w:rPr>
              <w:t>5</w:t>
            </w:r>
            <w:r>
              <w:rPr>
                <w:rFonts w:hint="eastAsia" w:ascii="Times New Roman" w:hAnsi="Times New Roman" w:eastAsia="宋体" w:cs="Times New Roman"/>
                <w:sz w:val="18"/>
                <w:szCs w:val="18"/>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9"/>
        <w:rPr>
          <w:rFonts w:hint="default" w:ascii="Times New Roman" w:hAnsi="Times New Roman" w:cs="Times New Roman" w:eastAsiaTheme="minorEastAsia"/>
          <w:lang w:val="en-US" w:eastAsia="zh-CN"/>
        </w:rPr>
        <w:sectPr>
          <w:pgSz w:w="11850" w:h="16783"/>
          <w:pgMar w:top="1440" w:right="1803" w:bottom="1440" w:left="1803" w:header="851" w:footer="992" w:gutter="0"/>
          <w:cols w:space="425" w:num="1"/>
          <w:docGrid w:type="lines" w:linePitch="312" w:charSpace="0"/>
        </w:sectPr>
      </w:pPr>
      <w:r>
        <w:rPr>
          <w:rFonts w:hint="eastAsia" w:ascii="Times New Roman" w:hAnsi="Times New Roman" w:cs="Times New Roman"/>
          <w:lang w:val="en-US" w:eastAsia="zh-CN"/>
        </w:rPr>
        <w:drawing>
          <wp:anchor distT="0" distB="0" distL="114300" distR="114300" simplePos="0" relativeHeight="251675648" behindDoc="0" locked="0" layoutInCell="1" allowOverlap="1">
            <wp:simplePos x="0" y="0"/>
            <wp:positionH relativeFrom="column">
              <wp:posOffset>295275</wp:posOffset>
            </wp:positionH>
            <wp:positionV relativeFrom="paragraph">
              <wp:posOffset>1146810</wp:posOffset>
            </wp:positionV>
            <wp:extent cx="4271010" cy="5433695"/>
            <wp:effectExtent l="0" t="0" r="15240" b="14605"/>
            <wp:wrapTopAndBottom/>
            <wp:docPr id="16" name="图片 16" descr="温泉2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温泉2站1"/>
                    <pic:cNvPicPr>
                      <a:picLocks noChangeAspect="1"/>
                    </pic:cNvPicPr>
                  </pic:nvPicPr>
                  <pic:blipFill>
                    <a:blip r:embed="rId20"/>
                    <a:srcRect l="5647" t="10317" r="12667" b="4386"/>
                    <a:stretch>
                      <a:fillRect/>
                    </a:stretch>
                  </pic:blipFill>
                  <pic:spPr>
                    <a:xfrm>
                      <a:off x="0" y="0"/>
                      <a:ext cx="4271010" cy="5433695"/>
                    </a:xfrm>
                    <a:prstGeom prst="rect">
                      <a:avLst/>
                    </a:prstGeom>
                  </pic:spPr>
                </pic:pic>
              </a:graphicData>
            </a:graphic>
          </wp:anchor>
        </w:drawing>
      </w:r>
      <w:r>
        <w:rPr>
          <w:rFonts w:hint="eastAsia" w:ascii="Times New Roman" w:hAnsi="Times New Roman" w:cs="Times New Roman"/>
          <w:lang w:val="en-US" w:eastAsia="zh-CN"/>
        </w:rPr>
        <w:t>附件2  检测报告</w:t>
      </w:r>
    </w:p>
    <w:p>
      <w:pPr>
        <w:pStyle w:val="9"/>
        <w:rPr>
          <w:rFonts w:hint="eastAsia" w:ascii="Times New Roman" w:hAnsi="Times New Roman" w:cs="Times New Roman" w:eastAsiaTheme="minorEastAsia"/>
          <w:lang w:eastAsia="zh-CN"/>
        </w:rPr>
      </w:pPr>
    </w:p>
    <w:p>
      <w:pPr>
        <w:bidi w:val="0"/>
        <w:rPr>
          <w:rFonts w:hint="eastAsia"/>
          <w:lang w:eastAsia="zh-CN"/>
        </w:rPr>
      </w:pPr>
      <w:r>
        <w:rPr>
          <w:rFonts w:hint="eastAsia" w:ascii="Times New Roman" w:hAnsi="Times New Roman" w:cs="Times New Roman" w:eastAsiaTheme="minorEastAsia"/>
          <w:lang w:eastAsia="zh-CN"/>
        </w:rPr>
        <w:drawing>
          <wp:anchor distT="0" distB="0" distL="114300" distR="114300" simplePos="0" relativeHeight="251676672" behindDoc="0" locked="0" layoutInCell="1" allowOverlap="1">
            <wp:simplePos x="0" y="0"/>
            <wp:positionH relativeFrom="column">
              <wp:posOffset>447040</wp:posOffset>
            </wp:positionH>
            <wp:positionV relativeFrom="paragraph">
              <wp:posOffset>76200</wp:posOffset>
            </wp:positionV>
            <wp:extent cx="5243830" cy="6779260"/>
            <wp:effectExtent l="0" t="0" r="13970" b="2540"/>
            <wp:wrapTopAndBottom/>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21"/>
                    <a:srcRect l="18326" t="6405" r="3595" b="3280"/>
                    <a:stretch>
                      <a:fillRect/>
                    </a:stretch>
                  </pic:blipFill>
                  <pic:spPr>
                    <a:xfrm>
                      <a:off x="0" y="0"/>
                      <a:ext cx="5243830" cy="6779260"/>
                    </a:xfrm>
                    <a:prstGeom prst="rect">
                      <a:avLst/>
                    </a:prstGeom>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999"/>
        </w:tabs>
        <w:bidi w:val="0"/>
        <w:jc w:val="left"/>
        <w:rPr>
          <w:rFonts w:hint="eastAsia"/>
          <w:lang w:eastAsia="zh-CN"/>
        </w:rPr>
      </w:pPr>
      <w:r>
        <w:rPr>
          <w:rFonts w:hint="eastAsia"/>
          <w:lang w:eastAsia="zh-CN"/>
        </w:rPr>
        <w:tab/>
      </w:r>
    </w:p>
    <w:p>
      <w:pPr>
        <w:tabs>
          <w:tab w:val="left" w:pos="999"/>
        </w:tabs>
        <w:bidi w:val="0"/>
        <w:jc w:val="left"/>
        <w:rPr>
          <w:rFonts w:hint="eastAsia"/>
          <w:lang w:eastAsia="zh-CN"/>
        </w:rPr>
      </w:pPr>
    </w:p>
    <w:p>
      <w:pPr>
        <w:tabs>
          <w:tab w:val="left" w:pos="999"/>
        </w:tabs>
        <w:bidi w:val="0"/>
        <w:jc w:val="left"/>
        <w:rPr>
          <w:rFonts w:hint="eastAsia"/>
          <w:lang w:eastAsia="zh-CN"/>
        </w:rPr>
      </w:pPr>
    </w:p>
    <w:p>
      <w:pPr>
        <w:tabs>
          <w:tab w:val="left" w:pos="999"/>
        </w:tabs>
        <w:bidi w:val="0"/>
        <w:jc w:val="left"/>
        <w:rPr>
          <w:rFonts w:hint="eastAsia"/>
          <w:lang w:eastAsia="zh-CN"/>
        </w:rPr>
      </w:pPr>
      <w:r>
        <w:rPr>
          <w:rFonts w:hint="eastAsia"/>
          <w:lang w:eastAsia="zh-CN"/>
        </w:rPr>
        <w:drawing>
          <wp:anchor distT="0" distB="0" distL="114300" distR="114300" simplePos="0" relativeHeight="251679744" behindDoc="0" locked="0" layoutInCell="1" allowOverlap="1">
            <wp:simplePos x="0" y="0"/>
            <wp:positionH relativeFrom="column">
              <wp:posOffset>646430</wp:posOffset>
            </wp:positionH>
            <wp:positionV relativeFrom="paragraph">
              <wp:posOffset>66675</wp:posOffset>
            </wp:positionV>
            <wp:extent cx="4834890" cy="7790815"/>
            <wp:effectExtent l="0" t="0" r="3810" b="635"/>
            <wp:wrapTopAndBottom/>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22"/>
                    <a:srcRect l="6694" t="116" r="7065" b="5092"/>
                    <a:stretch>
                      <a:fillRect/>
                    </a:stretch>
                  </pic:blipFill>
                  <pic:spPr>
                    <a:xfrm>
                      <a:off x="0" y="0"/>
                      <a:ext cx="4834890" cy="779081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asciiTheme="minorHAnsi" w:hAnsiTheme="minorHAnsi" w:eastAsiaTheme="minorEastAsia" w:cstheme="minorBidi"/>
          <w:kern w:val="2"/>
          <w:sz w:val="21"/>
          <w:szCs w:val="24"/>
          <w:lang w:val="en-US" w:eastAsia="zh-CN" w:bidi="ar-SA"/>
        </w:rPr>
      </w:pPr>
    </w:p>
    <w:p>
      <w:pPr>
        <w:tabs>
          <w:tab w:val="left" w:pos="1194"/>
        </w:tabs>
        <w:bidi w:val="0"/>
        <w:jc w:val="left"/>
        <w:rPr>
          <w:rFonts w:hint="eastAsia"/>
          <w:lang w:val="en-US" w:eastAsia="zh-CN"/>
        </w:rPr>
      </w:pPr>
      <w:r>
        <w:rPr>
          <w:rFonts w:hint="eastAsia"/>
          <w:lang w:val="en-US" w:eastAsia="zh-CN"/>
        </w:rPr>
        <w:tab/>
      </w:r>
    </w:p>
    <w:p>
      <w:pPr>
        <w:tabs>
          <w:tab w:val="left" w:pos="1194"/>
        </w:tabs>
        <w:bidi w:val="0"/>
        <w:jc w:val="left"/>
        <w:rPr>
          <w:rFonts w:hint="eastAsia"/>
          <w:lang w:val="en-US" w:eastAsia="zh-CN"/>
        </w:rPr>
      </w:pPr>
    </w:p>
    <w:p>
      <w:pPr>
        <w:tabs>
          <w:tab w:val="left" w:pos="1194"/>
        </w:tabs>
        <w:bidi w:val="0"/>
        <w:jc w:val="left"/>
        <w:rPr>
          <w:rFonts w:hint="eastAsia"/>
          <w:lang w:val="en-US" w:eastAsia="zh-CN"/>
        </w:rPr>
      </w:pPr>
    </w:p>
    <w:p>
      <w:pPr>
        <w:tabs>
          <w:tab w:val="left" w:pos="1194"/>
        </w:tabs>
        <w:bidi w:val="0"/>
        <w:jc w:val="left"/>
        <w:rPr>
          <w:rFonts w:hint="eastAsia"/>
          <w:lang w:val="en-US" w:eastAsia="zh-CN"/>
        </w:rPr>
      </w:pPr>
    </w:p>
    <w:p>
      <w:pPr>
        <w:tabs>
          <w:tab w:val="left" w:pos="1194"/>
        </w:tabs>
        <w:bidi w:val="0"/>
        <w:jc w:val="left"/>
        <w:rPr>
          <w:rFonts w:hint="eastAsia"/>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323215</wp:posOffset>
            </wp:positionH>
            <wp:positionV relativeFrom="paragraph">
              <wp:posOffset>80010</wp:posOffset>
            </wp:positionV>
            <wp:extent cx="5130800" cy="7951470"/>
            <wp:effectExtent l="0" t="0" r="12700" b="11430"/>
            <wp:wrapTopAndBottom/>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23"/>
                    <a:srcRect t="2836" r="15463" b="417"/>
                    <a:stretch>
                      <a:fillRect/>
                    </a:stretch>
                  </pic:blipFill>
                  <pic:spPr>
                    <a:xfrm>
                      <a:off x="0" y="0"/>
                      <a:ext cx="5130800" cy="7951470"/>
                    </a:xfrm>
                    <a:prstGeom prst="rect">
                      <a:avLst/>
                    </a:prstGeom>
                  </pic:spPr>
                </pic:pic>
              </a:graphicData>
            </a:graphic>
          </wp:anchor>
        </w:drawing>
      </w:r>
    </w:p>
    <w:p>
      <w:pPr>
        <w:bidi w:val="0"/>
        <w:jc w:val="left"/>
        <w:rPr>
          <w:rFonts w:hint="eastAsia" w:asciiTheme="minorHAnsi" w:hAnsiTheme="minorHAnsi" w:eastAsiaTheme="minorEastAsia" w:cstheme="minorBidi"/>
          <w:kern w:val="2"/>
          <w:sz w:val="21"/>
          <w:szCs w:val="24"/>
          <w:lang w:val="en-US" w:eastAsia="zh-CN" w:bidi="ar-SA"/>
        </w:rPr>
      </w:pPr>
    </w:p>
    <w:p>
      <w:pPr>
        <w:bidi w:val="0"/>
        <w:jc w:val="left"/>
        <w:rPr>
          <w:rFonts w:hint="eastAsia" w:asciiTheme="minorHAnsi" w:hAnsiTheme="minorHAnsi" w:eastAsiaTheme="minor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8720" behindDoc="0" locked="0" layoutInCell="1" allowOverlap="1">
            <wp:simplePos x="0" y="0"/>
            <wp:positionH relativeFrom="column">
              <wp:posOffset>580390</wp:posOffset>
            </wp:positionH>
            <wp:positionV relativeFrom="paragraph">
              <wp:posOffset>32385</wp:posOffset>
            </wp:positionV>
            <wp:extent cx="4911090" cy="7065010"/>
            <wp:effectExtent l="0" t="0" r="3810" b="2540"/>
            <wp:wrapTopAndBottom/>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24"/>
                    <a:srcRect l="2975" t="2805" r="21475" b="11234"/>
                    <a:stretch>
                      <a:fillRect/>
                    </a:stretch>
                  </pic:blipFill>
                  <pic:spPr>
                    <a:xfrm>
                      <a:off x="0" y="0"/>
                      <a:ext cx="4911090" cy="7065010"/>
                    </a:xfrm>
                    <a:prstGeom prst="rect">
                      <a:avLst/>
                    </a:prstGeom>
                  </pic:spPr>
                </pic:pic>
              </a:graphicData>
            </a:graphic>
          </wp:anchor>
        </w:drawing>
      </w:r>
      <w:r>
        <w:rPr>
          <w:rFonts w:hint="eastAsia" w:cstheme="minorBidi"/>
          <w:kern w:val="2"/>
          <w:sz w:val="21"/>
          <w:szCs w:val="24"/>
          <w:lang w:val="en-US" w:eastAsia="zh-CN" w:bidi="ar-SA"/>
        </w:rPr>
        <w:tab/>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附件3  检测报告</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0768" behindDoc="0" locked="0" layoutInCell="1" allowOverlap="1">
            <wp:simplePos x="0" y="0"/>
            <wp:positionH relativeFrom="column">
              <wp:posOffset>438150</wp:posOffset>
            </wp:positionH>
            <wp:positionV relativeFrom="paragraph">
              <wp:posOffset>32385</wp:posOffset>
            </wp:positionV>
            <wp:extent cx="5350510" cy="7323455"/>
            <wp:effectExtent l="0" t="0" r="2540" b="1079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350510" cy="732345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1792" behindDoc="0" locked="0" layoutInCell="1" allowOverlap="1">
            <wp:simplePos x="0" y="0"/>
            <wp:positionH relativeFrom="column">
              <wp:posOffset>476885</wp:posOffset>
            </wp:positionH>
            <wp:positionV relativeFrom="page">
              <wp:posOffset>1202055</wp:posOffset>
            </wp:positionV>
            <wp:extent cx="5170170" cy="6809105"/>
            <wp:effectExtent l="0" t="0" r="11430" b="1079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5170170" cy="680910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 xml:space="preserve">      </w:t>
      </w:r>
      <w:r>
        <w:drawing>
          <wp:anchor distT="0" distB="0" distL="114300" distR="114300" simplePos="0" relativeHeight="251692032" behindDoc="0" locked="0" layoutInCell="1" allowOverlap="1">
            <wp:simplePos x="0" y="0"/>
            <wp:positionH relativeFrom="column">
              <wp:posOffset>400050</wp:posOffset>
            </wp:positionH>
            <wp:positionV relativeFrom="page">
              <wp:posOffset>1118235</wp:posOffset>
            </wp:positionV>
            <wp:extent cx="5304155" cy="7809865"/>
            <wp:effectExtent l="0" t="0" r="10795" b="635"/>
            <wp:wrapTopAndBottom/>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7"/>
                    <a:stretch>
                      <a:fillRect/>
                    </a:stretch>
                  </pic:blipFill>
                  <pic:spPr>
                    <a:xfrm>
                      <a:off x="0" y="0"/>
                      <a:ext cx="5304155" cy="780986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3840" behindDoc="0" locked="0" layoutInCell="1" allowOverlap="1">
            <wp:simplePos x="0" y="0"/>
            <wp:positionH relativeFrom="column">
              <wp:posOffset>647065</wp:posOffset>
            </wp:positionH>
            <wp:positionV relativeFrom="page">
              <wp:posOffset>1192530</wp:posOffset>
            </wp:positionV>
            <wp:extent cx="4981575" cy="7590790"/>
            <wp:effectExtent l="0" t="0" r="9525" b="10160"/>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4981575" cy="7590790"/>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93056" behindDoc="0" locked="0" layoutInCell="1" allowOverlap="1">
            <wp:simplePos x="0" y="0"/>
            <wp:positionH relativeFrom="column">
              <wp:posOffset>314325</wp:posOffset>
            </wp:positionH>
            <wp:positionV relativeFrom="page">
              <wp:posOffset>1137285</wp:posOffset>
            </wp:positionV>
            <wp:extent cx="5617210" cy="7456805"/>
            <wp:effectExtent l="0" t="0" r="2540" b="10795"/>
            <wp:wrapTopAndBottom/>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9"/>
                    <a:stretch>
                      <a:fillRect/>
                    </a:stretch>
                  </pic:blipFill>
                  <pic:spPr>
                    <a:xfrm>
                      <a:off x="0" y="0"/>
                      <a:ext cx="5617210" cy="745680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5888" behindDoc="0" locked="0" layoutInCell="1" allowOverlap="1">
            <wp:simplePos x="0" y="0"/>
            <wp:positionH relativeFrom="column">
              <wp:posOffset>534670</wp:posOffset>
            </wp:positionH>
            <wp:positionV relativeFrom="page">
              <wp:posOffset>1183005</wp:posOffset>
            </wp:positionV>
            <wp:extent cx="5264150" cy="7484110"/>
            <wp:effectExtent l="0" t="0" r="12700" b="2540"/>
            <wp:wrapTopAndBottom/>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0"/>
                    <a:stretch>
                      <a:fillRect/>
                    </a:stretch>
                  </pic:blipFill>
                  <pic:spPr>
                    <a:xfrm>
                      <a:off x="0" y="0"/>
                      <a:ext cx="5264150" cy="7484110"/>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6912" behindDoc="0" locked="0" layoutInCell="1" allowOverlap="1">
            <wp:simplePos x="0" y="0"/>
            <wp:positionH relativeFrom="column">
              <wp:posOffset>561975</wp:posOffset>
            </wp:positionH>
            <wp:positionV relativeFrom="page">
              <wp:posOffset>1205865</wp:posOffset>
            </wp:positionV>
            <wp:extent cx="5151120" cy="7343775"/>
            <wp:effectExtent l="0" t="0" r="11430" b="9525"/>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1"/>
                    <a:stretch>
                      <a:fillRect/>
                    </a:stretch>
                  </pic:blipFill>
                  <pic:spPr>
                    <a:xfrm>
                      <a:off x="0" y="0"/>
                      <a:ext cx="5151120" cy="734377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default"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7936" behindDoc="0" locked="0" layoutInCell="1" allowOverlap="1">
            <wp:simplePos x="0" y="0"/>
            <wp:positionH relativeFrom="column">
              <wp:posOffset>599440</wp:posOffset>
            </wp:positionH>
            <wp:positionV relativeFrom="page">
              <wp:posOffset>1268095</wp:posOffset>
            </wp:positionV>
            <wp:extent cx="4552315" cy="6810375"/>
            <wp:effectExtent l="0" t="0" r="635" b="9525"/>
            <wp:wrapTopAndBottom/>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2"/>
                    <a:stretch>
                      <a:fillRect/>
                    </a:stretch>
                  </pic:blipFill>
                  <pic:spPr>
                    <a:xfrm>
                      <a:off x="0" y="0"/>
                      <a:ext cx="4552315" cy="681037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8960" behindDoc="0" locked="0" layoutInCell="1" allowOverlap="1">
            <wp:simplePos x="0" y="0"/>
            <wp:positionH relativeFrom="column">
              <wp:posOffset>734060</wp:posOffset>
            </wp:positionH>
            <wp:positionV relativeFrom="page">
              <wp:posOffset>1403985</wp:posOffset>
            </wp:positionV>
            <wp:extent cx="4790440" cy="6704330"/>
            <wp:effectExtent l="0" t="0" r="10160" b="1270"/>
            <wp:wrapTopAndBottom/>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3"/>
                    <a:srcRect b="565"/>
                    <a:stretch>
                      <a:fillRect/>
                    </a:stretch>
                  </pic:blipFill>
                  <pic:spPr>
                    <a:xfrm rot="10800000">
                      <a:off x="0" y="0"/>
                      <a:ext cx="4790440" cy="6704330"/>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89984" behindDoc="0" locked="0" layoutInCell="1" allowOverlap="1">
            <wp:simplePos x="0" y="0"/>
            <wp:positionH relativeFrom="column">
              <wp:posOffset>676275</wp:posOffset>
            </wp:positionH>
            <wp:positionV relativeFrom="page">
              <wp:posOffset>1390650</wp:posOffset>
            </wp:positionV>
            <wp:extent cx="4742180" cy="6876415"/>
            <wp:effectExtent l="0" t="0" r="1270" b="635"/>
            <wp:wrapTopAndBottom/>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4"/>
                    <a:srcRect b="824"/>
                    <a:stretch>
                      <a:fillRect/>
                    </a:stretch>
                  </pic:blipFill>
                  <pic:spPr>
                    <a:xfrm>
                      <a:off x="0" y="0"/>
                      <a:ext cx="4742180" cy="687641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91008" behindDoc="0" locked="0" layoutInCell="1" allowOverlap="1">
            <wp:simplePos x="0" y="0"/>
            <wp:positionH relativeFrom="column">
              <wp:posOffset>524510</wp:posOffset>
            </wp:positionH>
            <wp:positionV relativeFrom="page">
              <wp:posOffset>1323975</wp:posOffset>
            </wp:positionV>
            <wp:extent cx="5084445" cy="7400290"/>
            <wp:effectExtent l="0" t="0" r="1905" b="10160"/>
            <wp:wrapTopAndBottom/>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5"/>
                    <a:stretch>
                      <a:fillRect/>
                    </a:stretch>
                  </pic:blipFill>
                  <pic:spPr>
                    <a:xfrm>
                      <a:off x="0" y="0"/>
                      <a:ext cx="5084445" cy="7400290"/>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附件 4  专家意见</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94080" behindDoc="0" locked="0" layoutInCell="1" allowOverlap="1">
            <wp:simplePos x="0" y="0"/>
            <wp:positionH relativeFrom="column">
              <wp:posOffset>485140</wp:posOffset>
            </wp:positionH>
            <wp:positionV relativeFrom="page">
              <wp:posOffset>1320165</wp:posOffset>
            </wp:positionV>
            <wp:extent cx="5334000" cy="7018655"/>
            <wp:effectExtent l="0" t="0" r="0" b="1079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6"/>
                    <a:stretch>
                      <a:fillRect/>
                    </a:stretch>
                  </pic:blipFill>
                  <pic:spPr>
                    <a:xfrm>
                      <a:off x="0" y="0"/>
                      <a:ext cx="5334000" cy="7018655"/>
                    </a:xfrm>
                    <a:prstGeom prst="rect">
                      <a:avLst/>
                    </a:prstGeom>
                    <a:noFill/>
                    <a:ln>
                      <a:noFill/>
                    </a:ln>
                  </pic:spPr>
                </pic:pic>
              </a:graphicData>
            </a:graphic>
          </wp:anchor>
        </w:drawing>
      </w: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bookmarkStart w:id="81" w:name="_GoBack"/>
      <w:bookmarkEnd w:id="81"/>
    </w:p>
    <w:p>
      <w:pPr>
        <w:tabs>
          <w:tab w:val="left" w:pos="8948"/>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 xml:space="preserve">       </w:t>
      </w:r>
    </w:p>
    <w:p>
      <w:pPr>
        <w:tabs>
          <w:tab w:val="left" w:pos="8948"/>
        </w:tabs>
        <w:bidi w:val="0"/>
        <w:jc w:val="left"/>
        <w:rPr>
          <w:rFonts w:hint="eastAsia" w:cstheme="minorBidi"/>
          <w:kern w:val="2"/>
          <w:sz w:val="21"/>
          <w:szCs w:val="24"/>
          <w:lang w:val="en-US" w:eastAsia="zh-CN" w:bidi="ar-SA"/>
        </w:rPr>
      </w:pPr>
    </w:p>
    <w:p>
      <w:pPr>
        <w:tabs>
          <w:tab w:val="left" w:pos="8948"/>
        </w:tabs>
        <w:bidi w:val="0"/>
        <w:jc w:val="left"/>
        <w:rPr>
          <w:rFonts w:hint="eastAsia" w:cstheme="minorBidi"/>
          <w:kern w:val="2"/>
          <w:sz w:val="21"/>
          <w:szCs w:val="24"/>
          <w:lang w:val="en-US" w:eastAsia="zh-CN" w:bidi="ar-SA"/>
        </w:rPr>
      </w:pPr>
      <w:r>
        <w:drawing>
          <wp:anchor distT="0" distB="0" distL="114300" distR="114300" simplePos="0" relativeHeight="251697152" behindDoc="0" locked="0" layoutInCell="1" allowOverlap="1">
            <wp:simplePos x="0" y="0"/>
            <wp:positionH relativeFrom="column">
              <wp:posOffset>351790</wp:posOffset>
            </wp:positionH>
            <wp:positionV relativeFrom="page">
              <wp:posOffset>1717040</wp:posOffset>
            </wp:positionV>
            <wp:extent cx="5380355" cy="7654925"/>
            <wp:effectExtent l="0" t="0" r="10795" b="3175"/>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7"/>
                    <a:stretch>
                      <a:fillRect/>
                    </a:stretch>
                  </pic:blipFill>
                  <pic:spPr>
                    <a:xfrm>
                      <a:off x="0" y="0"/>
                      <a:ext cx="5380355" cy="7654925"/>
                    </a:xfrm>
                    <a:prstGeom prst="rect">
                      <a:avLst/>
                    </a:prstGeom>
                    <a:noFill/>
                    <a:ln>
                      <a:noFill/>
                    </a:ln>
                  </pic:spPr>
                </pic:pic>
              </a:graphicData>
            </a:graphic>
          </wp:anchor>
        </w:drawing>
      </w:r>
    </w:p>
    <w:p>
      <w:pPr>
        <w:tabs>
          <w:tab w:val="left" w:pos="8948"/>
        </w:tabs>
        <w:bidi w:val="0"/>
        <w:jc w:val="left"/>
      </w:pPr>
      <w:r>
        <w:rPr>
          <w:rFonts w:hint="eastAsia" w:cstheme="minorBidi"/>
          <w:kern w:val="2"/>
          <w:sz w:val="21"/>
          <w:szCs w:val="24"/>
          <w:lang w:val="en-US" w:eastAsia="zh-CN" w:bidi="ar-SA"/>
        </w:rPr>
        <w:t xml:space="preserve">  </w:t>
      </w:r>
    </w:p>
    <w:p>
      <w:pPr>
        <w:tabs>
          <w:tab w:val="left" w:pos="8948"/>
        </w:tabs>
        <w:bidi w:val="0"/>
        <w:jc w:val="left"/>
      </w:pPr>
    </w:p>
    <w:p>
      <w:pPr>
        <w:tabs>
          <w:tab w:val="left" w:pos="8948"/>
        </w:tabs>
        <w:bidi w:val="0"/>
        <w:jc w:val="left"/>
      </w:pPr>
    </w:p>
    <w:p>
      <w:pPr>
        <w:tabs>
          <w:tab w:val="left" w:pos="8948"/>
        </w:tabs>
        <w:bidi w:val="0"/>
        <w:jc w:val="left"/>
      </w:pPr>
    </w:p>
    <w:p>
      <w:pPr>
        <w:tabs>
          <w:tab w:val="left" w:pos="8948"/>
        </w:tabs>
        <w:bidi w:val="0"/>
        <w:jc w:val="left"/>
        <w:rPr>
          <w:rFonts w:hint="eastAsia"/>
          <w:lang w:val="en-US" w:eastAsia="zh-CN"/>
        </w:rPr>
      </w:pPr>
      <w:r>
        <w:drawing>
          <wp:anchor distT="0" distB="0" distL="114300" distR="114300" simplePos="0" relativeHeight="251695104" behindDoc="0" locked="0" layoutInCell="1" allowOverlap="1">
            <wp:simplePos x="0" y="0"/>
            <wp:positionH relativeFrom="column">
              <wp:posOffset>485775</wp:posOffset>
            </wp:positionH>
            <wp:positionV relativeFrom="page">
              <wp:posOffset>1405890</wp:posOffset>
            </wp:positionV>
            <wp:extent cx="5170805" cy="7486650"/>
            <wp:effectExtent l="0" t="0" r="10795" b="0"/>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8"/>
                    <a:stretch>
                      <a:fillRect/>
                    </a:stretch>
                  </pic:blipFill>
                  <pic:spPr>
                    <a:xfrm>
                      <a:off x="0" y="0"/>
                      <a:ext cx="5170805" cy="7486650"/>
                    </a:xfrm>
                    <a:prstGeom prst="rect">
                      <a:avLst/>
                    </a:prstGeom>
                    <a:noFill/>
                    <a:ln>
                      <a:noFill/>
                    </a:ln>
                  </pic:spPr>
                </pic:pic>
              </a:graphicData>
            </a:graphic>
          </wp:anchor>
        </w:drawing>
      </w:r>
      <w:r>
        <w:rPr>
          <w:rFonts w:hint="eastAsia"/>
          <w:lang w:val="en-US" w:eastAsia="zh-CN"/>
        </w:rPr>
        <w:t xml:space="preserve">    </w:t>
      </w:r>
    </w:p>
    <w:p>
      <w:pPr>
        <w:tabs>
          <w:tab w:val="left" w:pos="8948"/>
        </w:tabs>
        <w:bidi w:val="0"/>
        <w:jc w:val="left"/>
        <w:rPr>
          <w:rFonts w:hint="eastAsia"/>
          <w:lang w:val="en-US" w:eastAsia="zh-CN"/>
        </w:rPr>
      </w:pPr>
    </w:p>
    <w:p>
      <w:pPr>
        <w:tabs>
          <w:tab w:val="left" w:pos="8948"/>
        </w:tabs>
        <w:bidi w:val="0"/>
        <w:jc w:val="left"/>
        <w:rPr>
          <w:rFonts w:hint="eastAsia"/>
          <w:lang w:val="en-US" w:eastAsia="zh-CN"/>
        </w:rPr>
      </w:pPr>
    </w:p>
    <w:p>
      <w:pPr>
        <w:tabs>
          <w:tab w:val="left" w:pos="8948"/>
        </w:tabs>
        <w:bidi w:val="0"/>
        <w:jc w:val="left"/>
        <w:rPr>
          <w:rFonts w:hint="eastAsia"/>
          <w:lang w:val="en-US" w:eastAsia="zh-CN"/>
        </w:rPr>
      </w:pPr>
    </w:p>
    <w:p>
      <w:pPr>
        <w:tabs>
          <w:tab w:val="left" w:pos="8948"/>
        </w:tabs>
        <w:bidi w:val="0"/>
        <w:jc w:val="left"/>
        <w:rPr>
          <w:rFonts w:hint="eastAsia"/>
          <w:lang w:val="en-US" w:eastAsia="zh-CN"/>
        </w:rPr>
      </w:pPr>
    </w:p>
    <w:p>
      <w:pPr>
        <w:tabs>
          <w:tab w:val="left" w:pos="8948"/>
        </w:tabs>
        <w:bidi w:val="0"/>
        <w:jc w:val="left"/>
        <w:rPr>
          <w:rFonts w:hint="eastAsia"/>
          <w:lang w:val="en-US" w:eastAsia="zh-CN"/>
        </w:rPr>
      </w:pPr>
      <w:r>
        <w:rPr>
          <w:rFonts w:hint="eastAsia"/>
          <w:lang w:val="en-US" w:eastAsia="zh-CN"/>
        </w:rPr>
        <w:t xml:space="preserve"> </w:t>
      </w:r>
    </w:p>
    <w:p>
      <w:pPr>
        <w:tabs>
          <w:tab w:val="left" w:pos="8948"/>
        </w:tabs>
        <w:bidi w:val="0"/>
        <w:jc w:val="left"/>
        <w:rPr>
          <w:rFonts w:hint="eastAsia"/>
          <w:lang w:val="en-US" w:eastAsia="zh-CN"/>
        </w:rPr>
      </w:pPr>
      <w:r>
        <w:drawing>
          <wp:anchor distT="0" distB="0" distL="114300" distR="114300" simplePos="0" relativeHeight="251696128" behindDoc="0" locked="0" layoutInCell="1" allowOverlap="1">
            <wp:simplePos x="0" y="0"/>
            <wp:positionH relativeFrom="column">
              <wp:posOffset>-556260</wp:posOffset>
            </wp:positionH>
            <wp:positionV relativeFrom="page">
              <wp:posOffset>2346960</wp:posOffset>
            </wp:positionV>
            <wp:extent cx="7234555" cy="4956175"/>
            <wp:effectExtent l="0" t="0" r="15875" b="444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9"/>
                    <a:srcRect l="1445" b="775"/>
                    <a:stretch>
                      <a:fillRect/>
                    </a:stretch>
                  </pic:blipFill>
                  <pic:spPr>
                    <a:xfrm rot="16200000">
                      <a:off x="0" y="0"/>
                      <a:ext cx="7234555" cy="4956175"/>
                    </a:xfrm>
                    <a:prstGeom prst="rect">
                      <a:avLst/>
                    </a:prstGeom>
                    <a:noFill/>
                    <a:ln>
                      <a:noFill/>
                    </a:ln>
                  </pic:spPr>
                </pic:pic>
              </a:graphicData>
            </a:graphic>
          </wp:anchor>
        </w:drawing>
      </w:r>
    </w:p>
    <w:p>
      <w:pPr>
        <w:tabs>
          <w:tab w:val="left" w:pos="8948"/>
        </w:tabs>
        <w:bidi w:val="0"/>
        <w:jc w:val="left"/>
        <w:rPr>
          <w:rFonts w:hint="eastAsia"/>
          <w:lang w:val="en-US" w:eastAsia="zh-CN"/>
        </w:rPr>
      </w:pPr>
    </w:p>
    <w:p>
      <w:pPr>
        <w:tabs>
          <w:tab w:val="left" w:pos="8948"/>
        </w:tabs>
        <w:bidi w:val="0"/>
        <w:jc w:val="left"/>
        <w:rPr>
          <w:rFonts w:hint="eastAsia"/>
          <w:lang w:val="en-US" w:eastAsia="zh-CN"/>
        </w:rPr>
      </w:pPr>
    </w:p>
    <w:p>
      <w:pPr>
        <w:tabs>
          <w:tab w:val="left" w:pos="8948"/>
        </w:tabs>
        <w:bidi w:val="0"/>
        <w:jc w:val="left"/>
        <w:rPr>
          <w:rFonts w:hint="default"/>
          <w:lang w:val="en-US" w:eastAsia="zh-CN"/>
        </w:rPr>
      </w:pPr>
      <w:r>
        <w:rPr>
          <w:rFonts w:hint="eastAsia"/>
          <w:lang w:val="en-US" w:eastAsia="zh-CN"/>
        </w:rPr>
        <w:t xml:space="preserve">      </w:t>
      </w: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0000000000000000000"/>
    <w:charset w:val="02"/>
    <w:family w:val="decorative"/>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1"/>
                  <w:rPr>
                    <w:rFonts w:eastAsia="宋体"/>
                  </w:rPr>
                </w:pPr>
                <w:r>
                  <w:fldChar w:fldCharType="begin"/>
                </w:r>
                <w:r>
                  <w:instrText xml:space="preserve"> PAGE  \* MERGEFORMAT </w:instrText>
                </w:r>
                <w:r>
                  <w:fldChar w:fldCharType="separate"/>
                </w:r>
                <w:r>
                  <w:t>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845"/>
        <w:tab w:val="clear" w:pos="4153"/>
      </w:tabs>
      <w:rPr>
        <w:rFonts w:hint="eastAsia"/>
      </w:rPr>
    </w:pPr>
  </w:p>
  <w:p>
    <w:pPr>
      <w:pStyle w:val="11"/>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1"/>
                  <w:rPr>
                    <w:rFonts w:eastAsia="宋体"/>
                  </w:rPr>
                </w:pPr>
                <w:r>
                  <w:fldChar w:fldCharType="begin"/>
                </w:r>
                <w:r>
                  <w:instrText xml:space="preserve"> PAGE  \* MERGEFORMAT </w:instrText>
                </w:r>
                <w:r>
                  <w:fldChar w:fldCharType="separate"/>
                </w:r>
                <w:r>
                  <w:t>5</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1"/>
      </w:rPr>
    </w:pPr>
    <w:r>
      <w:rPr>
        <w:rFonts w:hint="eastAsia"/>
        <w:sz w:val="21"/>
        <w:szCs w:val="21"/>
      </w:rPr>
      <w:t>贵州交建国储贸易有限公司永烽高速温泉服务区加油站二站建设项目竣工环境保护验收监测报告表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 w:val="21"/>
        <w:szCs w:val="21"/>
      </w:rPr>
    </w:pPr>
    <w:r>
      <w:rPr>
        <w:rFonts w:hint="eastAsia"/>
        <w:sz w:val="21"/>
        <w:szCs w:val="21"/>
      </w:rPr>
      <w:t>贵州交建国储贸易有限公司永烽高速温泉服务区加油站二</w:t>
    </w:r>
    <w:r>
      <w:rPr>
        <w:rFonts w:hint="eastAsia"/>
        <w:sz w:val="21"/>
        <w:szCs w:val="21"/>
        <w:lang w:eastAsia="zh-CN"/>
      </w:rPr>
      <w:t>站</w:t>
    </w:r>
    <w:r>
      <w:rPr>
        <w:rFonts w:hint="eastAsia"/>
        <w:sz w:val="21"/>
        <w:szCs w:val="21"/>
      </w:rPr>
      <w:t>建设项目竣工境保护验收监测报告表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4C7AA8"/>
    <w:multiLevelType w:val="multilevel"/>
    <w:tmpl w:val="384C7AA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BBF13B1"/>
    <w:multiLevelType w:val="multilevel"/>
    <w:tmpl w:val="4BBF13B1"/>
    <w:lvl w:ilvl="0" w:tentative="0">
      <w:start w:val="1"/>
      <w:numFmt w:val="decimal"/>
      <w:lvlText w:val="%1、"/>
      <w:lvlJc w:val="left"/>
      <w:pPr>
        <w:ind w:left="408" w:hanging="40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7A0C92"/>
    <w:multiLevelType w:val="singleLevel"/>
    <w:tmpl w:val="597A0C92"/>
    <w:lvl w:ilvl="0" w:tentative="0">
      <w:start w:val="2"/>
      <w:numFmt w:val="decimal"/>
      <w:suff w:val="nothing"/>
      <w:lvlText w:val="%1、"/>
      <w:lvlJc w:val="left"/>
    </w:lvl>
  </w:abstractNum>
  <w:abstractNum w:abstractNumId="7">
    <w:nsid w:val="727C481D"/>
    <w:multiLevelType w:val="multilevel"/>
    <w:tmpl w:val="727C481D"/>
    <w:lvl w:ilvl="0" w:tentative="0">
      <w:start w:val="1"/>
      <w:numFmt w:val="decimalEnclosedCircle"/>
      <w:lvlText w:val="%1"/>
      <w:lvlJc w:val="left"/>
      <w:pPr>
        <w:ind w:left="840" w:hanging="360"/>
      </w:pPr>
      <w:rPr>
        <w:rFonts w:hint="default" w:asciiTheme="minorEastAsia" w:hAnsiTheme="minor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 w:numId="5">
    <w:abstractNumId w:val="7"/>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3A5F"/>
    <w:rsid w:val="0000623A"/>
    <w:rsid w:val="0000736E"/>
    <w:rsid w:val="000106C5"/>
    <w:rsid w:val="0001097F"/>
    <w:rsid w:val="00010FE5"/>
    <w:rsid w:val="00011525"/>
    <w:rsid w:val="0001247C"/>
    <w:rsid w:val="000130DE"/>
    <w:rsid w:val="00013A3A"/>
    <w:rsid w:val="00013C80"/>
    <w:rsid w:val="00014246"/>
    <w:rsid w:val="000161C1"/>
    <w:rsid w:val="00017ACA"/>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A7C"/>
    <w:rsid w:val="0005045F"/>
    <w:rsid w:val="00050B19"/>
    <w:rsid w:val="000547CD"/>
    <w:rsid w:val="00054E63"/>
    <w:rsid w:val="00056648"/>
    <w:rsid w:val="000568BB"/>
    <w:rsid w:val="0006060E"/>
    <w:rsid w:val="00062374"/>
    <w:rsid w:val="00062637"/>
    <w:rsid w:val="0006274F"/>
    <w:rsid w:val="00063AA6"/>
    <w:rsid w:val="0006403D"/>
    <w:rsid w:val="00065124"/>
    <w:rsid w:val="000652FA"/>
    <w:rsid w:val="0006678B"/>
    <w:rsid w:val="000711FA"/>
    <w:rsid w:val="000712DA"/>
    <w:rsid w:val="00073613"/>
    <w:rsid w:val="00075DE6"/>
    <w:rsid w:val="000760C0"/>
    <w:rsid w:val="000771C8"/>
    <w:rsid w:val="00077582"/>
    <w:rsid w:val="000778F6"/>
    <w:rsid w:val="00077CC1"/>
    <w:rsid w:val="000811A8"/>
    <w:rsid w:val="00081CF9"/>
    <w:rsid w:val="00082C90"/>
    <w:rsid w:val="000836BC"/>
    <w:rsid w:val="00084816"/>
    <w:rsid w:val="00084844"/>
    <w:rsid w:val="000871D8"/>
    <w:rsid w:val="00087F8B"/>
    <w:rsid w:val="0009062D"/>
    <w:rsid w:val="00090D4C"/>
    <w:rsid w:val="00092A63"/>
    <w:rsid w:val="00094D22"/>
    <w:rsid w:val="00094F61"/>
    <w:rsid w:val="000974D7"/>
    <w:rsid w:val="00097D6D"/>
    <w:rsid w:val="000A0404"/>
    <w:rsid w:val="000A0850"/>
    <w:rsid w:val="000A509E"/>
    <w:rsid w:val="000A719C"/>
    <w:rsid w:val="000A720E"/>
    <w:rsid w:val="000B1964"/>
    <w:rsid w:val="000B374C"/>
    <w:rsid w:val="000B3C9F"/>
    <w:rsid w:val="000B5B83"/>
    <w:rsid w:val="000B6388"/>
    <w:rsid w:val="000B72F7"/>
    <w:rsid w:val="000B7681"/>
    <w:rsid w:val="000B7F09"/>
    <w:rsid w:val="000C0321"/>
    <w:rsid w:val="000C1431"/>
    <w:rsid w:val="000C2F29"/>
    <w:rsid w:val="000C65A5"/>
    <w:rsid w:val="000D0C39"/>
    <w:rsid w:val="000D2A24"/>
    <w:rsid w:val="000D3190"/>
    <w:rsid w:val="000D3806"/>
    <w:rsid w:val="000D59E2"/>
    <w:rsid w:val="000D7EB9"/>
    <w:rsid w:val="000E035B"/>
    <w:rsid w:val="000E46E8"/>
    <w:rsid w:val="000E48F0"/>
    <w:rsid w:val="000E4ACC"/>
    <w:rsid w:val="000E5CD3"/>
    <w:rsid w:val="000E6AC5"/>
    <w:rsid w:val="000E77C4"/>
    <w:rsid w:val="000E79A1"/>
    <w:rsid w:val="000F04E2"/>
    <w:rsid w:val="000F2AE2"/>
    <w:rsid w:val="000F3B60"/>
    <w:rsid w:val="000F4FD4"/>
    <w:rsid w:val="000F56CC"/>
    <w:rsid w:val="000F5C3D"/>
    <w:rsid w:val="000F66FE"/>
    <w:rsid w:val="000F72E3"/>
    <w:rsid w:val="000F7A95"/>
    <w:rsid w:val="000F7D37"/>
    <w:rsid w:val="001000FC"/>
    <w:rsid w:val="00101321"/>
    <w:rsid w:val="00101689"/>
    <w:rsid w:val="00104D75"/>
    <w:rsid w:val="00105408"/>
    <w:rsid w:val="00106AA9"/>
    <w:rsid w:val="00111F55"/>
    <w:rsid w:val="00112014"/>
    <w:rsid w:val="001138C6"/>
    <w:rsid w:val="001138F9"/>
    <w:rsid w:val="00115650"/>
    <w:rsid w:val="00117365"/>
    <w:rsid w:val="00117B71"/>
    <w:rsid w:val="0012133B"/>
    <w:rsid w:val="00122559"/>
    <w:rsid w:val="00122995"/>
    <w:rsid w:val="001238B9"/>
    <w:rsid w:val="00124557"/>
    <w:rsid w:val="00124756"/>
    <w:rsid w:val="0012547F"/>
    <w:rsid w:val="00130F68"/>
    <w:rsid w:val="00130FB9"/>
    <w:rsid w:val="00131385"/>
    <w:rsid w:val="00131E94"/>
    <w:rsid w:val="00134BCB"/>
    <w:rsid w:val="001356A4"/>
    <w:rsid w:val="00140BB2"/>
    <w:rsid w:val="00140DEC"/>
    <w:rsid w:val="001412E4"/>
    <w:rsid w:val="00141D7E"/>
    <w:rsid w:val="001460A3"/>
    <w:rsid w:val="00146A37"/>
    <w:rsid w:val="00146E70"/>
    <w:rsid w:val="001474A7"/>
    <w:rsid w:val="00147DAD"/>
    <w:rsid w:val="00153945"/>
    <w:rsid w:val="00153D2E"/>
    <w:rsid w:val="00154CE2"/>
    <w:rsid w:val="00155511"/>
    <w:rsid w:val="00160F91"/>
    <w:rsid w:val="00161E31"/>
    <w:rsid w:val="00161E56"/>
    <w:rsid w:val="0016283C"/>
    <w:rsid w:val="00170007"/>
    <w:rsid w:val="0017177B"/>
    <w:rsid w:val="0017199A"/>
    <w:rsid w:val="0017380D"/>
    <w:rsid w:val="00174807"/>
    <w:rsid w:val="001750BE"/>
    <w:rsid w:val="00175326"/>
    <w:rsid w:val="00176054"/>
    <w:rsid w:val="00177D6B"/>
    <w:rsid w:val="00177FAF"/>
    <w:rsid w:val="00180ACF"/>
    <w:rsid w:val="00181A7B"/>
    <w:rsid w:val="00182753"/>
    <w:rsid w:val="00182B5A"/>
    <w:rsid w:val="0018311E"/>
    <w:rsid w:val="0018465F"/>
    <w:rsid w:val="00192E28"/>
    <w:rsid w:val="0019320C"/>
    <w:rsid w:val="00193E4E"/>
    <w:rsid w:val="0019732F"/>
    <w:rsid w:val="0019788E"/>
    <w:rsid w:val="00197BF6"/>
    <w:rsid w:val="00197F0A"/>
    <w:rsid w:val="001A1BE3"/>
    <w:rsid w:val="001A2E1F"/>
    <w:rsid w:val="001A42F4"/>
    <w:rsid w:val="001A4BD7"/>
    <w:rsid w:val="001A5738"/>
    <w:rsid w:val="001A7413"/>
    <w:rsid w:val="001B02CE"/>
    <w:rsid w:val="001B0654"/>
    <w:rsid w:val="001B09A5"/>
    <w:rsid w:val="001B30BF"/>
    <w:rsid w:val="001B3F9D"/>
    <w:rsid w:val="001B61CD"/>
    <w:rsid w:val="001B7DFB"/>
    <w:rsid w:val="001C1499"/>
    <w:rsid w:val="001C1D9C"/>
    <w:rsid w:val="001C2A48"/>
    <w:rsid w:val="001C48BF"/>
    <w:rsid w:val="001C4B7D"/>
    <w:rsid w:val="001D0354"/>
    <w:rsid w:val="001D0B6E"/>
    <w:rsid w:val="001D19C3"/>
    <w:rsid w:val="001D6271"/>
    <w:rsid w:val="001D7F25"/>
    <w:rsid w:val="001E1EAC"/>
    <w:rsid w:val="001E2A76"/>
    <w:rsid w:val="001E2AF3"/>
    <w:rsid w:val="001F0186"/>
    <w:rsid w:val="001F13F6"/>
    <w:rsid w:val="001F4A79"/>
    <w:rsid w:val="001F5F8A"/>
    <w:rsid w:val="001F7489"/>
    <w:rsid w:val="0020035F"/>
    <w:rsid w:val="00201024"/>
    <w:rsid w:val="00202A75"/>
    <w:rsid w:val="00203693"/>
    <w:rsid w:val="00203A43"/>
    <w:rsid w:val="00206962"/>
    <w:rsid w:val="0020790B"/>
    <w:rsid w:val="002119FB"/>
    <w:rsid w:val="00211AE6"/>
    <w:rsid w:val="00212D66"/>
    <w:rsid w:val="00214CA8"/>
    <w:rsid w:val="002156AB"/>
    <w:rsid w:val="00216531"/>
    <w:rsid w:val="002171CA"/>
    <w:rsid w:val="00217B7F"/>
    <w:rsid w:val="002216C9"/>
    <w:rsid w:val="00221A29"/>
    <w:rsid w:val="00221E2A"/>
    <w:rsid w:val="002224E7"/>
    <w:rsid w:val="00223111"/>
    <w:rsid w:val="0022400E"/>
    <w:rsid w:val="00224A75"/>
    <w:rsid w:val="00225CC7"/>
    <w:rsid w:val="00225FA4"/>
    <w:rsid w:val="00226691"/>
    <w:rsid w:val="00226E88"/>
    <w:rsid w:val="0023018E"/>
    <w:rsid w:val="002301D4"/>
    <w:rsid w:val="00232087"/>
    <w:rsid w:val="00233FA2"/>
    <w:rsid w:val="0023416A"/>
    <w:rsid w:val="002356D7"/>
    <w:rsid w:val="002364A3"/>
    <w:rsid w:val="0023651F"/>
    <w:rsid w:val="0024168A"/>
    <w:rsid w:val="00241D07"/>
    <w:rsid w:val="002432D8"/>
    <w:rsid w:val="002449BC"/>
    <w:rsid w:val="0024616E"/>
    <w:rsid w:val="00247AE9"/>
    <w:rsid w:val="00247D41"/>
    <w:rsid w:val="00250A04"/>
    <w:rsid w:val="0025228B"/>
    <w:rsid w:val="00253ABE"/>
    <w:rsid w:val="00253D5F"/>
    <w:rsid w:val="002551C0"/>
    <w:rsid w:val="002569DC"/>
    <w:rsid w:val="00256BF9"/>
    <w:rsid w:val="002608C3"/>
    <w:rsid w:val="00261862"/>
    <w:rsid w:val="00263255"/>
    <w:rsid w:val="00263AE9"/>
    <w:rsid w:val="00263B99"/>
    <w:rsid w:val="00264AB1"/>
    <w:rsid w:val="002659D5"/>
    <w:rsid w:val="002662A5"/>
    <w:rsid w:val="002674B0"/>
    <w:rsid w:val="00271E3B"/>
    <w:rsid w:val="00272507"/>
    <w:rsid w:val="00273C8B"/>
    <w:rsid w:val="002746C9"/>
    <w:rsid w:val="00275346"/>
    <w:rsid w:val="002772DB"/>
    <w:rsid w:val="00280C16"/>
    <w:rsid w:val="002820EB"/>
    <w:rsid w:val="00282A42"/>
    <w:rsid w:val="00284FC6"/>
    <w:rsid w:val="0028509A"/>
    <w:rsid w:val="0029100F"/>
    <w:rsid w:val="00292A55"/>
    <w:rsid w:val="00292E71"/>
    <w:rsid w:val="00293223"/>
    <w:rsid w:val="00294596"/>
    <w:rsid w:val="00296D5C"/>
    <w:rsid w:val="0029787B"/>
    <w:rsid w:val="00297A8D"/>
    <w:rsid w:val="002A0F32"/>
    <w:rsid w:val="002A203A"/>
    <w:rsid w:val="002A2160"/>
    <w:rsid w:val="002A27A2"/>
    <w:rsid w:val="002A2D3B"/>
    <w:rsid w:val="002A370D"/>
    <w:rsid w:val="002A3758"/>
    <w:rsid w:val="002A4282"/>
    <w:rsid w:val="002A4E63"/>
    <w:rsid w:val="002A6D98"/>
    <w:rsid w:val="002A7699"/>
    <w:rsid w:val="002B1996"/>
    <w:rsid w:val="002B52B2"/>
    <w:rsid w:val="002B7279"/>
    <w:rsid w:val="002B7373"/>
    <w:rsid w:val="002C10BF"/>
    <w:rsid w:val="002C2CE9"/>
    <w:rsid w:val="002C327B"/>
    <w:rsid w:val="002C3811"/>
    <w:rsid w:val="002C5403"/>
    <w:rsid w:val="002D14F5"/>
    <w:rsid w:val="002D6412"/>
    <w:rsid w:val="002D6995"/>
    <w:rsid w:val="002E0406"/>
    <w:rsid w:val="002E175D"/>
    <w:rsid w:val="002E24B5"/>
    <w:rsid w:val="002E3A8F"/>
    <w:rsid w:val="002E40CC"/>
    <w:rsid w:val="002E5729"/>
    <w:rsid w:val="002E6C01"/>
    <w:rsid w:val="002E7A42"/>
    <w:rsid w:val="002E7E32"/>
    <w:rsid w:val="002F05CB"/>
    <w:rsid w:val="002F1925"/>
    <w:rsid w:val="002F1EEE"/>
    <w:rsid w:val="002F1F7C"/>
    <w:rsid w:val="002F27EF"/>
    <w:rsid w:val="002F2A41"/>
    <w:rsid w:val="002F370F"/>
    <w:rsid w:val="002F3808"/>
    <w:rsid w:val="002F620F"/>
    <w:rsid w:val="002F6745"/>
    <w:rsid w:val="002F69AF"/>
    <w:rsid w:val="003022A0"/>
    <w:rsid w:val="00302969"/>
    <w:rsid w:val="0030336C"/>
    <w:rsid w:val="00303F17"/>
    <w:rsid w:val="00305A2F"/>
    <w:rsid w:val="00305AA4"/>
    <w:rsid w:val="003077F5"/>
    <w:rsid w:val="00310968"/>
    <w:rsid w:val="0031383C"/>
    <w:rsid w:val="00313893"/>
    <w:rsid w:val="00313FA2"/>
    <w:rsid w:val="003154D1"/>
    <w:rsid w:val="00317437"/>
    <w:rsid w:val="00317923"/>
    <w:rsid w:val="00317CBD"/>
    <w:rsid w:val="00320B13"/>
    <w:rsid w:val="00320F58"/>
    <w:rsid w:val="0032282C"/>
    <w:rsid w:val="00323768"/>
    <w:rsid w:val="003256C3"/>
    <w:rsid w:val="00326C40"/>
    <w:rsid w:val="00327F10"/>
    <w:rsid w:val="003301F2"/>
    <w:rsid w:val="00330754"/>
    <w:rsid w:val="00330FBC"/>
    <w:rsid w:val="0033138B"/>
    <w:rsid w:val="00331E25"/>
    <w:rsid w:val="00332B68"/>
    <w:rsid w:val="003330A1"/>
    <w:rsid w:val="00333453"/>
    <w:rsid w:val="0034074B"/>
    <w:rsid w:val="00341272"/>
    <w:rsid w:val="003443C2"/>
    <w:rsid w:val="0034489D"/>
    <w:rsid w:val="00344CB2"/>
    <w:rsid w:val="003453BA"/>
    <w:rsid w:val="003461CA"/>
    <w:rsid w:val="00346CA8"/>
    <w:rsid w:val="00350306"/>
    <w:rsid w:val="003508DC"/>
    <w:rsid w:val="00351DFB"/>
    <w:rsid w:val="003522D4"/>
    <w:rsid w:val="003535E3"/>
    <w:rsid w:val="00354E1B"/>
    <w:rsid w:val="00356051"/>
    <w:rsid w:val="0035612F"/>
    <w:rsid w:val="00356250"/>
    <w:rsid w:val="003627E9"/>
    <w:rsid w:val="00364DF5"/>
    <w:rsid w:val="00365BB4"/>
    <w:rsid w:val="0036653E"/>
    <w:rsid w:val="00366D08"/>
    <w:rsid w:val="00367281"/>
    <w:rsid w:val="00367C3D"/>
    <w:rsid w:val="00371106"/>
    <w:rsid w:val="0037124C"/>
    <w:rsid w:val="00371DC3"/>
    <w:rsid w:val="00373DE6"/>
    <w:rsid w:val="0037565A"/>
    <w:rsid w:val="00375BE0"/>
    <w:rsid w:val="003774D1"/>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109"/>
    <w:rsid w:val="003A3491"/>
    <w:rsid w:val="003A3765"/>
    <w:rsid w:val="003A4A0D"/>
    <w:rsid w:val="003A6407"/>
    <w:rsid w:val="003A682E"/>
    <w:rsid w:val="003B18A4"/>
    <w:rsid w:val="003B21BA"/>
    <w:rsid w:val="003B2946"/>
    <w:rsid w:val="003B488C"/>
    <w:rsid w:val="003B51BB"/>
    <w:rsid w:val="003B640B"/>
    <w:rsid w:val="003B67E1"/>
    <w:rsid w:val="003B7648"/>
    <w:rsid w:val="003C10D4"/>
    <w:rsid w:val="003C32FA"/>
    <w:rsid w:val="003C4858"/>
    <w:rsid w:val="003C4C66"/>
    <w:rsid w:val="003C5353"/>
    <w:rsid w:val="003C71EA"/>
    <w:rsid w:val="003C7CD9"/>
    <w:rsid w:val="003D07CF"/>
    <w:rsid w:val="003D1868"/>
    <w:rsid w:val="003D1B99"/>
    <w:rsid w:val="003D1ED4"/>
    <w:rsid w:val="003D23D6"/>
    <w:rsid w:val="003D35E4"/>
    <w:rsid w:val="003D3C3B"/>
    <w:rsid w:val="003D6D84"/>
    <w:rsid w:val="003E0676"/>
    <w:rsid w:val="003E1698"/>
    <w:rsid w:val="003E31CA"/>
    <w:rsid w:val="003E4BFA"/>
    <w:rsid w:val="003F09A4"/>
    <w:rsid w:val="003F6DDC"/>
    <w:rsid w:val="004023F7"/>
    <w:rsid w:val="00402A9D"/>
    <w:rsid w:val="00403C7B"/>
    <w:rsid w:val="00405357"/>
    <w:rsid w:val="004059E1"/>
    <w:rsid w:val="004108CF"/>
    <w:rsid w:val="00410A72"/>
    <w:rsid w:val="0041110F"/>
    <w:rsid w:val="00412956"/>
    <w:rsid w:val="004142A7"/>
    <w:rsid w:val="00420F3F"/>
    <w:rsid w:val="00420F6A"/>
    <w:rsid w:val="0042102E"/>
    <w:rsid w:val="00421F4F"/>
    <w:rsid w:val="0042249A"/>
    <w:rsid w:val="00425EE2"/>
    <w:rsid w:val="0042751C"/>
    <w:rsid w:val="00431A89"/>
    <w:rsid w:val="004343F3"/>
    <w:rsid w:val="00434D87"/>
    <w:rsid w:val="00436988"/>
    <w:rsid w:val="004375E5"/>
    <w:rsid w:val="004420DA"/>
    <w:rsid w:val="00443A26"/>
    <w:rsid w:val="00443A5F"/>
    <w:rsid w:val="00446A92"/>
    <w:rsid w:val="004560BD"/>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6582"/>
    <w:rsid w:val="0049764E"/>
    <w:rsid w:val="00497C77"/>
    <w:rsid w:val="004A345F"/>
    <w:rsid w:val="004A39E7"/>
    <w:rsid w:val="004A4084"/>
    <w:rsid w:val="004A53D2"/>
    <w:rsid w:val="004A5C91"/>
    <w:rsid w:val="004A7587"/>
    <w:rsid w:val="004B1FB4"/>
    <w:rsid w:val="004B2922"/>
    <w:rsid w:val="004B2D9F"/>
    <w:rsid w:val="004B33D1"/>
    <w:rsid w:val="004B45DC"/>
    <w:rsid w:val="004B5FDB"/>
    <w:rsid w:val="004B73B2"/>
    <w:rsid w:val="004B7B4A"/>
    <w:rsid w:val="004C0C92"/>
    <w:rsid w:val="004C1211"/>
    <w:rsid w:val="004C24FE"/>
    <w:rsid w:val="004C3D0B"/>
    <w:rsid w:val="004D368B"/>
    <w:rsid w:val="004D43D5"/>
    <w:rsid w:val="004D4693"/>
    <w:rsid w:val="004D4BF5"/>
    <w:rsid w:val="004D7562"/>
    <w:rsid w:val="004D7AFA"/>
    <w:rsid w:val="004E0748"/>
    <w:rsid w:val="004E165D"/>
    <w:rsid w:val="004E2719"/>
    <w:rsid w:val="004E2D02"/>
    <w:rsid w:val="004E2E42"/>
    <w:rsid w:val="004F18C0"/>
    <w:rsid w:val="004F1FCE"/>
    <w:rsid w:val="004F25DF"/>
    <w:rsid w:val="004F3968"/>
    <w:rsid w:val="004F4913"/>
    <w:rsid w:val="004F4A07"/>
    <w:rsid w:val="004F54A7"/>
    <w:rsid w:val="004F5C35"/>
    <w:rsid w:val="004F6F9F"/>
    <w:rsid w:val="00500218"/>
    <w:rsid w:val="00500BF8"/>
    <w:rsid w:val="005011AE"/>
    <w:rsid w:val="005076F7"/>
    <w:rsid w:val="00507C71"/>
    <w:rsid w:val="00510EC3"/>
    <w:rsid w:val="00514954"/>
    <w:rsid w:val="00516301"/>
    <w:rsid w:val="0051772B"/>
    <w:rsid w:val="0052204E"/>
    <w:rsid w:val="005227D0"/>
    <w:rsid w:val="00523CB2"/>
    <w:rsid w:val="00523D00"/>
    <w:rsid w:val="00524BA0"/>
    <w:rsid w:val="005258BC"/>
    <w:rsid w:val="00526334"/>
    <w:rsid w:val="00533AA2"/>
    <w:rsid w:val="00534BCB"/>
    <w:rsid w:val="005368F8"/>
    <w:rsid w:val="0053724D"/>
    <w:rsid w:val="0053769F"/>
    <w:rsid w:val="0054184B"/>
    <w:rsid w:val="00542D75"/>
    <w:rsid w:val="00543F11"/>
    <w:rsid w:val="00544123"/>
    <w:rsid w:val="0055214B"/>
    <w:rsid w:val="00553256"/>
    <w:rsid w:val="00553304"/>
    <w:rsid w:val="005544C2"/>
    <w:rsid w:val="00554D6A"/>
    <w:rsid w:val="00554DAE"/>
    <w:rsid w:val="00555548"/>
    <w:rsid w:val="0055575F"/>
    <w:rsid w:val="005561F3"/>
    <w:rsid w:val="00557B4B"/>
    <w:rsid w:val="005605F9"/>
    <w:rsid w:val="005608C7"/>
    <w:rsid w:val="00560D56"/>
    <w:rsid w:val="00560F6C"/>
    <w:rsid w:val="00560FE8"/>
    <w:rsid w:val="00561A4B"/>
    <w:rsid w:val="00561FE5"/>
    <w:rsid w:val="00562C87"/>
    <w:rsid w:val="00563EB2"/>
    <w:rsid w:val="00566A95"/>
    <w:rsid w:val="005719FD"/>
    <w:rsid w:val="00574A9F"/>
    <w:rsid w:val="005751C1"/>
    <w:rsid w:val="00577968"/>
    <w:rsid w:val="00582EC9"/>
    <w:rsid w:val="00586029"/>
    <w:rsid w:val="00586460"/>
    <w:rsid w:val="005871A4"/>
    <w:rsid w:val="00591FD2"/>
    <w:rsid w:val="005921E3"/>
    <w:rsid w:val="00592C1E"/>
    <w:rsid w:val="005960BA"/>
    <w:rsid w:val="00596717"/>
    <w:rsid w:val="00597325"/>
    <w:rsid w:val="005975C7"/>
    <w:rsid w:val="005A07F6"/>
    <w:rsid w:val="005A216D"/>
    <w:rsid w:val="005A2E82"/>
    <w:rsid w:val="005A3C37"/>
    <w:rsid w:val="005A6659"/>
    <w:rsid w:val="005A6ED8"/>
    <w:rsid w:val="005B0780"/>
    <w:rsid w:val="005B0790"/>
    <w:rsid w:val="005B14BF"/>
    <w:rsid w:val="005B1A81"/>
    <w:rsid w:val="005B1C5B"/>
    <w:rsid w:val="005B290F"/>
    <w:rsid w:val="005B291B"/>
    <w:rsid w:val="005C232C"/>
    <w:rsid w:val="005C33EB"/>
    <w:rsid w:val="005C410E"/>
    <w:rsid w:val="005C46E5"/>
    <w:rsid w:val="005C4715"/>
    <w:rsid w:val="005C6D43"/>
    <w:rsid w:val="005D0B3C"/>
    <w:rsid w:val="005D19D9"/>
    <w:rsid w:val="005D1E9B"/>
    <w:rsid w:val="005D3F87"/>
    <w:rsid w:val="005D4A0A"/>
    <w:rsid w:val="005D7264"/>
    <w:rsid w:val="005E0C43"/>
    <w:rsid w:val="005E2FF5"/>
    <w:rsid w:val="005E3051"/>
    <w:rsid w:val="005E35BD"/>
    <w:rsid w:val="005E3C97"/>
    <w:rsid w:val="005E42AD"/>
    <w:rsid w:val="005E5355"/>
    <w:rsid w:val="005E6312"/>
    <w:rsid w:val="005E66AF"/>
    <w:rsid w:val="005E744A"/>
    <w:rsid w:val="005F2941"/>
    <w:rsid w:val="005F48DF"/>
    <w:rsid w:val="005F5D91"/>
    <w:rsid w:val="00600404"/>
    <w:rsid w:val="006010CF"/>
    <w:rsid w:val="006021FC"/>
    <w:rsid w:val="00602867"/>
    <w:rsid w:val="00607DB2"/>
    <w:rsid w:val="006106D8"/>
    <w:rsid w:val="00610826"/>
    <w:rsid w:val="00616379"/>
    <w:rsid w:val="00616E9D"/>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1EA3"/>
    <w:rsid w:val="006441DA"/>
    <w:rsid w:val="00644D03"/>
    <w:rsid w:val="00646828"/>
    <w:rsid w:val="0065267B"/>
    <w:rsid w:val="00652E84"/>
    <w:rsid w:val="00656C77"/>
    <w:rsid w:val="006577FB"/>
    <w:rsid w:val="0065789C"/>
    <w:rsid w:val="006604E6"/>
    <w:rsid w:val="00660B24"/>
    <w:rsid w:val="00660E98"/>
    <w:rsid w:val="006679E3"/>
    <w:rsid w:val="00670013"/>
    <w:rsid w:val="00671A92"/>
    <w:rsid w:val="00672983"/>
    <w:rsid w:val="00674A94"/>
    <w:rsid w:val="00676C89"/>
    <w:rsid w:val="00680652"/>
    <w:rsid w:val="0068068C"/>
    <w:rsid w:val="006824E2"/>
    <w:rsid w:val="00682E9E"/>
    <w:rsid w:val="00686899"/>
    <w:rsid w:val="00686BF9"/>
    <w:rsid w:val="00687058"/>
    <w:rsid w:val="006905A8"/>
    <w:rsid w:val="00691F94"/>
    <w:rsid w:val="0069246C"/>
    <w:rsid w:val="00696179"/>
    <w:rsid w:val="006976BC"/>
    <w:rsid w:val="0069770E"/>
    <w:rsid w:val="006A01CB"/>
    <w:rsid w:val="006A36FE"/>
    <w:rsid w:val="006A3E94"/>
    <w:rsid w:val="006A5BF4"/>
    <w:rsid w:val="006B0681"/>
    <w:rsid w:val="006B2161"/>
    <w:rsid w:val="006B321E"/>
    <w:rsid w:val="006B3BE9"/>
    <w:rsid w:val="006B584F"/>
    <w:rsid w:val="006B77DB"/>
    <w:rsid w:val="006C01E2"/>
    <w:rsid w:val="006C0239"/>
    <w:rsid w:val="006C133C"/>
    <w:rsid w:val="006C25E4"/>
    <w:rsid w:val="006C2C79"/>
    <w:rsid w:val="006C30D1"/>
    <w:rsid w:val="006C32B0"/>
    <w:rsid w:val="006C3EFD"/>
    <w:rsid w:val="006C62BD"/>
    <w:rsid w:val="006C6DEA"/>
    <w:rsid w:val="006C724E"/>
    <w:rsid w:val="006D0105"/>
    <w:rsid w:val="006D1C0F"/>
    <w:rsid w:val="006D455F"/>
    <w:rsid w:val="006D4B21"/>
    <w:rsid w:val="006D529B"/>
    <w:rsid w:val="006D7085"/>
    <w:rsid w:val="006D75D9"/>
    <w:rsid w:val="006E067B"/>
    <w:rsid w:val="006E172A"/>
    <w:rsid w:val="006E3F30"/>
    <w:rsid w:val="006E502D"/>
    <w:rsid w:val="006E6B4A"/>
    <w:rsid w:val="006E70D6"/>
    <w:rsid w:val="006F2DDB"/>
    <w:rsid w:val="006F401B"/>
    <w:rsid w:val="006F4AEC"/>
    <w:rsid w:val="006F62FB"/>
    <w:rsid w:val="00701076"/>
    <w:rsid w:val="00707B3C"/>
    <w:rsid w:val="007114B6"/>
    <w:rsid w:val="00712683"/>
    <w:rsid w:val="00716B72"/>
    <w:rsid w:val="00717E2D"/>
    <w:rsid w:val="00721771"/>
    <w:rsid w:val="00724656"/>
    <w:rsid w:val="007252F1"/>
    <w:rsid w:val="007307B1"/>
    <w:rsid w:val="00730BC8"/>
    <w:rsid w:val="0073150F"/>
    <w:rsid w:val="007328F5"/>
    <w:rsid w:val="00734620"/>
    <w:rsid w:val="007346D1"/>
    <w:rsid w:val="00735F60"/>
    <w:rsid w:val="00736FA5"/>
    <w:rsid w:val="00737036"/>
    <w:rsid w:val="00742B13"/>
    <w:rsid w:val="007432E0"/>
    <w:rsid w:val="00743514"/>
    <w:rsid w:val="00752E17"/>
    <w:rsid w:val="007530B5"/>
    <w:rsid w:val="00754526"/>
    <w:rsid w:val="00755034"/>
    <w:rsid w:val="00755873"/>
    <w:rsid w:val="00762A6E"/>
    <w:rsid w:val="007638F7"/>
    <w:rsid w:val="00764D0B"/>
    <w:rsid w:val="0077134B"/>
    <w:rsid w:val="00771A75"/>
    <w:rsid w:val="00771F8C"/>
    <w:rsid w:val="00775798"/>
    <w:rsid w:val="00775A60"/>
    <w:rsid w:val="00775FCE"/>
    <w:rsid w:val="00776FBB"/>
    <w:rsid w:val="007816B6"/>
    <w:rsid w:val="007824A4"/>
    <w:rsid w:val="00783453"/>
    <w:rsid w:val="0078543A"/>
    <w:rsid w:val="007870B6"/>
    <w:rsid w:val="00787564"/>
    <w:rsid w:val="007917C8"/>
    <w:rsid w:val="00793FFC"/>
    <w:rsid w:val="00794923"/>
    <w:rsid w:val="0079662A"/>
    <w:rsid w:val="00797EE1"/>
    <w:rsid w:val="007A0052"/>
    <w:rsid w:val="007A170B"/>
    <w:rsid w:val="007A18BE"/>
    <w:rsid w:val="007A75F7"/>
    <w:rsid w:val="007B0D18"/>
    <w:rsid w:val="007B21F4"/>
    <w:rsid w:val="007B2DAB"/>
    <w:rsid w:val="007B35D7"/>
    <w:rsid w:val="007B39B4"/>
    <w:rsid w:val="007B3A08"/>
    <w:rsid w:val="007C09F7"/>
    <w:rsid w:val="007C0CD8"/>
    <w:rsid w:val="007C147A"/>
    <w:rsid w:val="007C149B"/>
    <w:rsid w:val="007C17EA"/>
    <w:rsid w:val="007C1FD1"/>
    <w:rsid w:val="007C3247"/>
    <w:rsid w:val="007C3313"/>
    <w:rsid w:val="007C4313"/>
    <w:rsid w:val="007C4509"/>
    <w:rsid w:val="007C54FC"/>
    <w:rsid w:val="007C6236"/>
    <w:rsid w:val="007C6423"/>
    <w:rsid w:val="007C7AF3"/>
    <w:rsid w:val="007D049A"/>
    <w:rsid w:val="007D0E06"/>
    <w:rsid w:val="007D13F1"/>
    <w:rsid w:val="007D7039"/>
    <w:rsid w:val="007E075D"/>
    <w:rsid w:val="007E0800"/>
    <w:rsid w:val="007E3096"/>
    <w:rsid w:val="007E4342"/>
    <w:rsid w:val="007E44CA"/>
    <w:rsid w:val="007E65A5"/>
    <w:rsid w:val="007E6D22"/>
    <w:rsid w:val="007F065E"/>
    <w:rsid w:val="007F0B4A"/>
    <w:rsid w:val="007F1091"/>
    <w:rsid w:val="007F200E"/>
    <w:rsid w:val="007F2DEC"/>
    <w:rsid w:val="007F37B4"/>
    <w:rsid w:val="007F3BE8"/>
    <w:rsid w:val="007F614A"/>
    <w:rsid w:val="007F7ED5"/>
    <w:rsid w:val="007F7F1E"/>
    <w:rsid w:val="00800156"/>
    <w:rsid w:val="00800F58"/>
    <w:rsid w:val="00802328"/>
    <w:rsid w:val="008034B0"/>
    <w:rsid w:val="00804BB3"/>
    <w:rsid w:val="00804F57"/>
    <w:rsid w:val="00805FFA"/>
    <w:rsid w:val="00806107"/>
    <w:rsid w:val="00806F86"/>
    <w:rsid w:val="008070C0"/>
    <w:rsid w:val="0081114B"/>
    <w:rsid w:val="00812004"/>
    <w:rsid w:val="00812A9F"/>
    <w:rsid w:val="008137F0"/>
    <w:rsid w:val="00814227"/>
    <w:rsid w:val="008171E4"/>
    <w:rsid w:val="00817AFD"/>
    <w:rsid w:val="00821FDC"/>
    <w:rsid w:val="008241EF"/>
    <w:rsid w:val="008256F3"/>
    <w:rsid w:val="00825FCE"/>
    <w:rsid w:val="00827495"/>
    <w:rsid w:val="00830A5B"/>
    <w:rsid w:val="00832FF2"/>
    <w:rsid w:val="008333E2"/>
    <w:rsid w:val="00835CED"/>
    <w:rsid w:val="00837CAE"/>
    <w:rsid w:val="00840389"/>
    <w:rsid w:val="00840E43"/>
    <w:rsid w:val="00842EDC"/>
    <w:rsid w:val="00843266"/>
    <w:rsid w:val="00847A9A"/>
    <w:rsid w:val="008512DF"/>
    <w:rsid w:val="00852D7D"/>
    <w:rsid w:val="00855F3D"/>
    <w:rsid w:val="00861187"/>
    <w:rsid w:val="00861E70"/>
    <w:rsid w:val="008641FF"/>
    <w:rsid w:val="008677B2"/>
    <w:rsid w:val="008678F8"/>
    <w:rsid w:val="00867A00"/>
    <w:rsid w:val="008722C7"/>
    <w:rsid w:val="008733D6"/>
    <w:rsid w:val="00873BD3"/>
    <w:rsid w:val="00874115"/>
    <w:rsid w:val="00874D5F"/>
    <w:rsid w:val="00876ECC"/>
    <w:rsid w:val="00882921"/>
    <w:rsid w:val="00883B88"/>
    <w:rsid w:val="00884976"/>
    <w:rsid w:val="00884CC2"/>
    <w:rsid w:val="00884E84"/>
    <w:rsid w:val="008852FD"/>
    <w:rsid w:val="00886A2F"/>
    <w:rsid w:val="0088786A"/>
    <w:rsid w:val="0089052E"/>
    <w:rsid w:val="00894268"/>
    <w:rsid w:val="00894F63"/>
    <w:rsid w:val="008962F7"/>
    <w:rsid w:val="00896A64"/>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5EA8"/>
    <w:rsid w:val="008C7118"/>
    <w:rsid w:val="008D0A14"/>
    <w:rsid w:val="008D0B31"/>
    <w:rsid w:val="008D0FEE"/>
    <w:rsid w:val="008D15D5"/>
    <w:rsid w:val="008D38C3"/>
    <w:rsid w:val="008D5EE3"/>
    <w:rsid w:val="008D6D35"/>
    <w:rsid w:val="008D6D52"/>
    <w:rsid w:val="008D6FD7"/>
    <w:rsid w:val="008D7432"/>
    <w:rsid w:val="008E1F69"/>
    <w:rsid w:val="008E390E"/>
    <w:rsid w:val="008E5E30"/>
    <w:rsid w:val="008E67AF"/>
    <w:rsid w:val="008E7D88"/>
    <w:rsid w:val="008F19BC"/>
    <w:rsid w:val="008F4C38"/>
    <w:rsid w:val="008F4E39"/>
    <w:rsid w:val="008F5204"/>
    <w:rsid w:val="008F6504"/>
    <w:rsid w:val="008F6C9F"/>
    <w:rsid w:val="00900665"/>
    <w:rsid w:val="00901A9B"/>
    <w:rsid w:val="00904153"/>
    <w:rsid w:val="00904E4B"/>
    <w:rsid w:val="009074DB"/>
    <w:rsid w:val="00907933"/>
    <w:rsid w:val="00907CA1"/>
    <w:rsid w:val="00922731"/>
    <w:rsid w:val="00923700"/>
    <w:rsid w:val="00923D34"/>
    <w:rsid w:val="00925750"/>
    <w:rsid w:val="0092575D"/>
    <w:rsid w:val="0092627A"/>
    <w:rsid w:val="0092700A"/>
    <w:rsid w:val="00927B08"/>
    <w:rsid w:val="00931079"/>
    <w:rsid w:val="00931657"/>
    <w:rsid w:val="009324C3"/>
    <w:rsid w:val="00932C2F"/>
    <w:rsid w:val="0093457A"/>
    <w:rsid w:val="00934AFB"/>
    <w:rsid w:val="00935637"/>
    <w:rsid w:val="00935DE9"/>
    <w:rsid w:val="009365B0"/>
    <w:rsid w:val="009368E2"/>
    <w:rsid w:val="00936FA8"/>
    <w:rsid w:val="00937D21"/>
    <w:rsid w:val="0094360B"/>
    <w:rsid w:val="0094610C"/>
    <w:rsid w:val="00946C90"/>
    <w:rsid w:val="00946D20"/>
    <w:rsid w:val="0095096D"/>
    <w:rsid w:val="00951AFE"/>
    <w:rsid w:val="00952508"/>
    <w:rsid w:val="0095300B"/>
    <w:rsid w:val="00953AAA"/>
    <w:rsid w:val="00955DCE"/>
    <w:rsid w:val="009568C1"/>
    <w:rsid w:val="00956955"/>
    <w:rsid w:val="00956D2C"/>
    <w:rsid w:val="009622C7"/>
    <w:rsid w:val="00962655"/>
    <w:rsid w:val="00962EF2"/>
    <w:rsid w:val="00964BD7"/>
    <w:rsid w:val="00964FEB"/>
    <w:rsid w:val="00965B8A"/>
    <w:rsid w:val="00965BAB"/>
    <w:rsid w:val="009665FF"/>
    <w:rsid w:val="00966810"/>
    <w:rsid w:val="009677DD"/>
    <w:rsid w:val="00967844"/>
    <w:rsid w:val="00971EF9"/>
    <w:rsid w:val="0097234E"/>
    <w:rsid w:val="00972354"/>
    <w:rsid w:val="0097241D"/>
    <w:rsid w:val="009727CC"/>
    <w:rsid w:val="00974377"/>
    <w:rsid w:val="009754BC"/>
    <w:rsid w:val="009767CB"/>
    <w:rsid w:val="00976933"/>
    <w:rsid w:val="0097701D"/>
    <w:rsid w:val="00980887"/>
    <w:rsid w:val="00980EB8"/>
    <w:rsid w:val="00981BAA"/>
    <w:rsid w:val="00982CA6"/>
    <w:rsid w:val="00983FD5"/>
    <w:rsid w:val="009844B7"/>
    <w:rsid w:val="00984847"/>
    <w:rsid w:val="00984E9A"/>
    <w:rsid w:val="0098594F"/>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5C75"/>
    <w:rsid w:val="009B64F0"/>
    <w:rsid w:val="009B6C21"/>
    <w:rsid w:val="009B7FDA"/>
    <w:rsid w:val="009C0BA1"/>
    <w:rsid w:val="009C30EE"/>
    <w:rsid w:val="009C6633"/>
    <w:rsid w:val="009C7BAC"/>
    <w:rsid w:val="009D10DB"/>
    <w:rsid w:val="009D163C"/>
    <w:rsid w:val="009D1717"/>
    <w:rsid w:val="009D1FCB"/>
    <w:rsid w:val="009D3803"/>
    <w:rsid w:val="009D3C1A"/>
    <w:rsid w:val="009D4A87"/>
    <w:rsid w:val="009D53D2"/>
    <w:rsid w:val="009D66FF"/>
    <w:rsid w:val="009E0CE4"/>
    <w:rsid w:val="009E117D"/>
    <w:rsid w:val="009E1AB3"/>
    <w:rsid w:val="009E228E"/>
    <w:rsid w:val="009E363A"/>
    <w:rsid w:val="009E39EF"/>
    <w:rsid w:val="009E54E5"/>
    <w:rsid w:val="009E6ABD"/>
    <w:rsid w:val="009E7180"/>
    <w:rsid w:val="009F0861"/>
    <w:rsid w:val="009F207D"/>
    <w:rsid w:val="009F2E48"/>
    <w:rsid w:val="009F2FA2"/>
    <w:rsid w:val="009F5479"/>
    <w:rsid w:val="00A001B2"/>
    <w:rsid w:val="00A00C88"/>
    <w:rsid w:val="00A03DEE"/>
    <w:rsid w:val="00A04A30"/>
    <w:rsid w:val="00A06C18"/>
    <w:rsid w:val="00A07201"/>
    <w:rsid w:val="00A104E9"/>
    <w:rsid w:val="00A121D3"/>
    <w:rsid w:val="00A12CA3"/>
    <w:rsid w:val="00A13FB3"/>
    <w:rsid w:val="00A168D1"/>
    <w:rsid w:val="00A2051D"/>
    <w:rsid w:val="00A274E0"/>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5064B"/>
    <w:rsid w:val="00A517BA"/>
    <w:rsid w:val="00A554ED"/>
    <w:rsid w:val="00A57415"/>
    <w:rsid w:val="00A57FE9"/>
    <w:rsid w:val="00A623F8"/>
    <w:rsid w:val="00A63120"/>
    <w:rsid w:val="00A638DE"/>
    <w:rsid w:val="00A64844"/>
    <w:rsid w:val="00A64E1E"/>
    <w:rsid w:val="00A6639C"/>
    <w:rsid w:val="00A70CA2"/>
    <w:rsid w:val="00A71129"/>
    <w:rsid w:val="00A71734"/>
    <w:rsid w:val="00A7271D"/>
    <w:rsid w:val="00A73AED"/>
    <w:rsid w:val="00A75B82"/>
    <w:rsid w:val="00A77F41"/>
    <w:rsid w:val="00A80893"/>
    <w:rsid w:val="00A80F5A"/>
    <w:rsid w:val="00A83657"/>
    <w:rsid w:val="00A849F2"/>
    <w:rsid w:val="00A85380"/>
    <w:rsid w:val="00A87F99"/>
    <w:rsid w:val="00A9084C"/>
    <w:rsid w:val="00A91066"/>
    <w:rsid w:val="00A927F6"/>
    <w:rsid w:val="00A93ED4"/>
    <w:rsid w:val="00AA0528"/>
    <w:rsid w:val="00AA18DA"/>
    <w:rsid w:val="00AA3051"/>
    <w:rsid w:val="00AA5D22"/>
    <w:rsid w:val="00AA76A0"/>
    <w:rsid w:val="00AA7A6F"/>
    <w:rsid w:val="00AA7C99"/>
    <w:rsid w:val="00AB249B"/>
    <w:rsid w:val="00AB4211"/>
    <w:rsid w:val="00AB4321"/>
    <w:rsid w:val="00AB5DAE"/>
    <w:rsid w:val="00AB7F02"/>
    <w:rsid w:val="00AC23E3"/>
    <w:rsid w:val="00AC23F3"/>
    <w:rsid w:val="00AC271B"/>
    <w:rsid w:val="00AC3B73"/>
    <w:rsid w:val="00AC68B6"/>
    <w:rsid w:val="00AC733B"/>
    <w:rsid w:val="00AD22DD"/>
    <w:rsid w:val="00AD44E2"/>
    <w:rsid w:val="00AE06FC"/>
    <w:rsid w:val="00AE1FED"/>
    <w:rsid w:val="00AE30B3"/>
    <w:rsid w:val="00AE4D48"/>
    <w:rsid w:val="00AF29C0"/>
    <w:rsid w:val="00AF3686"/>
    <w:rsid w:val="00AF4A4F"/>
    <w:rsid w:val="00AF5610"/>
    <w:rsid w:val="00AF56E5"/>
    <w:rsid w:val="00AF598D"/>
    <w:rsid w:val="00AF6758"/>
    <w:rsid w:val="00AF6EA5"/>
    <w:rsid w:val="00AF725C"/>
    <w:rsid w:val="00B0171E"/>
    <w:rsid w:val="00B01955"/>
    <w:rsid w:val="00B02DDB"/>
    <w:rsid w:val="00B0463E"/>
    <w:rsid w:val="00B062F4"/>
    <w:rsid w:val="00B07979"/>
    <w:rsid w:val="00B13570"/>
    <w:rsid w:val="00B15AC2"/>
    <w:rsid w:val="00B21ABA"/>
    <w:rsid w:val="00B21ECE"/>
    <w:rsid w:val="00B2445D"/>
    <w:rsid w:val="00B258FC"/>
    <w:rsid w:val="00B2744D"/>
    <w:rsid w:val="00B2797A"/>
    <w:rsid w:val="00B3012C"/>
    <w:rsid w:val="00B30A5A"/>
    <w:rsid w:val="00B316E2"/>
    <w:rsid w:val="00B32AA2"/>
    <w:rsid w:val="00B33214"/>
    <w:rsid w:val="00B33A25"/>
    <w:rsid w:val="00B33A7D"/>
    <w:rsid w:val="00B36624"/>
    <w:rsid w:val="00B37E6B"/>
    <w:rsid w:val="00B4161F"/>
    <w:rsid w:val="00B4174F"/>
    <w:rsid w:val="00B41A97"/>
    <w:rsid w:val="00B43125"/>
    <w:rsid w:val="00B43D8A"/>
    <w:rsid w:val="00B46282"/>
    <w:rsid w:val="00B4733D"/>
    <w:rsid w:val="00B474E8"/>
    <w:rsid w:val="00B47EE3"/>
    <w:rsid w:val="00B5015C"/>
    <w:rsid w:val="00B50E9F"/>
    <w:rsid w:val="00B55537"/>
    <w:rsid w:val="00B55B3D"/>
    <w:rsid w:val="00B5723D"/>
    <w:rsid w:val="00B6057C"/>
    <w:rsid w:val="00B66001"/>
    <w:rsid w:val="00B67847"/>
    <w:rsid w:val="00B679D0"/>
    <w:rsid w:val="00B7082A"/>
    <w:rsid w:val="00B70E3B"/>
    <w:rsid w:val="00B71414"/>
    <w:rsid w:val="00B724B0"/>
    <w:rsid w:val="00B73148"/>
    <w:rsid w:val="00B73899"/>
    <w:rsid w:val="00B7615A"/>
    <w:rsid w:val="00B8320D"/>
    <w:rsid w:val="00B87ED6"/>
    <w:rsid w:val="00B91440"/>
    <w:rsid w:val="00B95199"/>
    <w:rsid w:val="00B95276"/>
    <w:rsid w:val="00B95E40"/>
    <w:rsid w:val="00B9658B"/>
    <w:rsid w:val="00B965AD"/>
    <w:rsid w:val="00B973AD"/>
    <w:rsid w:val="00BA51AC"/>
    <w:rsid w:val="00BA5F58"/>
    <w:rsid w:val="00BA6382"/>
    <w:rsid w:val="00BA76C6"/>
    <w:rsid w:val="00BB17FC"/>
    <w:rsid w:val="00BB2DD2"/>
    <w:rsid w:val="00BB5FDA"/>
    <w:rsid w:val="00BB6F03"/>
    <w:rsid w:val="00BC4202"/>
    <w:rsid w:val="00BC4EDD"/>
    <w:rsid w:val="00BC7F67"/>
    <w:rsid w:val="00BD1FFC"/>
    <w:rsid w:val="00BD2394"/>
    <w:rsid w:val="00BD2478"/>
    <w:rsid w:val="00BD2711"/>
    <w:rsid w:val="00BD29D3"/>
    <w:rsid w:val="00BD3863"/>
    <w:rsid w:val="00BD4C5E"/>
    <w:rsid w:val="00BD6BCC"/>
    <w:rsid w:val="00BD799E"/>
    <w:rsid w:val="00BE00AC"/>
    <w:rsid w:val="00BE032A"/>
    <w:rsid w:val="00BE0DA2"/>
    <w:rsid w:val="00BE2A8B"/>
    <w:rsid w:val="00BE3B44"/>
    <w:rsid w:val="00BE3C63"/>
    <w:rsid w:val="00BE4477"/>
    <w:rsid w:val="00BE5C85"/>
    <w:rsid w:val="00BE64D0"/>
    <w:rsid w:val="00BF22B1"/>
    <w:rsid w:val="00BF2E3F"/>
    <w:rsid w:val="00BF5A88"/>
    <w:rsid w:val="00BF6D05"/>
    <w:rsid w:val="00BF6EA7"/>
    <w:rsid w:val="00C009A5"/>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0EA1"/>
    <w:rsid w:val="00C22B87"/>
    <w:rsid w:val="00C242C3"/>
    <w:rsid w:val="00C24910"/>
    <w:rsid w:val="00C24B1C"/>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842"/>
    <w:rsid w:val="00C47AD7"/>
    <w:rsid w:val="00C50646"/>
    <w:rsid w:val="00C52BCB"/>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A81"/>
    <w:rsid w:val="00C95A1F"/>
    <w:rsid w:val="00C9689D"/>
    <w:rsid w:val="00C97F1B"/>
    <w:rsid w:val="00CA0609"/>
    <w:rsid w:val="00CA0CF8"/>
    <w:rsid w:val="00CA287F"/>
    <w:rsid w:val="00CA308E"/>
    <w:rsid w:val="00CA3A12"/>
    <w:rsid w:val="00CA57C1"/>
    <w:rsid w:val="00CB04EC"/>
    <w:rsid w:val="00CB36BE"/>
    <w:rsid w:val="00CB525F"/>
    <w:rsid w:val="00CB6B28"/>
    <w:rsid w:val="00CC14BE"/>
    <w:rsid w:val="00CC2272"/>
    <w:rsid w:val="00CC468D"/>
    <w:rsid w:val="00CC6527"/>
    <w:rsid w:val="00CC7046"/>
    <w:rsid w:val="00CC7A6B"/>
    <w:rsid w:val="00CD1DDB"/>
    <w:rsid w:val="00CD2F78"/>
    <w:rsid w:val="00CD5F48"/>
    <w:rsid w:val="00CD6453"/>
    <w:rsid w:val="00CE0F51"/>
    <w:rsid w:val="00CE2A01"/>
    <w:rsid w:val="00CE4722"/>
    <w:rsid w:val="00CE476F"/>
    <w:rsid w:val="00CE517F"/>
    <w:rsid w:val="00CE5D11"/>
    <w:rsid w:val="00CE5D9C"/>
    <w:rsid w:val="00CF1D34"/>
    <w:rsid w:val="00CF2D96"/>
    <w:rsid w:val="00CF398D"/>
    <w:rsid w:val="00CF40B2"/>
    <w:rsid w:val="00CF4747"/>
    <w:rsid w:val="00D00B7A"/>
    <w:rsid w:val="00D00D6D"/>
    <w:rsid w:val="00D033B7"/>
    <w:rsid w:val="00D0440B"/>
    <w:rsid w:val="00D051F5"/>
    <w:rsid w:val="00D0578A"/>
    <w:rsid w:val="00D05EF9"/>
    <w:rsid w:val="00D07623"/>
    <w:rsid w:val="00D07AF8"/>
    <w:rsid w:val="00D124A7"/>
    <w:rsid w:val="00D12FE9"/>
    <w:rsid w:val="00D152AC"/>
    <w:rsid w:val="00D15338"/>
    <w:rsid w:val="00D158BD"/>
    <w:rsid w:val="00D20787"/>
    <w:rsid w:val="00D20B7E"/>
    <w:rsid w:val="00D20CFD"/>
    <w:rsid w:val="00D22744"/>
    <w:rsid w:val="00D22E5B"/>
    <w:rsid w:val="00D26914"/>
    <w:rsid w:val="00D31305"/>
    <w:rsid w:val="00D31DE8"/>
    <w:rsid w:val="00D36930"/>
    <w:rsid w:val="00D36DAF"/>
    <w:rsid w:val="00D36F4A"/>
    <w:rsid w:val="00D37B46"/>
    <w:rsid w:val="00D4050D"/>
    <w:rsid w:val="00D446DE"/>
    <w:rsid w:val="00D5153B"/>
    <w:rsid w:val="00D52A96"/>
    <w:rsid w:val="00D53B94"/>
    <w:rsid w:val="00D544C5"/>
    <w:rsid w:val="00D55EB5"/>
    <w:rsid w:val="00D56674"/>
    <w:rsid w:val="00D57046"/>
    <w:rsid w:val="00D61D11"/>
    <w:rsid w:val="00D61FBF"/>
    <w:rsid w:val="00D6219B"/>
    <w:rsid w:val="00D626A3"/>
    <w:rsid w:val="00D637D4"/>
    <w:rsid w:val="00D6438B"/>
    <w:rsid w:val="00D64E73"/>
    <w:rsid w:val="00D65F1F"/>
    <w:rsid w:val="00D665D1"/>
    <w:rsid w:val="00D668E6"/>
    <w:rsid w:val="00D66D86"/>
    <w:rsid w:val="00D701E1"/>
    <w:rsid w:val="00D732FE"/>
    <w:rsid w:val="00D73544"/>
    <w:rsid w:val="00D77242"/>
    <w:rsid w:val="00D77363"/>
    <w:rsid w:val="00D779BF"/>
    <w:rsid w:val="00D834EB"/>
    <w:rsid w:val="00D83AAD"/>
    <w:rsid w:val="00D86059"/>
    <w:rsid w:val="00D861F5"/>
    <w:rsid w:val="00D867B5"/>
    <w:rsid w:val="00D877E8"/>
    <w:rsid w:val="00D91589"/>
    <w:rsid w:val="00D91F13"/>
    <w:rsid w:val="00D94888"/>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540A"/>
    <w:rsid w:val="00DB5879"/>
    <w:rsid w:val="00DB5993"/>
    <w:rsid w:val="00DC10C3"/>
    <w:rsid w:val="00DC265A"/>
    <w:rsid w:val="00DC32AB"/>
    <w:rsid w:val="00DC3A01"/>
    <w:rsid w:val="00DC6528"/>
    <w:rsid w:val="00DD2F68"/>
    <w:rsid w:val="00DD3179"/>
    <w:rsid w:val="00DD3BE3"/>
    <w:rsid w:val="00DD45C4"/>
    <w:rsid w:val="00DD4C7D"/>
    <w:rsid w:val="00DD4EF0"/>
    <w:rsid w:val="00DD5321"/>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1FF5"/>
    <w:rsid w:val="00E14238"/>
    <w:rsid w:val="00E146C4"/>
    <w:rsid w:val="00E14C99"/>
    <w:rsid w:val="00E16CB3"/>
    <w:rsid w:val="00E200F8"/>
    <w:rsid w:val="00E20DEA"/>
    <w:rsid w:val="00E2158A"/>
    <w:rsid w:val="00E22EA2"/>
    <w:rsid w:val="00E22FF2"/>
    <w:rsid w:val="00E23B2E"/>
    <w:rsid w:val="00E24A6B"/>
    <w:rsid w:val="00E27C1F"/>
    <w:rsid w:val="00E309A4"/>
    <w:rsid w:val="00E31E73"/>
    <w:rsid w:val="00E3251B"/>
    <w:rsid w:val="00E37093"/>
    <w:rsid w:val="00E40F84"/>
    <w:rsid w:val="00E4122B"/>
    <w:rsid w:val="00E412C9"/>
    <w:rsid w:val="00E41A50"/>
    <w:rsid w:val="00E4296A"/>
    <w:rsid w:val="00E4373F"/>
    <w:rsid w:val="00E43757"/>
    <w:rsid w:val="00E47B7B"/>
    <w:rsid w:val="00E504F6"/>
    <w:rsid w:val="00E5117C"/>
    <w:rsid w:val="00E51309"/>
    <w:rsid w:val="00E52260"/>
    <w:rsid w:val="00E523EA"/>
    <w:rsid w:val="00E53126"/>
    <w:rsid w:val="00E548AC"/>
    <w:rsid w:val="00E54A50"/>
    <w:rsid w:val="00E56D36"/>
    <w:rsid w:val="00E628AD"/>
    <w:rsid w:val="00E629CE"/>
    <w:rsid w:val="00E62C31"/>
    <w:rsid w:val="00E63C0C"/>
    <w:rsid w:val="00E6481A"/>
    <w:rsid w:val="00E672EE"/>
    <w:rsid w:val="00E67F18"/>
    <w:rsid w:val="00E70174"/>
    <w:rsid w:val="00E7083B"/>
    <w:rsid w:val="00E71EA8"/>
    <w:rsid w:val="00E74BF8"/>
    <w:rsid w:val="00E779CA"/>
    <w:rsid w:val="00E80A2C"/>
    <w:rsid w:val="00E835E8"/>
    <w:rsid w:val="00E8361B"/>
    <w:rsid w:val="00E844C8"/>
    <w:rsid w:val="00E85506"/>
    <w:rsid w:val="00E919FF"/>
    <w:rsid w:val="00E97024"/>
    <w:rsid w:val="00E97075"/>
    <w:rsid w:val="00E97AB6"/>
    <w:rsid w:val="00E97F2A"/>
    <w:rsid w:val="00EA0EE1"/>
    <w:rsid w:val="00EA1309"/>
    <w:rsid w:val="00EA445B"/>
    <w:rsid w:val="00EA44CA"/>
    <w:rsid w:val="00EA4992"/>
    <w:rsid w:val="00EA5CE0"/>
    <w:rsid w:val="00EA66CA"/>
    <w:rsid w:val="00EA74C3"/>
    <w:rsid w:val="00EB2DDA"/>
    <w:rsid w:val="00EB3913"/>
    <w:rsid w:val="00EB4EC4"/>
    <w:rsid w:val="00EB5E19"/>
    <w:rsid w:val="00EC049C"/>
    <w:rsid w:val="00EC0B70"/>
    <w:rsid w:val="00EC20E6"/>
    <w:rsid w:val="00EC4748"/>
    <w:rsid w:val="00EC5ACC"/>
    <w:rsid w:val="00ED0403"/>
    <w:rsid w:val="00ED04EE"/>
    <w:rsid w:val="00ED174D"/>
    <w:rsid w:val="00ED1797"/>
    <w:rsid w:val="00ED1A35"/>
    <w:rsid w:val="00ED296B"/>
    <w:rsid w:val="00ED3A19"/>
    <w:rsid w:val="00ED439F"/>
    <w:rsid w:val="00ED4442"/>
    <w:rsid w:val="00ED5FBC"/>
    <w:rsid w:val="00ED652F"/>
    <w:rsid w:val="00ED6A41"/>
    <w:rsid w:val="00ED6A97"/>
    <w:rsid w:val="00EE1BF2"/>
    <w:rsid w:val="00EE2A7B"/>
    <w:rsid w:val="00EE38D7"/>
    <w:rsid w:val="00EE44B5"/>
    <w:rsid w:val="00EE48F1"/>
    <w:rsid w:val="00EE4FED"/>
    <w:rsid w:val="00EE54C3"/>
    <w:rsid w:val="00EE5BDA"/>
    <w:rsid w:val="00EE6F9B"/>
    <w:rsid w:val="00EE754E"/>
    <w:rsid w:val="00EF26D7"/>
    <w:rsid w:val="00EF34D6"/>
    <w:rsid w:val="00EF3B5C"/>
    <w:rsid w:val="00EF4C03"/>
    <w:rsid w:val="00EF75AC"/>
    <w:rsid w:val="00F00A05"/>
    <w:rsid w:val="00F00DBC"/>
    <w:rsid w:val="00F021D9"/>
    <w:rsid w:val="00F0380A"/>
    <w:rsid w:val="00F0385D"/>
    <w:rsid w:val="00F03B50"/>
    <w:rsid w:val="00F03D0B"/>
    <w:rsid w:val="00F07C79"/>
    <w:rsid w:val="00F12A39"/>
    <w:rsid w:val="00F12AF2"/>
    <w:rsid w:val="00F131A6"/>
    <w:rsid w:val="00F16C13"/>
    <w:rsid w:val="00F20E6A"/>
    <w:rsid w:val="00F21BA0"/>
    <w:rsid w:val="00F22823"/>
    <w:rsid w:val="00F239FD"/>
    <w:rsid w:val="00F25479"/>
    <w:rsid w:val="00F26461"/>
    <w:rsid w:val="00F31E2A"/>
    <w:rsid w:val="00F35E38"/>
    <w:rsid w:val="00F36379"/>
    <w:rsid w:val="00F42F56"/>
    <w:rsid w:val="00F430E0"/>
    <w:rsid w:val="00F43A4D"/>
    <w:rsid w:val="00F44109"/>
    <w:rsid w:val="00F44E23"/>
    <w:rsid w:val="00F454B7"/>
    <w:rsid w:val="00F512E1"/>
    <w:rsid w:val="00F51C60"/>
    <w:rsid w:val="00F520D4"/>
    <w:rsid w:val="00F52328"/>
    <w:rsid w:val="00F523B2"/>
    <w:rsid w:val="00F5556D"/>
    <w:rsid w:val="00F562BE"/>
    <w:rsid w:val="00F57629"/>
    <w:rsid w:val="00F618B7"/>
    <w:rsid w:val="00F6375F"/>
    <w:rsid w:val="00F63D45"/>
    <w:rsid w:val="00F64B5C"/>
    <w:rsid w:val="00F65D96"/>
    <w:rsid w:val="00F6642F"/>
    <w:rsid w:val="00F71AD8"/>
    <w:rsid w:val="00F7279C"/>
    <w:rsid w:val="00F72BCF"/>
    <w:rsid w:val="00F7381C"/>
    <w:rsid w:val="00F73A77"/>
    <w:rsid w:val="00F73AFD"/>
    <w:rsid w:val="00F73F72"/>
    <w:rsid w:val="00F74FC0"/>
    <w:rsid w:val="00F83626"/>
    <w:rsid w:val="00F83666"/>
    <w:rsid w:val="00F8403B"/>
    <w:rsid w:val="00F846FC"/>
    <w:rsid w:val="00F861C2"/>
    <w:rsid w:val="00F86209"/>
    <w:rsid w:val="00F86E4E"/>
    <w:rsid w:val="00F90028"/>
    <w:rsid w:val="00F909C4"/>
    <w:rsid w:val="00F90AC6"/>
    <w:rsid w:val="00F9342E"/>
    <w:rsid w:val="00F943A0"/>
    <w:rsid w:val="00F950A6"/>
    <w:rsid w:val="00F978A4"/>
    <w:rsid w:val="00FA0979"/>
    <w:rsid w:val="00FA1043"/>
    <w:rsid w:val="00FA11C6"/>
    <w:rsid w:val="00FA3335"/>
    <w:rsid w:val="00FA4722"/>
    <w:rsid w:val="00FA5037"/>
    <w:rsid w:val="00FA5435"/>
    <w:rsid w:val="00FA5A58"/>
    <w:rsid w:val="00FA798A"/>
    <w:rsid w:val="00FA7E90"/>
    <w:rsid w:val="00FB1027"/>
    <w:rsid w:val="00FB1295"/>
    <w:rsid w:val="00FB17DB"/>
    <w:rsid w:val="00FB18C8"/>
    <w:rsid w:val="00FB1A0B"/>
    <w:rsid w:val="00FB1B7E"/>
    <w:rsid w:val="00FB24B7"/>
    <w:rsid w:val="00FB2702"/>
    <w:rsid w:val="00FB3022"/>
    <w:rsid w:val="00FB3704"/>
    <w:rsid w:val="00FB44EE"/>
    <w:rsid w:val="00FB50B9"/>
    <w:rsid w:val="00FC093E"/>
    <w:rsid w:val="00FC4C2D"/>
    <w:rsid w:val="00FC509F"/>
    <w:rsid w:val="00FC5BB1"/>
    <w:rsid w:val="00FC7E78"/>
    <w:rsid w:val="00FD27C6"/>
    <w:rsid w:val="00FD2E86"/>
    <w:rsid w:val="00FD3CD5"/>
    <w:rsid w:val="00FD4B28"/>
    <w:rsid w:val="00FD51A0"/>
    <w:rsid w:val="00FE0284"/>
    <w:rsid w:val="00FE317E"/>
    <w:rsid w:val="00FF2414"/>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7096D"/>
    <w:rsid w:val="064B6044"/>
    <w:rsid w:val="06657089"/>
    <w:rsid w:val="06726600"/>
    <w:rsid w:val="06CF0083"/>
    <w:rsid w:val="06D90382"/>
    <w:rsid w:val="070C0696"/>
    <w:rsid w:val="071E5A16"/>
    <w:rsid w:val="07C937BF"/>
    <w:rsid w:val="07EF0979"/>
    <w:rsid w:val="07F970CE"/>
    <w:rsid w:val="0831053B"/>
    <w:rsid w:val="08412C76"/>
    <w:rsid w:val="08793CA9"/>
    <w:rsid w:val="089D72D2"/>
    <w:rsid w:val="08FF7763"/>
    <w:rsid w:val="09057635"/>
    <w:rsid w:val="096F0ABB"/>
    <w:rsid w:val="09910354"/>
    <w:rsid w:val="09A15DBC"/>
    <w:rsid w:val="09C6027F"/>
    <w:rsid w:val="09D04095"/>
    <w:rsid w:val="0A2A7A5B"/>
    <w:rsid w:val="0A3B709C"/>
    <w:rsid w:val="0A4506CE"/>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A6F83"/>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AA2FEB"/>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3D208C"/>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6D3D35"/>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1C3B71"/>
    <w:rsid w:val="412F601C"/>
    <w:rsid w:val="413D2424"/>
    <w:rsid w:val="41770E3B"/>
    <w:rsid w:val="41AC5379"/>
    <w:rsid w:val="42083C1C"/>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2E37A1"/>
    <w:rsid w:val="5D457310"/>
    <w:rsid w:val="5D5E35F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8E03BFF"/>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DED05F3"/>
    <w:rsid w:val="7E7D1D7F"/>
    <w:rsid w:val="7E7D3960"/>
    <w:rsid w:val="7E822D47"/>
    <w:rsid w:val="7EB43C2A"/>
    <w:rsid w:val="7ECA3219"/>
    <w:rsid w:val="7ED94842"/>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2"/>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Block Text"/>
    <w:basedOn w:val="1"/>
    <w:qFormat/>
    <w:uiPriority w:val="0"/>
    <w:pPr>
      <w:adjustRightInd w:val="0"/>
      <w:spacing w:line="500" w:lineRule="exact"/>
      <w:ind w:left="57" w:right="113" w:firstLine="200" w:firstLineChars="200"/>
      <w:textAlignment w:val="baseline"/>
    </w:pPr>
    <w:rPr>
      <w:rFonts w:ascii="宋体" w:hAnsi="Times New Roman" w:eastAsia="宋体" w:cs="Times New Roman"/>
      <w:kern w:val="0"/>
      <w:sz w:val="28"/>
      <w:szCs w:val="20"/>
    </w:rPr>
  </w:style>
  <w:style w:type="paragraph" w:styleId="9">
    <w:name w:val="Plain Text"/>
    <w:basedOn w:val="1"/>
    <w:link w:val="32"/>
    <w:qFormat/>
    <w:uiPriority w:val="0"/>
    <w:rPr>
      <w:rFonts w:ascii="宋体" w:hAnsi="Courier New"/>
      <w:kern w:val="0"/>
      <w:sz w:val="24"/>
      <w:szCs w:val="20"/>
    </w:rPr>
  </w:style>
  <w:style w:type="paragraph" w:styleId="10">
    <w:name w:val="Balloon Text"/>
    <w:basedOn w:val="1"/>
    <w:link w:val="3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Body Text Indent 3"/>
    <w:basedOn w:val="1"/>
    <w:qFormat/>
    <w:uiPriority w:val="0"/>
    <w:pPr>
      <w:snapToGrid w:val="0"/>
      <w:spacing w:line="360" w:lineRule="auto"/>
      <w:ind w:firstLine="425"/>
    </w:pPr>
    <w:rPr>
      <w:sz w:val="24"/>
    </w:r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none"/>
    </w:rPr>
  </w:style>
  <w:style w:type="paragraph" w:customStyle="1" w:styleId="20">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1">
    <w:name w:val="4正文"/>
    <w:basedOn w:val="1"/>
    <w:qFormat/>
    <w:uiPriority w:val="0"/>
    <w:pPr>
      <w:spacing w:line="360" w:lineRule="auto"/>
      <w:ind w:firstLine="480" w:firstLineChars="200"/>
    </w:pPr>
    <w:rPr>
      <w:rFonts w:cs="宋体"/>
      <w:szCs w:val="20"/>
    </w:rPr>
  </w:style>
  <w:style w:type="character" w:customStyle="1" w:styleId="22">
    <w:name w:val="标题 2 字符"/>
    <w:link w:val="3"/>
    <w:qFormat/>
    <w:uiPriority w:val="0"/>
    <w:rPr>
      <w:rFonts w:ascii="Arial" w:hAnsi="Arial" w:cs="Times New Roman"/>
      <w:b/>
      <w:sz w:val="28"/>
      <w:szCs w:val="22"/>
    </w:rPr>
  </w:style>
  <w:style w:type="paragraph" w:customStyle="1" w:styleId="23">
    <w:name w:val="p0"/>
    <w:basedOn w:val="1"/>
    <w:qFormat/>
    <w:uiPriority w:val="0"/>
    <w:pPr>
      <w:widowControl/>
    </w:pPr>
    <w:rPr>
      <w:kern w:val="0"/>
      <w:szCs w:val="21"/>
    </w:rPr>
  </w:style>
  <w:style w:type="paragraph" w:customStyle="1" w:styleId="24">
    <w:name w:val="_Style 1"/>
    <w:basedOn w:val="1"/>
    <w:qFormat/>
    <w:uiPriority w:val="1"/>
    <w:rPr>
      <w:szCs w:val="32"/>
    </w:rPr>
  </w:style>
  <w:style w:type="paragraph" w:customStyle="1" w:styleId="25">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6">
    <w:name w:val="表标题"/>
    <w:basedOn w:val="1"/>
    <w:qFormat/>
    <w:uiPriority w:val="0"/>
    <w:pPr>
      <w:jc w:val="center"/>
    </w:pPr>
    <w:rPr>
      <w:rFonts w:ascii="黑体" w:eastAsia="黑体"/>
      <w:sz w:val="24"/>
    </w:rPr>
  </w:style>
  <w:style w:type="paragraph" w:customStyle="1" w:styleId="27">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8">
    <w:name w:val="公文正文"/>
    <w:basedOn w:val="1"/>
    <w:qFormat/>
    <w:uiPriority w:val="0"/>
    <w:pPr>
      <w:ind w:firstLine="200" w:firstLineChars="200"/>
    </w:pPr>
    <w:rPr>
      <w:rFonts w:eastAsia="方正仿宋简体"/>
      <w:sz w:val="30"/>
    </w:rPr>
  </w:style>
  <w:style w:type="paragraph" w:customStyle="1" w:styleId="29">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30">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1">
    <w:name w:val="批注框文本 字符"/>
    <w:basedOn w:val="18"/>
    <w:link w:val="10"/>
    <w:qFormat/>
    <w:uiPriority w:val="0"/>
    <w:rPr>
      <w:kern w:val="2"/>
      <w:sz w:val="18"/>
      <w:szCs w:val="18"/>
    </w:rPr>
  </w:style>
  <w:style w:type="character" w:customStyle="1" w:styleId="32">
    <w:name w:val="纯文本 字符"/>
    <w:basedOn w:val="18"/>
    <w:link w:val="9"/>
    <w:qFormat/>
    <w:uiPriority w:val="0"/>
    <w:rPr>
      <w:rFonts w:ascii="宋体" w:hAnsi="Courier New"/>
      <w:sz w:val="24"/>
    </w:rPr>
  </w:style>
  <w:style w:type="paragraph" w:customStyle="1" w:styleId="33">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4">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5">
    <w:name w:val="No Spacing"/>
    <w:qFormat/>
    <w:uiPriority w:val="1"/>
    <w:rPr>
      <w:rFonts w:asciiTheme="minorHAnsi" w:hAnsiTheme="minorHAnsi" w:eastAsiaTheme="minorEastAsia" w:cstheme="minorBidi"/>
      <w:sz w:val="22"/>
      <w:szCs w:val="22"/>
      <w:lang w:val="en-US" w:eastAsia="zh-CN" w:bidi="ar-SA"/>
    </w:rPr>
  </w:style>
  <w:style w:type="paragraph" w:customStyle="1" w:styleId="36">
    <w:name w:val="BG"/>
    <w:basedOn w:val="1"/>
    <w:link w:val="37"/>
    <w:qFormat/>
    <w:uiPriority w:val="0"/>
    <w:pPr>
      <w:adjustRightInd w:val="0"/>
      <w:snapToGrid w:val="0"/>
      <w:jc w:val="center"/>
    </w:pPr>
    <w:rPr>
      <w:rFonts w:ascii="宋体" w:hAnsi="宋体"/>
      <w:bCs/>
      <w:szCs w:val="21"/>
    </w:rPr>
  </w:style>
  <w:style w:type="character" w:customStyle="1" w:styleId="37">
    <w:name w:val="BG Char"/>
    <w:basedOn w:val="18"/>
    <w:link w:val="36"/>
    <w:qFormat/>
    <w:uiPriority w:val="0"/>
    <w:rPr>
      <w:rFonts w:ascii="宋体" w:hAnsi="宋体"/>
      <w:bCs/>
      <w:sz w:val="21"/>
      <w:szCs w:val="21"/>
    </w:rPr>
  </w:style>
  <w:style w:type="paragraph" w:styleId="38">
    <w:name w:val="List Paragraph"/>
    <w:basedOn w:val="1"/>
    <w:qFormat/>
    <w:uiPriority w:val="99"/>
    <w:pPr>
      <w:ind w:firstLine="420" w:firstLineChars="200"/>
    </w:pPr>
  </w:style>
  <w:style w:type="paragraph" w:customStyle="1" w:styleId="39">
    <w:name w:val="Char Char Char Char Char Char Char Char Char Char2"/>
    <w:basedOn w:val="1"/>
    <w:qFormat/>
    <w:uiPriority w:val="0"/>
    <w:rPr>
      <w:rFonts w:ascii="Times New Roman" w:hAnsi="Times New Roman" w:eastAsia="宋体" w:cs="Times New Roman"/>
      <w:szCs w:val="20"/>
    </w:rPr>
  </w:style>
  <w:style w:type="paragraph" w:customStyle="1" w:styleId="40">
    <w:name w:val="Char Char Char Char Char Char Char Char Char Char3"/>
    <w:basedOn w:val="1"/>
    <w:qFormat/>
    <w:uiPriority w:val="0"/>
    <w:rPr>
      <w:rFonts w:ascii="Times New Roman" w:hAnsi="Times New Roman" w:eastAsia="宋体" w:cs="Times New Roman"/>
      <w:szCs w:val="20"/>
    </w:rPr>
  </w:style>
  <w:style w:type="paragraph" w:customStyle="1" w:styleId="41">
    <w:name w:val="Char Char Char Char Char Char Char Char Char Char4"/>
    <w:basedOn w:val="1"/>
    <w:qFormat/>
    <w:uiPriority w:val="0"/>
    <w:rPr>
      <w:rFonts w:ascii="Times New Roman" w:hAnsi="Times New Roman" w:eastAsia="宋体" w:cs="Times New Roman"/>
      <w:szCs w:val="20"/>
    </w:rPr>
  </w:style>
  <w:style w:type="paragraph" w:customStyle="1" w:styleId="42">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43">
    <w:name w:val="Char Char Char Char Char Char Char Char Char Char5"/>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2050"/>
    <customShpInfo spid="_x0000_s1086"/>
    <customShpInfo spid="_x0000_s1088"/>
    <customShpInfo spid="_x0000_s1084"/>
    <customShpInfo spid="_x0000_s1083"/>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AD3FD-DF38-48B1-9055-079A2C9CFD26}">
  <ds:schemaRefs/>
</ds:datastoreItem>
</file>

<file path=docProps/app.xml><?xml version="1.0" encoding="utf-8"?>
<Properties xmlns="http://schemas.openxmlformats.org/officeDocument/2006/extended-properties" xmlns:vt="http://schemas.openxmlformats.org/officeDocument/2006/docPropsVTypes">
  <Template>0</Template>
  <Company>ICOS</Company>
  <Pages>44</Pages>
  <Words>3287</Words>
  <Characters>18742</Characters>
  <Lines>156</Lines>
  <Paragraphs>43</Paragraphs>
  <TotalTime>35</TotalTime>
  <ScaleCrop>false</ScaleCrop>
  <LinksUpToDate>false</LinksUpToDate>
  <CharactersWithSpaces>21986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2020-08-05T02:45:13Z</dcterms:modified>
  <cp:revision>6106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