
<file path=[Content_Types].xml><?xml version="1.0" encoding="utf-8"?>
<Types xmlns="http://schemas.openxmlformats.org/package/2006/content-types">
  <Default Extension="xml" ContentType="application/xml"/>
  <Default Extension="png" ContentType="image/png"/>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Theme="majorEastAsia" w:hAnsiTheme="majorEastAsia" w:eastAsiaTheme="majorEastAsia" w:cstheme="majorEastAsia"/>
          <w:b/>
          <w:bCs/>
        </w:rPr>
      </w:pPr>
    </w:p>
    <w:p>
      <w:pPr>
        <w:rPr>
          <w:rFonts w:asciiTheme="majorEastAsia" w:hAnsiTheme="majorEastAsia" w:eastAsiaTheme="majorEastAsia" w:cstheme="majorEastAsia"/>
          <w:b/>
          <w:bCs/>
          <w:color w:val="000000"/>
          <w:sz w:val="30"/>
          <w:szCs w:val="30"/>
        </w:rPr>
      </w:pPr>
    </w:p>
    <w:tbl>
      <w:tblPr>
        <w:tblStyle w:val="16"/>
        <w:tblpPr w:leftFromText="187" w:rightFromText="187" w:vertAnchor="page" w:horzAnchor="page" w:tblpXSpec="center" w:tblpY="3123"/>
        <w:tblW w:w="8504" w:type="dxa"/>
        <w:jc w:val="center"/>
        <w:tblLayout w:type="fixed"/>
        <w:tblCellMar>
          <w:top w:w="0" w:type="dxa"/>
          <w:left w:w="144" w:type="dxa"/>
          <w:bottom w:w="0" w:type="dxa"/>
          <w:right w:w="115" w:type="dxa"/>
        </w:tblCellMar>
      </w:tblPr>
      <w:tblGrid>
        <w:gridCol w:w="8504"/>
      </w:tblGrid>
      <w:tr>
        <w:tblPrEx>
          <w:tblCellMar>
            <w:top w:w="0" w:type="dxa"/>
            <w:left w:w="144" w:type="dxa"/>
            <w:bottom w:w="0" w:type="dxa"/>
            <w:right w:w="115" w:type="dxa"/>
          </w:tblCellMar>
        </w:tblPrEx>
        <w:trPr>
          <w:jc w:val="center"/>
        </w:trPr>
        <w:tc>
          <w:tcPr>
            <w:tcW w:w="8504" w:type="dxa"/>
            <w:tcBorders>
              <w:tl2br w:val="nil"/>
              <w:tr2bl w:val="nil"/>
            </w:tcBorders>
            <w:tcMar>
              <w:top w:w="216" w:type="dxa"/>
              <w:left w:w="115" w:type="dxa"/>
              <w:bottom w:w="216" w:type="dxa"/>
              <w:right w:w="115" w:type="dxa"/>
            </w:tcMar>
            <w:vAlign w:val="center"/>
          </w:tcPr>
          <w:p>
            <w:pPr>
              <w:pStyle w:val="35"/>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贵州交建国储贸易有限公司花安高速燕楼服务区加油站二站建设项目</w:t>
            </w:r>
          </w:p>
        </w:tc>
      </w:tr>
      <w:tr>
        <w:tblPrEx>
          <w:tblCellMar>
            <w:top w:w="0" w:type="dxa"/>
            <w:left w:w="144" w:type="dxa"/>
            <w:bottom w:w="0" w:type="dxa"/>
            <w:right w:w="115" w:type="dxa"/>
          </w:tblCellMar>
        </w:tblPrEx>
        <w:trPr>
          <w:trHeight w:val="1163" w:hRule="atLeast"/>
          <w:jc w:val="center"/>
        </w:trPr>
        <w:tc>
          <w:tcPr>
            <w:tcW w:w="8504" w:type="dxa"/>
            <w:tcBorders>
              <w:tl2br w:val="nil"/>
              <w:tr2bl w:val="nil"/>
            </w:tcBorders>
            <w:vAlign w:val="center"/>
          </w:tcPr>
          <w:p>
            <w:pPr>
              <w:pStyle w:val="35"/>
              <w:spacing w:line="216" w:lineRule="auto"/>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zh-CN"/>
              </w:rPr>
              <w:t>竣工环境保护验收监测报告表</w:t>
            </w:r>
          </w:p>
        </w:tc>
      </w:tr>
    </w:tbl>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tbl>
      <w:tblPr>
        <w:tblStyle w:val="16"/>
        <w:tblW w:w="9071" w:type="dxa"/>
        <w:jc w:val="center"/>
        <w:tblLayout w:type="fixed"/>
        <w:tblCellMar>
          <w:top w:w="0" w:type="dxa"/>
          <w:left w:w="108" w:type="dxa"/>
          <w:bottom w:w="0" w:type="dxa"/>
          <w:right w:w="108" w:type="dxa"/>
        </w:tblCellMar>
      </w:tblPr>
      <w:tblGrid>
        <w:gridCol w:w="2220"/>
        <w:gridCol w:w="6851"/>
      </w:tblGrid>
      <w:tr>
        <w:tblPrEx>
          <w:tblCellMar>
            <w:top w:w="0" w:type="dxa"/>
            <w:left w:w="108" w:type="dxa"/>
            <w:bottom w:w="0" w:type="dxa"/>
            <w:right w:w="108" w:type="dxa"/>
          </w:tblCellMar>
        </w:tblPrEx>
        <w:trPr>
          <w:trHeight w:val="624" w:hRule="atLeast"/>
          <w:jc w:val="center"/>
        </w:trPr>
        <w:tc>
          <w:tcPr>
            <w:tcW w:w="2220" w:type="dxa"/>
            <w:vAlign w:val="center"/>
          </w:tcPr>
          <w:p>
            <w:pPr>
              <w:pStyle w:val="9"/>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lang w:eastAsia="zh-CN"/>
              </w:rPr>
              <w:t>建设项目</w:t>
            </w:r>
            <w:r>
              <w:rPr>
                <w:rFonts w:hint="eastAsia" w:asciiTheme="majorEastAsia" w:hAnsiTheme="majorEastAsia" w:eastAsiaTheme="majorEastAsia" w:cstheme="majorEastAsia"/>
                <w:b/>
                <w:bCs/>
                <w:snapToGrid w:val="0"/>
                <w:spacing w:val="6"/>
                <w:sz w:val="30"/>
                <w:szCs w:val="30"/>
              </w:rPr>
              <w:t>：</w:t>
            </w:r>
          </w:p>
        </w:tc>
        <w:tc>
          <w:tcPr>
            <w:tcW w:w="6851" w:type="dxa"/>
            <w:tcBorders>
              <w:top w:val="nil"/>
              <w:left w:val="nil"/>
              <w:bottom w:val="single" w:color="auto" w:sz="12" w:space="0"/>
              <w:right w:val="nil"/>
            </w:tcBorders>
            <w:vAlign w:val="center"/>
          </w:tcPr>
          <w:p>
            <w:pPr>
              <w:pStyle w:val="9"/>
              <w:widowControl/>
              <w:adjustRightInd w:val="0"/>
              <w:snapToGrid w:val="0"/>
              <w:ind w:left="3313" w:hanging="3313" w:hangingChars="1100"/>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贵州交建国储贸易有限公司花安高速燕楼服务区加油站二站</w:t>
            </w:r>
          </w:p>
        </w:tc>
      </w:tr>
      <w:tr>
        <w:tblPrEx>
          <w:tblCellMar>
            <w:top w:w="0" w:type="dxa"/>
            <w:left w:w="108" w:type="dxa"/>
            <w:bottom w:w="0" w:type="dxa"/>
            <w:right w:w="108" w:type="dxa"/>
          </w:tblCellMar>
        </w:tblPrEx>
        <w:trPr>
          <w:trHeight w:val="680" w:hRule="atLeast"/>
          <w:jc w:val="center"/>
        </w:trPr>
        <w:tc>
          <w:tcPr>
            <w:tcW w:w="2220" w:type="dxa"/>
            <w:vAlign w:val="center"/>
          </w:tcPr>
          <w:p>
            <w:pPr>
              <w:pStyle w:val="9"/>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建设单位：</w:t>
            </w:r>
          </w:p>
        </w:tc>
        <w:tc>
          <w:tcPr>
            <w:tcW w:w="6851" w:type="dxa"/>
            <w:tcBorders>
              <w:top w:val="single" w:color="auto" w:sz="12" w:space="0"/>
              <w:left w:val="nil"/>
              <w:bottom w:val="single" w:color="auto" w:sz="12" w:space="0"/>
              <w:right w:val="nil"/>
            </w:tcBorders>
            <w:vAlign w:val="center"/>
          </w:tcPr>
          <w:p>
            <w:pPr>
              <w:pStyle w:val="9"/>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贵州交建国储贸易有限公司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9"/>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w:t>
            </w:r>
            <w:r>
              <w:rPr>
                <w:rFonts w:hint="eastAsia" w:asciiTheme="majorEastAsia" w:hAnsiTheme="majorEastAsia" w:eastAsiaTheme="majorEastAsia" w:cstheme="majorEastAsia"/>
                <w:b/>
                <w:bCs/>
                <w:snapToGrid w:val="0"/>
                <w:spacing w:val="6"/>
                <w:sz w:val="30"/>
                <w:szCs w:val="30"/>
                <w:lang w:eastAsia="zh-CN"/>
              </w:rPr>
              <w:t>单位</w:t>
            </w:r>
            <w:r>
              <w:rPr>
                <w:rFonts w:hint="eastAsia" w:asciiTheme="majorEastAsia" w:hAnsiTheme="majorEastAsia" w:eastAsiaTheme="majorEastAsia" w:cstheme="majorEastAsia"/>
                <w:b/>
                <w:bCs/>
                <w:snapToGrid w:val="0"/>
                <w:spacing w:val="6"/>
                <w:sz w:val="30"/>
                <w:szCs w:val="30"/>
              </w:rPr>
              <w:t>：</w:t>
            </w:r>
          </w:p>
        </w:tc>
        <w:tc>
          <w:tcPr>
            <w:tcW w:w="6851" w:type="dxa"/>
            <w:tcBorders>
              <w:top w:val="single" w:color="auto" w:sz="12" w:space="0"/>
              <w:left w:val="nil"/>
              <w:bottom w:val="single" w:color="auto" w:sz="12" w:space="0"/>
              <w:right w:val="nil"/>
            </w:tcBorders>
            <w:vAlign w:val="center"/>
          </w:tcPr>
          <w:p>
            <w:pPr>
              <w:pStyle w:val="9"/>
              <w:widowControl/>
              <w:adjustRightInd w:val="0"/>
              <w:snapToGrid w:val="0"/>
              <w:jc w:val="distribute"/>
              <w:rPr>
                <w:rFonts w:hint="eastAsia" w:asciiTheme="majorEastAsia" w:hAnsiTheme="majorEastAsia" w:eastAsiaTheme="majorEastAsia" w:cstheme="majorEastAsia"/>
                <w:b/>
                <w:bCs/>
                <w:snapToGrid w:val="0"/>
                <w:sz w:val="30"/>
                <w:szCs w:val="30"/>
                <w:lang w:eastAsia="zh-CN"/>
              </w:rPr>
            </w:pPr>
            <w:r>
              <w:rPr>
                <w:rFonts w:hint="eastAsia" w:asciiTheme="majorEastAsia" w:hAnsiTheme="majorEastAsia" w:eastAsiaTheme="majorEastAsia" w:cstheme="majorEastAsia"/>
                <w:b/>
                <w:bCs/>
                <w:snapToGrid w:val="0"/>
                <w:sz w:val="30"/>
                <w:szCs w:val="30"/>
                <w:lang w:eastAsia="zh-CN"/>
              </w:rPr>
              <w:t>贵州明德工程咨询有限公司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9"/>
              <w:widowControl/>
              <w:adjustRightInd w:val="0"/>
              <w:snapToGrid w:val="0"/>
              <w:jc w:val="distribute"/>
              <w:rPr>
                <w:rFonts w:hint="default" w:asciiTheme="majorEastAsia" w:hAnsiTheme="majorEastAsia" w:eastAsiaTheme="majorEastAsia" w:cstheme="majorEastAsia"/>
                <w:b/>
                <w:bCs/>
                <w:snapToGrid w:val="0"/>
                <w:spacing w:val="6"/>
                <w:sz w:val="30"/>
                <w:szCs w:val="30"/>
                <w:lang w:val="en-US" w:eastAsia="zh-CN"/>
              </w:rPr>
            </w:pPr>
            <w:r>
              <w:rPr>
                <w:rFonts w:hint="eastAsia" w:asciiTheme="majorEastAsia" w:hAnsiTheme="majorEastAsia" w:eastAsiaTheme="majorEastAsia" w:cstheme="majorEastAsia"/>
                <w:b/>
                <w:bCs/>
                <w:snapToGrid w:val="0"/>
                <w:spacing w:val="6"/>
                <w:sz w:val="30"/>
                <w:szCs w:val="30"/>
                <w:lang w:eastAsia="zh-CN"/>
              </w:rPr>
              <w:t>编制时间：</w:t>
            </w:r>
            <w:r>
              <w:rPr>
                <w:rFonts w:hint="eastAsia" w:asciiTheme="majorEastAsia" w:hAnsiTheme="majorEastAsia" w:eastAsiaTheme="majorEastAsia" w:cstheme="majorEastAsia"/>
                <w:b/>
                <w:bCs/>
                <w:snapToGrid w:val="0"/>
                <w:spacing w:val="6"/>
                <w:sz w:val="30"/>
                <w:szCs w:val="30"/>
                <w:lang w:val="en-US" w:eastAsia="zh-CN"/>
              </w:rPr>
              <w:t xml:space="preserve"> </w:t>
            </w:r>
          </w:p>
        </w:tc>
        <w:tc>
          <w:tcPr>
            <w:tcW w:w="6851" w:type="dxa"/>
            <w:tcBorders>
              <w:top w:val="single" w:color="auto" w:sz="12" w:space="0"/>
              <w:left w:val="nil"/>
              <w:bottom w:val="nil"/>
              <w:right w:val="nil"/>
            </w:tcBorders>
            <w:vAlign w:val="center"/>
          </w:tcPr>
          <w:p>
            <w:pPr>
              <w:pStyle w:val="9"/>
              <w:widowControl/>
              <w:adjustRightInd w:val="0"/>
              <w:snapToGrid w:val="0"/>
              <w:jc w:val="distribute"/>
              <w:rPr>
                <w:rFonts w:hint="eastAsia" w:asciiTheme="majorEastAsia" w:hAnsiTheme="majorEastAsia" w:eastAsiaTheme="majorEastAsia" w:cstheme="majorEastAsia"/>
                <w:b/>
                <w:bCs/>
                <w:snapToGrid w:val="0"/>
                <w:sz w:val="32"/>
                <w:szCs w:val="32"/>
              </w:rPr>
            </w:pPr>
            <w:r>
              <w:rPr>
                <w:rFonts w:hint="eastAsia" w:asciiTheme="majorEastAsia" w:hAnsiTheme="majorEastAsia" w:eastAsiaTheme="majorEastAsia" w:cstheme="majorEastAsia"/>
                <w:b/>
                <w:bCs/>
                <w:snapToGrid w:val="0"/>
                <w:sz w:val="32"/>
                <w:szCs w:val="32"/>
              </w:rPr>
              <w:t>二〇二〇年七月</w:t>
            </w:r>
          </w:p>
        </w:tc>
      </w:tr>
    </w:tbl>
    <w:p>
      <w:pPr>
        <w:pStyle w:val="9"/>
        <w:rPr>
          <w:rFonts w:asciiTheme="minorEastAsia" w:hAnsiTheme="minorEastAsia" w:cstheme="minorEastAsia"/>
          <w:bCs/>
          <w:snapToGrid w:val="0"/>
          <w:spacing w:val="6"/>
          <w:sz w:val="30"/>
          <w:szCs w:val="30"/>
        </w:rPr>
        <w:sectPr>
          <w:footerReference r:id="rId3" w:type="default"/>
          <w:pgSz w:w="11906" w:h="16838"/>
          <w:pgMar w:top="1440" w:right="1417" w:bottom="1440" w:left="1417" w:header="851" w:footer="992" w:gutter="0"/>
          <w:pgNumType w:fmt="upperRoman" w:start="1"/>
          <w:cols w:space="720" w:num="1"/>
          <w:docGrid w:type="lines" w:linePitch="312" w:charSpace="0"/>
        </w:sectPr>
      </w:pPr>
    </w:p>
    <w:p>
      <w:pPr>
        <w:spacing w:line="360" w:lineRule="auto"/>
        <w:jc w:val="center"/>
        <w:rPr>
          <w:rFonts w:ascii="Times New Roman" w:hAnsi="Times New Roman" w:eastAsia="宋体" w:cs="Times New Roman"/>
          <w:b/>
          <w:bCs/>
          <w:sz w:val="44"/>
          <w:szCs w:val="44"/>
        </w:rPr>
      </w:pPr>
      <w:bookmarkStart w:id="0" w:name="_Toc7910"/>
      <w:r>
        <w:rPr>
          <w:rFonts w:ascii="Times New Roman" w:hAnsi="Times New Roman" w:eastAsia="宋体" w:cs="Times New Roman"/>
          <w:b/>
          <w:bCs/>
          <w:sz w:val="44"/>
          <w:szCs w:val="44"/>
        </w:rPr>
        <w:t>目 录</w:t>
      </w:r>
    </w:p>
    <w:p>
      <w:pPr>
        <w:spacing w:line="360" w:lineRule="auto"/>
        <w:jc w:val="left"/>
        <w:rPr>
          <w:rFonts w:ascii="Times New Roman" w:hAnsi="Times New Roman" w:eastAsia="宋体" w:cs="Times New Roman"/>
          <w:b/>
          <w:bCs/>
          <w:sz w:val="28"/>
          <w:szCs w:val="28"/>
        </w:rPr>
      </w:pPr>
    </w:p>
    <w:p>
      <w:pPr>
        <w:pStyle w:val="13"/>
        <w:tabs>
          <w:tab w:val="right" w:leader="dot" w:pos="9072"/>
        </w:tabs>
        <w:rPr>
          <w:rFonts w:ascii="Times New Roman" w:hAnsi="Times New Roman" w:cs="Times New Roman"/>
          <w:b/>
          <w:bCs/>
          <w:sz w:val="28"/>
          <w:szCs w:val="28"/>
        </w:rPr>
      </w:pPr>
      <w:r>
        <w:rPr>
          <w:rFonts w:ascii="Times New Roman" w:hAnsi="Times New Roman" w:eastAsia="宋体" w:cs="Times New Roman"/>
          <w:b/>
          <w:bCs/>
          <w:color w:val="FF0000"/>
          <w:sz w:val="28"/>
          <w:szCs w:val="28"/>
        </w:rPr>
        <w:fldChar w:fldCharType="begin"/>
      </w:r>
      <w:r>
        <w:rPr>
          <w:rFonts w:ascii="Times New Roman" w:hAnsi="Times New Roman" w:eastAsia="宋体" w:cs="Times New Roman"/>
          <w:b/>
          <w:bCs/>
          <w:color w:val="FF0000"/>
          <w:sz w:val="28"/>
          <w:szCs w:val="28"/>
        </w:rPr>
        <w:instrText xml:space="preserve">TOC \o "1-1" \h \u </w:instrText>
      </w:r>
      <w:r>
        <w:rPr>
          <w:rFonts w:ascii="Times New Roman" w:hAnsi="Times New Roman" w:eastAsia="宋体" w:cs="Times New Roman"/>
          <w:b/>
          <w:bCs/>
          <w:color w:val="FF0000"/>
          <w:sz w:val="28"/>
          <w:szCs w:val="28"/>
        </w:rPr>
        <w:fldChar w:fldCharType="separate"/>
      </w:r>
      <w:r>
        <w:fldChar w:fldCharType="begin"/>
      </w:r>
      <w:r>
        <w:instrText xml:space="preserve"> HYPERLINK \l "_Toc3212" </w:instrText>
      </w:r>
      <w:r>
        <w:fldChar w:fldCharType="separate"/>
      </w:r>
      <w:r>
        <w:rPr>
          <w:rFonts w:ascii="Times New Roman" w:hAnsi="Times New Roman" w:cs="Times New Roman"/>
          <w:b/>
          <w:bCs/>
          <w:sz w:val="28"/>
          <w:szCs w:val="28"/>
        </w:rPr>
        <w:t>表一  建设项目概况</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_Toc3212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"_Toc19974" </w:instrText>
      </w:r>
      <w:r>
        <w:fldChar w:fldCharType="separate"/>
      </w:r>
      <w:r>
        <w:rPr>
          <w:rFonts w:ascii="Times New Roman" w:hAnsi="Times New Roman" w:cs="Times New Roman"/>
          <w:b/>
          <w:bCs/>
          <w:sz w:val="28"/>
          <w:szCs w:val="28"/>
        </w:rPr>
        <w:t>表二  主要污染物的产生、治理措施</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_Toc19974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"_Toc10223" </w:instrText>
      </w:r>
      <w:r>
        <w:fldChar w:fldCharType="separate"/>
      </w:r>
      <w:r>
        <w:rPr>
          <w:rFonts w:ascii="Times New Roman" w:hAnsi="Times New Roman" w:cs="Times New Roman"/>
          <w:b/>
          <w:bCs/>
          <w:sz w:val="28"/>
          <w:szCs w:val="28"/>
        </w:rPr>
        <w:t>表三  环境影响评价报告表主要结论、建议及批复</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_Toc10223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16</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"_Toc22230" </w:instrText>
      </w:r>
      <w:r>
        <w:fldChar w:fldCharType="separate"/>
      </w:r>
      <w:r>
        <w:rPr>
          <w:rFonts w:ascii="Times New Roman" w:hAnsi="Times New Roman" w:cs="Times New Roman"/>
          <w:b/>
          <w:bCs/>
          <w:sz w:val="28"/>
          <w:szCs w:val="28"/>
        </w:rPr>
        <w:t>表四  验收监测标准</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_Toc22230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22</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"_Toc26604" </w:instrText>
      </w:r>
      <w:r>
        <w:fldChar w:fldCharType="separate"/>
      </w:r>
      <w:r>
        <w:rPr>
          <w:rFonts w:ascii="Times New Roman" w:hAnsi="Times New Roman" w:cs="Times New Roman"/>
          <w:b/>
          <w:bCs/>
          <w:sz w:val="28"/>
          <w:szCs w:val="28"/>
        </w:rPr>
        <w:t xml:space="preserve">表五  </w:t>
      </w:r>
      <w:r>
        <w:rPr>
          <w:rFonts w:ascii="Times New Roman" w:hAnsi="Times New Roman" w:eastAsia="宋体" w:cs="Times New Roman"/>
          <w:b/>
          <w:bCs/>
          <w:sz w:val="28"/>
          <w:szCs w:val="28"/>
        </w:rPr>
        <w:t>验收监测</w:t>
      </w:r>
      <w:r>
        <w:rPr>
          <w:rFonts w:ascii="Times New Roman" w:hAnsi="Times New Roman" w:cs="Times New Roman"/>
          <w:b/>
          <w:bCs/>
          <w:sz w:val="28"/>
          <w:szCs w:val="28"/>
        </w:rPr>
        <w:t>质量控制、</w:t>
      </w:r>
      <w:r>
        <w:rPr>
          <w:rFonts w:ascii="Times New Roman" w:hAnsi="Times New Roman" w:eastAsia="宋体" w:cs="Times New Roman"/>
          <w:b/>
          <w:bCs/>
          <w:sz w:val="28"/>
          <w:szCs w:val="28"/>
        </w:rPr>
        <w:t>监测内容</w:t>
      </w:r>
      <w:r>
        <w:rPr>
          <w:rFonts w:ascii="Times New Roman" w:hAnsi="Times New Roman" w:cs="Times New Roman"/>
          <w:b/>
          <w:bCs/>
          <w:sz w:val="28"/>
          <w:szCs w:val="28"/>
        </w:rPr>
        <w:t>及监测结果分析</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_Toc26604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23</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"_Toc8246" </w:instrText>
      </w:r>
      <w:r>
        <w:fldChar w:fldCharType="separate"/>
      </w:r>
      <w:r>
        <w:rPr>
          <w:rFonts w:ascii="Times New Roman" w:hAnsi="Times New Roman" w:cs="Times New Roman"/>
          <w:b/>
          <w:bCs/>
          <w:sz w:val="28"/>
          <w:szCs w:val="28"/>
        </w:rPr>
        <w:t>表六  验收监测内容</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_Toc8246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24</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"_Toc18169" </w:instrText>
      </w:r>
      <w:r>
        <w:fldChar w:fldCharType="separate"/>
      </w:r>
      <w:r>
        <w:rPr>
          <w:rFonts w:ascii="Times New Roman" w:hAnsi="Times New Roman" w:cs="Times New Roman"/>
          <w:b/>
          <w:bCs/>
          <w:sz w:val="28"/>
          <w:szCs w:val="28"/>
        </w:rPr>
        <w:t>表七  验收监测结果</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_Toc18169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"_Toc2044" </w:instrText>
      </w:r>
      <w:r>
        <w:fldChar w:fldCharType="separate"/>
      </w:r>
      <w:r>
        <w:rPr>
          <w:rFonts w:ascii="Times New Roman" w:hAnsi="Times New Roman" w:cs="Times New Roman"/>
          <w:b/>
          <w:bCs/>
          <w:sz w:val="28"/>
          <w:szCs w:val="28"/>
        </w:rPr>
        <w:t>表八  环境管理检查</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_Toc2044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"_Toc2089" </w:instrText>
      </w:r>
      <w:r>
        <w:fldChar w:fldCharType="separate"/>
      </w:r>
      <w:r>
        <w:rPr>
          <w:rFonts w:ascii="Times New Roman" w:hAnsi="Times New Roman" w:cs="Times New Roman"/>
          <w:b/>
          <w:bCs/>
          <w:sz w:val="28"/>
          <w:szCs w:val="28"/>
        </w:rPr>
        <w:t xml:space="preserve">表九  </w:t>
      </w:r>
      <w:r>
        <w:rPr>
          <w:rFonts w:ascii="Times New Roman" w:hAnsi="Times New Roman" w:eastAsia="宋体" w:cs="Times New Roman"/>
          <w:b/>
          <w:bCs/>
          <w:sz w:val="28"/>
          <w:szCs w:val="28"/>
        </w:rPr>
        <w:t>验收监测结论及建议</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_Toc2089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35</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sz w:val="28"/>
          <w:szCs w:val="28"/>
        </w:rPr>
      </w:pPr>
      <w:r>
        <w:fldChar w:fldCharType="begin"/>
      </w:r>
      <w:r>
        <w:instrText xml:space="preserve"> HYPERLINK \l "_Toc21693" </w:instrText>
      </w:r>
      <w:r>
        <w:fldChar w:fldCharType="separate"/>
      </w:r>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r>
        <w:rPr>
          <w:rFonts w:ascii="Times New Roman" w:hAnsi="Times New Roman" w:cs="Times New Roman"/>
          <w:b/>
          <w:bCs/>
          <w:sz w:val="28"/>
          <w:szCs w:val="28"/>
        </w:rPr>
        <w:t>、附图及附表</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_Toc21693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rPr>
          <w:rFonts w:ascii="Times New Roman" w:hAnsi="Times New Roman" w:eastAsia="宋体" w:cs="Times New Roman"/>
          <w:b/>
          <w:bCs/>
          <w:sz w:val="28"/>
          <w:szCs w:val="28"/>
        </w:rPr>
      </w:pPr>
      <w:r>
        <w:rPr>
          <w:rFonts w:ascii="Times New Roman" w:hAnsi="Times New Roman" w:eastAsia="宋体" w:cs="Times New Roman"/>
          <w:bCs/>
          <w:color w:val="FF0000"/>
          <w:sz w:val="28"/>
          <w:szCs w:val="28"/>
        </w:rPr>
        <w:fldChar w:fldCharType="end"/>
      </w:r>
    </w:p>
    <w:p>
      <w:bookmarkStart w:id="1" w:name="_Toc12054"/>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tabs>
          <w:tab w:val="center" w:pos="4536"/>
        </w:tabs>
        <w:jc w:val="left"/>
        <w:rPr>
          <w:rFonts w:ascii="Times New Roman" w:hAnsi="Times New Roman" w:cs="Times New Roman"/>
        </w:rPr>
        <w:sectPr>
          <w:headerReference r:id="rId4" w:type="default"/>
          <w:footerReference r:id="rId5" w:type="default"/>
          <w:pgSz w:w="11906" w:h="16838"/>
          <w:pgMar w:top="1440" w:right="1417" w:bottom="1440" w:left="1417" w:header="851" w:footer="992" w:gutter="0"/>
          <w:pgNumType w:fmt="upperRoman" w:start="1"/>
          <w:cols w:space="720" w:num="1"/>
          <w:docGrid w:type="lines" w:linePitch="312" w:charSpace="0"/>
        </w:sectPr>
      </w:pPr>
    </w:p>
    <w:p>
      <w:pPr>
        <w:pStyle w:val="2"/>
        <w:rPr>
          <w:rFonts w:ascii="Times New Roman" w:hAnsi="Times New Roman"/>
        </w:rPr>
      </w:pPr>
      <w:bookmarkStart w:id="2" w:name="_Toc3212"/>
      <w:r>
        <w:rPr>
          <w:rFonts w:ascii="Times New Roman" w:hAnsi="Times New Roman"/>
        </w:rPr>
        <w:t>表一</w:t>
      </w:r>
      <w:bookmarkEnd w:id="0"/>
      <w:bookmarkEnd w:id="1"/>
      <w:r>
        <w:rPr>
          <w:rFonts w:ascii="Times New Roman" w:hAnsi="Times New Roman"/>
        </w:rPr>
        <w:t xml:space="preserve">  建设项目概况</w:t>
      </w:r>
      <w:bookmarkEnd w:id="2"/>
    </w:p>
    <w:tbl>
      <w:tblPr>
        <w:tblStyle w:val="17"/>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1534"/>
        <w:gridCol w:w="1121"/>
        <w:gridCol w:w="934"/>
        <w:gridCol w:w="1288"/>
        <w:gridCol w:w="1337"/>
        <w:gridCol w:w="778"/>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宋体" w:hAnsi="宋体"/>
                <w:sz w:val="24"/>
              </w:rPr>
              <w:t>贵州交建国储贸易有限公司花安高速燕楼服务区加油站</w:t>
            </w:r>
            <w:r>
              <w:rPr>
                <w:rFonts w:hint="eastAsia" w:ascii="宋体" w:hAnsi="宋体"/>
                <w:sz w:val="24"/>
                <w:lang w:eastAsia="zh-CN"/>
              </w:rPr>
              <w:t>二</w:t>
            </w:r>
            <w:r>
              <w:rPr>
                <w:rFonts w:hint="eastAsia" w:ascii="宋体" w:hAnsi="宋体"/>
                <w:sz w:val="24"/>
              </w:rPr>
              <w:t>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建设单位名称</w:t>
            </w:r>
          </w:p>
        </w:tc>
        <w:tc>
          <w:tcPr>
            <w:tcW w:w="7610" w:type="dxa"/>
            <w:gridSpan w:val="7"/>
            <w:vAlign w:val="center"/>
          </w:tcPr>
          <w:p>
            <w:pPr>
              <w:spacing w:line="360" w:lineRule="auto"/>
              <w:ind w:firstLine="1680" w:firstLineChars="700"/>
              <w:rPr>
                <w:rFonts w:ascii="Times New Roman" w:hAnsi="Times New Roman" w:eastAsia="宋体" w:cs="Times New Roman"/>
                <w:sz w:val="24"/>
              </w:rPr>
            </w:pPr>
            <w:r>
              <w:rPr>
                <w:rFonts w:hint="eastAsia" w:ascii="宋体" w:hAnsi="宋体"/>
                <w:sz w:val="24"/>
              </w:rPr>
              <w:t>贵州交建国储贸易有限公司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296" w:type="dxa"/>
            <w:vAlign w:val="center"/>
          </w:tcPr>
          <w:p>
            <w:pPr>
              <w:spacing w:line="312" w:lineRule="auto"/>
              <w:jc w:val="center"/>
              <w:rPr>
                <w:rFonts w:ascii="Times New Roman" w:hAnsi="Times New Roman" w:eastAsia="宋体" w:cs="Times New Roman"/>
                <w:sz w:val="24"/>
              </w:rPr>
            </w:pPr>
            <w:r>
              <w:rPr>
                <w:rFonts w:ascii="Times New Roman" w:hAnsi="Times New Roman" w:cs="Times New Roman"/>
                <w:sz w:val="24"/>
              </w:rPr>
              <w:t>建设项目性质</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建设地点</w:t>
            </w:r>
          </w:p>
        </w:tc>
        <w:tc>
          <w:tcPr>
            <w:tcW w:w="7610" w:type="dxa"/>
            <w:gridSpan w:val="7"/>
            <w:vAlign w:val="center"/>
          </w:tcPr>
          <w:p>
            <w:pPr>
              <w:spacing w:line="360" w:lineRule="auto"/>
              <w:rPr>
                <w:rFonts w:ascii="Times New Roman" w:hAnsi="Times New Roman" w:eastAsia="宋体" w:cs="Times New Roman"/>
                <w:sz w:val="24"/>
              </w:rPr>
            </w:pPr>
            <w:r>
              <w:rPr>
                <w:rFonts w:hint="eastAsia"/>
                <w:sz w:val="24"/>
              </w:rPr>
              <w:t xml:space="preserve"> </w:t>
            </w:r>
            <w:r>
              <w:rPr>
                <w:sz w:val="24"/>
              </w:rPr>
              <w:t xml:space="preserve">     </w:t>
            </w:r>
            <w:r>
              <w:rPr>
                <w:rFonts w:hint="eastAsia"/>
                <w:sz w:val="24"/>
              </w:rPr>
              <w:t>花安高速燕楼服务区</w:t>
            </w:r>
            <w:r>
              <w:rPr>
                <w:sz w:val="24"/>
              </w:rPr>
              <w:t>B</w:t>
            </w:r>
            <w:r>
              <w:rPr>
                <w:rFonts w:hint="eastAsia"/>
                <w:sz w:val="24"/>
              </w:rPr>
              <w:t>场地（贵阳市花溪区燕楼乡）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主要产品名称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设计生产能力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实际生产能力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建设项目环评时间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20</w:t>
            </w:r>
            <w:r>
              <w:rPr>
                <w:rFonts w:hint="eastAsia" w:ascii="Times New Roman" w:hAnsi="Times New Roman" w:cs="Times New Roman"/>
                <w:sz w:val="24"/>
              </w:rPr>
              <w:t>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开工建设时间</w:t>
            </w:r>
          </w:p>
        </w:tc>
        <w:tc>
          <w:tcPr>
            <w:tcW w:w="2733" w:type="dxa"/>
            <w:gridSpan w:val="3"/>
            <w:vAlign w:val="center"/>
          </w:tcPr>
          <w:p>
            <w:pPr>
              <w:spacing w:line="360" w:lineRule="auto"/>
              <w:jc w:val="center"/>
              <w:rPr>
                <w:rFonts w:ascii="Times New Roman" w:hAnsi="Times New Roman" w:eastAsia="宋体" w:cs="Times New Roman"/>
                <w:sz w:val="24"/>
              </w:rPr>
            </w:pPr>
            <w:r>
              <w:rPr>
                <w:rFonts w:hint="eastAsia" w:ascii="Times New Roman" w:hAnsi="Times New Roman" w:cs="Times New Roman"/>
                <w:color w:val="auto"/>
                <w:sz w:val="24"/>
              </w:rPr>
              <w:t>2018</w:t>
            </w:r>
            <w:r>
              <w:rPr>
                <w:rFonts w:ascii="Times New Roman" w:hAnsi="Times New Roman" w:cs="Times New Roman"/>
                <w:color w:val="auto"/>
                <w:sz w:val="24"/>
              </w:rPr>
              <w:t>年</w:t>
            </w:r>
            <w:r>
              <w:rPr>
                <w:rFonts w:hint="eastAsia" w:ascii="Times New Roman" w:hAnsi="Times New Roman" w:cs="Times New Roman"/>
                <w:color w:val="auto"/>
                <w:sz w:val="24"/>
              </w:rPr>
              <w:t>04</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投入试生产时间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hint="eastAsia" w:ascii="Times New Roman" w:hAnsi="Times New Roman" w:cs="Times New Roman"/>
                <w:color w:val="auto"/>
                <w:sz w:val="24"/>
              </w:rPr>
              <w:t>2018</w:t>
            </w:r>
            <w:r>
              <w:rPr>
                <w:rFonts w:ascii="Times New Roman" w:hAnsi="Times New Roman" w:cs="Times New Roman"/>
                <w:color w:val="auto"/>
                <w:sz w:val="24"/>
              </w:rPr>
              <w:t>年</w:t>
            </w:r>
            <w:r>
              <w:rPr>
                <w:rFonts w:hint="eastAsia" w:ascii="Times New Roman" w:hAnsi="Times New Roman" w:cs="Times New Roman"/>
                <w:color w:val="auto"/>
                <w:sz w:val="24"/>
              </w:rPr>
              <w:t>07</w:t>
            </w:r>
            <w:r>
              <w:rPr>
                <w:rFonts w:ascii="Times New Roman" w:hAnsi="Times New Roman" w:cs="Times New Roman"/>
                <w:color w:val="auto"/>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验收监测时间</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20</w:t>
            </w:r>
            <w:r>
              <w:rPr>
                <w:rFonts w:hint="eastAsia" w:ascii="Times New Roman" w:hAnsi="Times New Roman" w:cs="Times New Roman"/>
                <w:sz w:val="24"/>
              </w:rPr>
              <w:t>20</w:t>
            </w:r>
            <w:r>
              <w:rPr>
                <w:rFonts w:ascii="Times New Roman" w:hAnsi="Times New Roman" w:cs="Times New Roman"/>
                <w:sz w:val="24"/>
              </w:rPr>
              <w:t>年06月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eastAsia="宋体" w:cs="Times New Roman"/>
                <w:sz w:val="24"/>
              </w:rPr>
            </w:pPr>
            <w:r>
              <w:rPr>
                <w:rFonts w:ascii="Times New Roman" w:hAnsi="Times New Roman" w:cs="Times New Roman"/>
                <w:sz w:val="24"/>
              </w:rPr>
              <w:t>环评报告表审批部门</w:t>
            </w:r>
          </w:p>
        </w:tc>
        <w:tc>
          <w:tcPr>
            <w:tcW w:w="2655" w:type="dxa"/>
            <w:gridSpan w:val="2"/>
            <w:vAlign w:val="center"/>
          </w:tcPr>
          <w:p>
            <w:pPr>
              <w:jc w:val="center"/>
              <w:rPr>
                <w:rFonts w:ascii="Times New Roman" w:hAnsi="Times New Roman" w:eastAsia="宋体" w:cs="Times New Roman"/>
                <w:color w:val="FF0000"/>
                <w:sz w:val="24"/>
              </w:rPr>
            </w:pPr>
            <w:r>
              <w:rPr>
                <w:rFonts w:hint="eastAsia" w:ascii="Times New Roman" w:hAnsi="Times New Roman" w:cs="Times New Roman"/>
                <w:color w:val="auto"/>
                <w:sz w:val="24"/>
              </w:rPr>
              <w:t>贵阳市花溪区环境保护局</w:t>
            </w:r>
          </w:p>
        </w:tc>
        <w:tc>
          <w:tcPr>
            <w:tcW w:w="2222"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环评报告表编制单位</w:t>
            </w:r>
          </w:p>
        </w:tc>
        <w:tc>
          <w:tcPr>
            <w:tcW w:w="2733" w:type="dxa"/>
            <w:gridSpan w:val="3"/>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国环宏博（北京）节能环保科技有限公司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环保设施设计单位</w:t>
            </w:r>
          </w:p>
        </w:tc>
        <w:tc>
          <w:tcPr>
            <w:tcW w:w="26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w:t>
            </w:r>
          </w:p>
        </w:tc>
        <w:tc>
          <w:tcPr>
            <w:tcW w:w="2222"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环保设施施工单位</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投资总概算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环保投资总概算</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56</w:t>
            </w:r>
            <w:r>
              <w:rPr>
                <w:rFonts w:ascii="Times New Roman" w:hAnsi="Times New Roman" w:cs="Times New Roman"/>
                <w:sz w:val="24"/>
              </w:rPr>
              <w:t>.3</w:t>
            </w:r>
            <w:r>
              <w:rPr>
                <w:rFonts w:hint="eastAsia" w:ascii="Times New Roman" w:hAnsi="Times New Roman" w:cs="Times New Roman"/>
                <w:sz w:val="24"/>
              </w:rPr>
              <w:t>万元</w:t>
            </w:r>
          </w:p>
        </w:tc>
        <w:tc>
          <w:tcPr>
            <w:tcW w:w="1337" w:type="dxa"/>
            <w:vAlign w:val="center"/>
          </w:tcPr>
          <w:p>
            <w:pPr>
              <w:jc w:val="center"/>
              <w:rPr>
                <w:rFonts w:ascii="Times New Roman" w:hAnsi="Times New Roman" w:eastAsia="宋体"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hint="eastAsia" w:ascii="Times New Roman" w:hAnsi="Times New Roman" w:cs="Times New Roman"/>
                <w:sz w:val="24"/>
              </w:rPr>
              <w:t>14.07</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实际总概算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56.3</w:t>
            </w:r>
            <w:r>
              <w:rPr>
                <w:rFonts w:ascii="Times New Roman" w:hAnsi="Times New Roman" w:cs="Times New Roman"/>
                <w:sz w:val="24"/>
              </w:rPr>
              <w:t>万元</w:t>
            </w:r>
          </w:p>
        </w:tc>
        <w:tc>
          <w:tcPr>
            <w:tcW w:w="1337" w:type="dxa"/>
            <w:vAlign w:val="center"/>
          </w:tcPr>
          <w:p>
            <w:pPr>
              <w:jc w:val="center"/>
              <w:rPr>
                <w:rFonts w:ascii="Times New Roman" w:hAnsi="Times New Roman"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1</w:t>
            </w:r>
            <w:r>
              <w:rPr>
                <w:rFonts w:hint="eastAsia" w:ascii="Times New Roman" w:hAnsi="Times New Roman" w:cs="Times New Roman"/>
                <w:sz w:val="24"/>
              </w:rPr>
              <w:t>4.07</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1"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验收监测依据</w:t>
            </w:r>
          </w:p>
        </w:tc>
        <w:tc>
          <w:tcPr>
            <w:tcW w:w="7610" w:type="dxa"/>
            <w:gridSpan w:val="7"/>
            <w:vAlign w:val="center"/>
          </w:tcPr>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（1）中华人民共和国国务院令，（2017）第682号《建设项目环境保护管理条例》；</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（2）国环规环评[2017]4号文《建设项目竣工环境保护验收暂行办法》。</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（3）生态环境部2018年第9号公告《建设项目竣工环境保护验收技术指南 污染影响类》；</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（4）国家环境保护总局 环发[2000] 38号文《建设项目环境保护设施竣工验收监测技术要求（试行）》</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（5）贵州省环境保护条例，2009年3月26日；</w:t>
            </w:r>
          </w:p>
          <w:p>
            <w:pPr>
              <w:adjustRightInd w:val="0"/>
              <w:snapToGrid w:val="0"/>
              <w:spacing w:line="360" w:lineRule="auto"/>
              <w:jc w:val="left"/>
              <w:rPr>
                <w:rFonts w:ascii="Times New Roman" w:hAnsi="Times New Roman" w:eastAsia="宋体" w:cs="Times New Roman"/>
                <w:sz w:val="24"/>
              </w:rPr>
            </w:pPr>
            <w:r>
              <w:rPr>
                <w:rFonts w:ascii="Times New Roman" w:hAnsi="Times New Roman" w:cs="Times New Roman"/>
                <w:sz w:val="24"/>
              </w:rPr>
              <w:t>（6）</w:t>
            </w:r>
            <w:r>
              <w:rPr>
                <w:rFonts w:ascii="Times New Roman" w:hAnsi="Times New Roman" w:eastAsia="宋体" w:cs="Times New Roman"/>
                <w:sz w:val="24"/>
              </w:rPr>
              <w:t>《</w:t>
            </w:r>
            <w:r>
              <w:rPr>
                <w:rFonts w:hint="eastAsia" w:ascii="宋体" w:hAnsi="宋体" w:cs="宋体"/>
                <w:b w:val="0"/>
                <w:bCs/>
                <w:sz w:val="24"/>
              </w:rPr>
              <w:t>贵州交建国储贸易有限公司花安高速燕楼服务区加油站二站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p>
          <w:p>
            <w:pPr>
              <w:adjustRightInd w:val="0"/>
              <w:snapToGrid w:val="0"/>
              <w:spacing w:line="288" w:lineRule="auto"/>
              <w:jc w:val="left"/>
              <w:rPr>
                <w:rFonts w:ascii="Times New Roman" w:hAnsi="Times New Roman" w:eastAsia="宋体" w:cs="Times New Roman"/>
                <w:sz w:val="24"/>
              </w:rPr>
            </w:pPr>
            <w:r>
              <w:rPr>
                <w:rFonts w:ascii="Times New Roman" w:hAnsi="Times New Roman" w:eastAsia="宋体" w:cs="Times New Roman"/>
                <w:sz w:val="24"/>
              </w:rPr>
              <w:t>（</w:t>
            </w:r>
            <w:r>
              <w:rPr>
                <w:rFonts w:ascii="Times New Roman" w:hAnsi="Times New Roman" w:cs="Times New Roman"/>
                <w:sz w:val="24"/>
              </w:rPr>
              <w:t>7</w:t>
            </w:r>
            <w:r>
              <w:rPr>
                <w:rFonts w:ascii="Times New Roman" w:hAnsi="Times New Roman" w:eastAsia="宋体" w:cs="Times New Roman"/>
                <w:sz w:val="24"/>
              </w:rPr>
              <w:t>）</w:t>
            </w:r>
            <w:r>
              <w:rPr>
                <w:rFonts w:ascii="Times New Roman" w:hAnsi="Times New Roman" w:cs="Times New Roman"/>
                <w:sz w:val="24"/>
              </w:rPr>
              <w:t>20</w:t>
            </w:r>
            <w:r>
              <w:rPr>
                <w:rFonts w:hint="eastAsia" w:ascii="Times New Roman" w:hAnsi="Times New Roman" w:cs="Times New Roman"/>
                <w:sz w:val="24"/>
              </w:rPr>
              <w:t>17</w:t>
            </w:r>
            <w:r>
              <w:rPr>
                <w:rFonts w:ascii="Times New Roman" w:hAnsi="Times New Roman" w:cs="Times New Roman"/>
                <w:sz w:val="24"/>
              </w:rPr>
              <w:t>年</w:t>
            </w:r>
            <w:r>
              <w:rPr>
                <w:rFonts w:hint="eastAsia" w:ascii="Times New Roman" w:hAnsi="Times New Roman" w:cs="Times New Roman"/>
                <w:sz w:val="24"/>
              </w:rPr>
              <w:t>03</w:t>
            </w:r>
            <w:r>
              <w:rPr>
                <w:rFonts w:ascii="Times New Roman" w:hAnsi="Times New Roman" w:cs="Times New Roman"/>
                <w:sz w:val="24"/>
              </w:rPr>
              <w:t>月</w:t>
            </w:r>
            <w:r>
              <w:rPr>
                <w:rFonts w:hint="eastAsia" w:ascii="Times New Roman" w:hAnsi="Times New Roman" w:cs="Times New Roman"/>
                <w:sz w:val="24"/>
              </w:rPr>
              <w:t>20</w:t>
            </w:r>
            <w:r>
              <w:rPr>
                <w:rFonts w:ascii="Times New Roman" w:hAnsi="Times New Roman" w:cs="Times New Roman"/>
                <w:sz w:val="24"/>
              </w:rPr>
              <w:t>日</w:t>
            </w:r>
            <w:r>
              <w:rPr>
                <w:rFonts w:hint="eastAsia" w:ascii="Times New Roman" w:hAnsi="Times New Roman" w:cs="Times New Roman"/>
                <w:sz w:val="24"/>
              </w:rPr>
              <w:t>贵阳市花溪区生态环境</w:t>
            </w:r>
            <w:r>
              <w:rPr>
                <w:rFonts w:ascii="Times New Roman" w:hAnsi="Times New Roman" w:cs="Times New Roman"/>
                <w:sz w:val="24"/>
              </w:rPr>
              <w:t>局</w:t>
            </w:r>
            <w:r>
              <w:rPr>
                <w:rFonts w:ascii="Times New Roman" w:hAnsi="Times New Roman" w:eastAsia="宋体" w:cs="Times New Roman"/>
                <w:sz w:val="24"/>
              </w:rPr>
              <w:t>对《</w:t>
            </w:r>
            <w:r>
              <w:rPr>
                <w:rFonts w:hint="eastAsia" w:ascii="宋体" w:hAnsi="宋体" w:cs="宋体"/>
                <w:b w:val="0"/>
                <w:bCs/>
                <w:sz w:val="24"/>
              </w:rPr>
              <w:t>贵州交建国储贸易有限公司花安高速燕楼服务区加油站</w:t>
            </w:r>
            <w:r>
              <w:rPr>
                <w:rFonts w:hint="eastAsia" w:ascii="宋体" w:hAnsi="宋体" w:cs="宋体"/>
                <w:b w:val="0"/>
                <w:bCs/>
                <w:sz w:val="24"/>
                <w:lang w:eastAsia="zh-CN"/>
              </w:rPr>
              <w:t>二</w:t>
            </w:r>
            <w:r>
              <w:rPr>
                <w:rFonts w:hint="eastAsia" w:ascii="宋体" w:hAnsi="宋体" w:cs="宋体"/>
                <w:b w:val="0"/>
                <w:bCs/>
                <w:sz w:val="24"/>
              </w:rPr>
              <w:t>站</w:t>
            </w:r>
            <w:r>
              <w:rPr>
                <w:rFonts w:ascii="Times New Roman" w:hAnsi="Times New Roman" w:cs="Times New Roman"/>
                <w:spacing w:val="-4"/>
                <w:kern w:val="0"/>
                <w:sz w:val="24"/>
              </w:rPr>
              <w:t>环境影响报告表</w:t>
            </w:r>
            <w:r>
              <w:rPr>
                <w:rFonts w:ascii="Times New Roman" w:hAnsi="Times New Roman" w:eastAsia="宋体" w:cs="Times New Roman"/>
                <w:sz w:val="24"/>
              </w:rPr>
              <w:t>》的</w:t>
            </w:r>
            <w:r>
              <w:rPr>
                <w:rFonts w:hint="eastAsia" w:ascii="Times New Roman" w:hAnsi="Times New Roman" w:eastAsia="宋体" w:cs="Times New Roman"/>
                <w:sz w:val="24"/>
              </w:rPr>
              <w:t>批复，批复文号：花环表字[2017]52号</w:t>
            </w: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验收监测评价标准、标号、级别</w:t>
            </w:r>
          </w:p>
        </w:tc>
        <w:tc>
          <w:tcPr>
            <w:tcW w:w="7610" w:type="dxa"/>
            <w:gridSpan w:val="7"/>
            <w:vAlign w:val="center"/>
          </w:tcPr>
          <w:p>
            <w:pPr>
              <w:adjustRightInd w:val="0"/>
              <w:snapToGrid w:val="0"/>
              <w:spacing w:line="360" w:lineRule="auto"/>
              <w:jc w:val="left"/>
              <w:rPr>
                <w:rFonts w:ascii="Times New Roman" w:hAnsi="Times New Roman" w:eastAsia="宋体" w:cs="Times New Roman"/>
                <w:b w:val="0"/>
                <w:bCs/>
                <w:sz w:val="24"/>
              </w:rPr>
            </w:pPr>
            <w:r>
              <w:rPr>
                <w:rFonts w:ascii="Times New Roman" w:hAnsi="Times New Roman" w:cs="Times New Roman"/>
                <w:b w:val="0"/>
                <w:bCs w:val="0"/>
                <w:sz w:val="24"/>
              </w:rPr>
              <w:t>根据《</w:t>
            </w:r>
            <w:r>
              <w:rPr>
                <w:rFonts w:hint="eastAsia" w:ascii="宋体" w:hAnsi="宋体" w:cs="宋体"/>
                <w:b w:val="0"/>
                <w:bCs w:val="0"/>
                <w:sz w:val="24"/>
              </w:rPr>
              <w:t>贵州交建国储贸易有限公司花安高速燕楼服务区加油站</w:t>
            </w:r>
            <w:r>
              <w:rPr>
                <w:rFonts w:hint="eastAsia" w:ascii="宋体" w:hAnsi="宋体" w:cs="宋体"/>
                <w:b w:val="0"/>
                <w:bCs w:val="0"/>
                <w:sz w:val="24"/>
                <w:lang w:eastAsia="zh-CN"/>
              </w:rPr>
              <w:t>二</w:t>
            </w:r>
            <w:r>
              <w:rPr>
                <w:rFonts w:hint="eastAsia" w:ascii="宋体" w:hAnsi="宋体" w:cs="宋体"/>
                <w:b w:val="0"/>
                <w:bCs w:val="0"/>
                <w:sz w:val="24"/>
              </w:rPr>
              <w:t>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r>
              <w:rPr>
                <w:rFonts w:ascii="Times New Roman" w:hAnsi="Times New Roman" w:cs="Times New Roman"/>
                <w:b/>
                <w:bCs/>
                <w:sz w:val="24"/>
              </w:rPr>
              <w:t>，</w:t>
            </w:r>
            <w:r>
              <w:rPr>
                <w:rFonts w:hint="eastAsia" w:ascii="宋体" w:hAnsi="宋体" w:cs="宋体"/>
                <w:b w:val="0"/>
                <w:bCs/>
                <w:sz w:val="24"/>
              </w:rPr>
              <w:t>贵州交建国储贸易有限公司花安高速燕楼服务区加油站</w:t>
            </w:r>
            <w:r>
              <w:rPr>
                <w:rFonts w:hint="eastAsia" w:ascii="宋体" w:hAnsi="宋体" w:cs="宋体"/>
                <w:b w:val="0"/>
                <w:bCs/>
                <w:sz w:val="24"/>
                <w:lang w:eastAsia="zh-CN"/>
              </w:rPr>
              <w:t>二</w:t>
            </w:r>
            <w:r>
              <w:rPr>
                <w:rFonts w:hint="eastAsia" w:ascii="Times New Roman" w:hAnsi="Times New Roman" w:cs="Times New Roman"/>
                <w:b w:val="0"/>
                <w:bCs/>
                <w:kern w:val="0"/>
                <w:sz w:val="24"/>
              </w:rPr>
              <w:t>站建设项目</w:t>
            </w:r>
            <w:r>
              <w:rPr>
                <w:rFonts w:ascii="Times New Roman" w:hAnsi="Times New Roman" w:cs="Times New Roman"/>
                <w:b w:val="0"/>
                <w:bCs/>
                <w:sz w:val="24"/>
              </w:rPr>
              <w:t>环境保护验收执行标准如下：</w:t>
            </w:r>
          </w:p>
          <w:p>
            <w:pPr>
              <w:pStyle w:val="20"/>
              <w:ind w:firstLine="480"/>
              <w:jc w:val="both"/>
            </w:pPr>
            <w:r>
              <w:rPr>
                <w:rFonts w:hint="eastAsia"/>
              </w:rPr>
              <w:t>废水：</w:t>
            </w:r>
            <w:r>
              <w:rPr>
                <w:rFonts w:hAnsi="宋体"/>
                <w:szCs w:val="24"/>
              </w:rPr>
              <w:t>《城市污水再生利用</w:t>
            </w:r>
            <w:r>
              <w:rPr>
                <w:szCs w:val="24"/>
              </w:rPr>
              <w:t xml:space="preserve"> </w:t>
            </w:r>
            <w:r>
              <w:rPr>
                <w:rFonts w:hAnsi="宋体"/>
                <w:szCs w:val="24"/>
              </w:rPr>
              <w:t>城市杂用水水质》</w:t>
            </w:r>
            <w:r>
              <w:rPr>
                <w:rFonts w:hint="eastAsia" w:hAnsi="宋体"/>
                <w:szCs w:val="24"/>
              </w:rPr>
              <w:t>（</w:t>
            </w:r>
            <w:r>
              <w:rPr>
                <w:szCs w:val="24"/>
              </w:rPr>
              <w:t>GB/T18920-2002</w:t>
            </w:r>
            <w:r>
              <w:rPr>
                <w:rFonts w:hint="eastAsia"/>
                <w:szCs w:val="24"/>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废气：《大气污染物综合排放标准》（GB16297-1996）</w:t>
            </w:r>
            <w:r>
              <w:rPr>
                <w:rFonts w:hint="eastAsia" w:ascii="Times New Roman" w:hAnsi="Times New Roman" w:cs="Times New Roman"/>
                <w:sz w:val="24"/>
              </w:rPr>
              <w:t xml:space="preserve"> 表2中排放</w:t>
            </w:r>
            <w:r>
              <w:rPr>
                <w:rFonts w:ascii="Times New Roman" w:hAnsi="Times New Roman" w:cs="Times New Roman"/>
                <w:sz w:val="24"/>
              </w:rPr>
              <w:t>限值；</w:t>
            </w:r>
            <w:r>
              <w:rPr>
                <w:rFonts w:hint="eastAsia"/>
                <w:snapToGrid w:val="0"/>
                <w:kern w:val="0"/>
                <w:sz w:val="24"/>
              </w:rPr>
              <w:t>油气回收系统执行</w:t>
            </w:r>
            <w:r>
              <w:rPr>
                <w:rFonts w:hint="eastAsia"/>
                <w:sz w:val="24"/>
              </w:rPr>
              <w:t>《加油站大气污染物排放标准》（GB20952-2007）中要求</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噪声：《工业企业厂界环境噪声排放标准》（GB12348</w:t>
            </w:r>
            <w:r>
              <w:rPr>
                <w:rFonts w:hint="eastAsia" w:ascii="Times New Roman" w:hAnsi="Times New Roman" w:cs="Times New Roman"/>
                <w:sz w:val="24"/>
              </w:rPr>
              <w:t>-</w:t>
            </w:r>
            <w:r>
              <w:rPr>
                <w:rFonts w:ascii="Times New Roman" w:hAnsi="Times New Roman" w:cs="Times New Roman"/>
                <w:sz w:val="24"/>
              </w:rPr>
              <w:t>2008）</w:t>
            </w:r>
            <w:r>
              <w:rPr>
                <w:rFonts w:hint="eastAsia" w:ascii="Times New Roman" w:hAnsi="Times New Roman" w:cs="Times New Roman"/>
                <w:sz w:val="24"/>
              </w:rPr>
              <w:t>2</w:t>
            </w:r>
            <w:r>
              <w:rPr>
                <w:rFonts w:ascii="Times New Roman" w:hAnsi="Times New Roman" w:cs="Times New Roman"/>
                <w:sz w:val="24"/>
              </w:rPr>
              <w:t>类</w:t>
            </w:r>
            <w:r>
              <w:rPr>
                <w:rFonts w:hint="eastAsia" w:ascii="Times New Roman" w:hAnsi="Times New Roman" w:cs="Times New Roman"/>
                <w:sz w:val="24"/>
              </w:rPr>
              <w:t>及</w:t>
            </w:r>
            <w:r>
              <w:rPr>
                <w:rFonts w:hint="eastAsia" w:ascii="Times New Roman" w:hAnsi="Times New Roman" w:cs="Times New Roman"/>
                <w:color w:val="auto"/>
                <w:sz w:val="24"/>
              </w:rPr>
              <w:t>4a</w:t>
            </w:r>
            <w:r>
              <w:rPr>
                <w:rFonts w:hint="eastAsia" w:ascii="Times New Roman" w:hAnsi="Times New Roman" w:cs="Times New Roman"/>
                <w:sz w:val="24"/>
              </w:rPr>
              <w:t>类</w:t>
            </w:r>
            <w:r>
              <w:rPr>
                <w:rFonts w:ascii="Times New Roman" w:hAnsi="Times New Roman" w:cs="Times New Roman"/>
                <w:sz w:val="24"/>
              </w:rPr>
              <w:t>标准；</w:t>
            </w:r>
          </w:p>
          <w:p>
            <w:pPr>
              <w:wordWrap w:val="0"/>
              <w:spacing w:line="360" w:lineRule="auto"/>
              <w:ind w:firstLine="480" w:firstLineChars="200"/>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8" w:type="dxa"/>
          <w:trHeight w:val="13557" w:hRule="atLeast"/>
          <w:jc w:val="center"/>
        </w:trPr>
        <w:tc>
          <w:tcPr>
            <w:tcW w:w="9288" w:type="dxa"/>
            <w:gridSpan w:val="7"/>
          </w:tcPr>
          <w:p>
            <w:pPr>
              <w:spacing w:line="360" w:lineRule="auto"/>
              <w:outlineLvl w:val="0"/>
              <w:rPr>
                <w:rFonts w:ascii="Times New Roman" w:hAnsi="Times New Roman" w:cs="Times New Roman"/>
                <w:b/>
                <w:sz w:val="28"/>
                <w:szCs w:val="28"/>
              </w:rPr>
            </w:pPr>
            <w:bookmarkStart w:id="3" w:name="_Toc26766"/>
            <w:r>
              <w:rPr>
                <w:rFonts w:ascii="Times New Roman" w:hAnsi="Times New Roman" w:eastAsia="宋体" w:cs="Times New Roman"/>
                <w:b/>
                <w:sz w:val="28"/>
                <w:szCs w:val="28"/>
              </w:rPr>
              <w:br w:type="page"/>
            </w:r>
            <w:bookmarkStart w:id="4" w:name="_Toc15299"/>
            <w:bookmarkStart w:id="5" w:name="_Toc26698"/>
            <w:bookmarkStart w:id="6" w:name="_Toc22276"/>
            <w:bookmarkStart w:id="7" w:name="_Toc9958"/>
            <w:bookmarkStart w:id="8" w:name="_Toc22272"/>
            <w:r>
              <w:rPr>
                <w:rFonts w:ascii="Times New Roman" w:hAnsi="Times New Roman" w:cs="Times New Roman"/>
                <w:b/>
                <w:sz w:val="28"/>
                <w:szCs w:val="28"/>
              </w:rPr>
              <w:t>1.1 项目概况及验收任务由来</w:t>
            </w:r>
            <w:bookmarkEnd w:id="4"/>
            <w:bookmarkEnd w:id="5"/>
            <w:bookmarkEnd w:id="6"/>
            <w:bookmarkEnd w:id="7"/>
          </w:p>
          <w:p>
            <w:pPr>
              <w:spacing w:line="360" w:lineRule="auto"/>
              <w:ind w:firstLine="480" w:firstLineChars="200"/>
              <w:rPr>
                <w:rFonts w:ascii="Times New Roman" w:hAnsi="Times New Roman" w:cs="Times New Roman"/>
                <w:sz w:val="24"/>
              </w:rPr>
            </w:pPr>
            <w:r>
              <w:rPr>
                <w:rFonts w:hint="eastAsia"/>
                <w:sz w:val="24"/>
              </w:rPr>
              <w:t>近年来，随着中国国民经济的快速发展、机动车保有量的快速增加，交通基础设施建设的全面推进，现有社会对成品油的需求量持续呈上涨趋势，加油站已成为交通基础设施中不可或缺的一部分，</w:t>
            </w:r>
            <w:r>
              <w:rPr>
                <w:sz w:val="24"/>
              </w:rPr>
              <w:t>在</w:t>
            </w:r>
            <w:r>
              <w:rPr>
                <w:rFonts w:hint="eastAsia" w:ascii="宋体" w:hAnsi="宋体"/>
                <w:sz w:val="24"/>
              </w:rPr>
              <w:t>花溪至安顺高速公路北侧燕楼服务区</w:t>
            </w:r>
            <w:r>
              <w:rPr>
                <w:sz w:val="24"/>
              </w:rPr>
              <w:t>规范经营加油站，可保障</w:t>
            </w:r>
            <w:r>
              <w:rPr>
                <w:rFonts w:hint="eastAsia"/>
                <w:sz w:val="24"/>
              </w:rPr>
              <w:t>花安</w:t>
            </w:r>
            <w:r>
              <w:rPr>
                <w:sz w:val="24"/>
              </w:rPr>
              <w:t>高速沿线的车辆用油需求，为周边地区区域交通提供便利，有利于地方社会经济的发展</w:t>
            </w:r>
            <w:r>
              <w:rPr>
                <w:rFonts w:hint="eastAsia"/>
                <w:sz w:val="24"/>
              </w:rPr>
              <w:t>,</w:t>
            </w:r>
            <w:r>
              <w:rPr>
                <w:sz w:val="24"/>
              </w:rPr>
              <w:t>有利于地方建设的安全和稳定；</w:t>
            </w:r>
            <w:r>
              <w:rPr>
                <w:rFonts w:hint="eastAsia" w:ascii="Times New Roman" w:hAnsi="Times New Roman" w:cs="Times New Roman"/>
                <w:sz w:val="24"/>
              </w:rPr>
              <w:t>该项目由贵州交建国储贸易有限公司投资建设。</w:t>
            </w:r>
            <w:r>
              <w:rPr>
                <w:rFonts w:hint="eastAsia"/>
                <w:color w:val="000000"/>
                <w:sz w:val="24"/>
              </w:rPr>
              <w:t>项目</w:t>
            </w:r>
            <w:r>
              <w:rPr>
                <w:rFonts w:hint="eastAsia"/>
                <w:sz w:val="24"/>
              </w:rPr>
              <w:t>设有50m</w:t>
            </w:r>
            <w:r>
              <w:rPr>
                <w:rFonts w:hint="eastAsia"/>
                <w:sz w:val="24"/>
                <w:vertAlign w:val="superscript"/>
              </w:rPr>
              <w:t>3</w:t>
            </w:r>
            <w:r>
              <w:rPr>
                <w:rFonts w:hint="eastAsia"/>
                <w:sz w:val="24"/>
              </w:rPr>
              <w:t>汽油储罐4个，其中95</w:t>
            </w:r>
            <w:r>
              <w:rPr>
                <w:rFonts w:hint="eastAsia"/>
                <w:sz w:val="24"/>
                <w:vertAlign w:val="superscript"/>
              </w:rPr>
              <w:t>#</w:t>
            </w:r>
            <w:r>
              <w:rPr>
                <w:rFonts w:hint="eastAsia"/>
                <w:sz w:val="24"/>
              </w:rPr>
              <w:t>汽油储罐1个、92</w:t>
            </w:r>
            <w:r>
              <w:rPr>
                <w:rFonts w:hint="eastAsia"/>
                <w:sz w:val="24"/>
                <w:vertAlign w:val="superscript"/>
              </w:rPr>
              <w:t>#</w:t>
            </w:r>
            <w:r>
              <w:rPr>
                <w:rFonts w:hint="eastAsia"/>
                <w:sz w:val="24"/>
              </w:rPr>
              <w:t>汽油储罐1个、0</w:t>
            </w:r>
            <w:r>
              <w:rPr>
                <w:rFonts w:hint="eastAsia"/>
                <w:sz w:val="24"/>
                <w:vertAlign w:val="superscript"/>
              </w:rPr>
              <w:t>#</w:t>
            </w:r>
            <w:r>
              <w:rPr>
                <w:rFonts w:hint="eastAsia"/>
                <w:sz w:val="24"/>
              </w:rPr>
              <w:t>柴油储罐2个，总罐容200m</w:t>
            </w:r>
            <w:r>
              <w:rPr>
                <w:rFonts w:hint="eastAsia"/>
                <w:sz w:val="24"/>
                <w:vertAlign w:val="superscript"/>
              </w:rPr>
              <w:t>3</w:t>
            </w:r>
            <w:r>
              <w:rPr>
                <w:rFonts w:hint="eastAsia"/>
                <w:sz w:val="24"/>
              </w:rPr>
              <w:t>，计算容积为150m</w:t>
            </w:r>
            <w:r>
              <w:rPr>
                <w:rFonts w:hint="eastAsia"/>
                <w:sz w:val="24"/>
                <w:vertAlign w:val="superscript"/>
              </w:rPr>
              <w:t>3</w:t>
            </w:r>
            <w:r>
              <w:rPr>
                <w:rFonts w:hint="eastAsia"/>
                <w:sz w:val="24"/>
              </w:rPr>
              <w:t>（柴油容积折半），为埋式卧地油罐；设置6台潜泵式双油双枪加油机，同时设置卸油和加油油气回收系统。根据《汽车加油加气站设计与施工规范》</w:t>
            </w:r>
            <w:r>
              <w:rPr>
                <w:bCs/>
                <w:kern w:val="0"/>
                <w:sz w:val="24"/>
              </w:rPr>
              <w:t>（GB 50156-20</w:t>
            </w:r>
            <w:r>
              <w:rPr>
                <w:rFonts w:hint="eastAsia"/>
                <w:bCs/>
                <w:kern w:val="0"/>
                <w:sz w:val="24"/>
              </w:rPr>
              <w:t>1</w:t>
            </w:r>
            <w:r>
              <w:rPr>
                <w:bCs/>
                <w:kern w:val="0"/>
                <w:sz w:val="24"/>
              </w:rPr>
              <w:t>2）</w:t>
            </w:r>
            <w:r>
              <w:rPr>
                <w:rFonts w:hint="eastAsia"/>
                <w:bCs/>
                <w:kern w:val="0"/>
                <w:sz w:val="24"/>
              </w:rPr>
              <w:t>规定，</w:t>
            </w:r>
            <w:r>
              <w:rPr>
                <w:sz w:val="24"/>
              </w:rPr>
              <w:t>属二级加油站。项目生活设施依托于现有服务区，不设食宿，</w:t>
            </w:r>
            <w:r>
              <w:rPr>
                <w:rFonts w:hint="eastAsia"/>
                <w:sz w:val="24"/>
              </w:rPr>
              <w:t>仅设置便利店于站房内</w:t>
            </w:r>
            <w:r>
              <w:rPr>
                <w:sz w:val="24"/>
              </w:rPr>
              <w:t>。</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宋体" w:hAnsi="宋体" w:cs="宋体"/>
                <w:b w:val="0"/>
                <w:bCs/>
                <w:sz w:val="24"/>
              </w:rPr>
              <w:t>贵州交建国储贸易有限公司花安高速燕楼服务区加油站二站</w:t>
            </w:r>
            <w:r>
              <w:rPr>
                <w:rFonts w:ascii="Times New Roman" w:hAnsi="Times New Roman" w:cs="Times New Roman"/>
                <w:spacing w:val="-4"/>
                <w:kern w:val="0"/>
                <w:sz w:val="24"/>
              </w:rPr>
              <w:t>环境影响报告表</w:t>
            </w:r>
            <w:r>
              <w:rPr>
                <w:rFonts w:ascii="Times New Roman" w:hAnsi="Times New Roman" w:cs="Times New Roman"/>
                <w:sz w:val="24"/>
              </w:rPr>
              <w:t>》，并于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03</w:t>
            </w:r>
            <w:r>
              <w:rPr>
                <w:rFonts w:ascii="Times New Roman" w:hAnsi="Times New Roman" w:cs="Times New Roman"/>
                <w:sz w:val="24"/>
              </w:rPr>
              <w:t>月</w:t>
            </w:r>
            <w:r>
              <w:rPr>
                <w:rFonts w:hint="eastAsia" w:ascii="Times New Roman" w:hAnsi="Times New Roman" w:cs="Times New Roman"/>
                <w:sz w:val="24"/>
              </w:rPr>
              <w:t>20</w:t>
            </w:r>
            <w:r>
              <w:rPr>
                <w:rFonts w:ascii="Times New Roman" w:hAnsi="Times New Roman" w:cs="Times New Roman"/>
                <w:sz w:val="24"/>
              </w:rPr>
              <w:t>日取得</w:t>
            </w:r>
            <w:r>
              <w:rPr>
                <w:rFonts w:hint="eastAsia" w:ascii="Times New Roman" w:hAnsi="Times New Roman" w:cs="Times New Roman"/>
                <w:sz w:val="24"/>
              </w:rPr>
              <w:t>贵阳市花溪区环境保护</w:t>
            </w:r>
            <w:r>
              <w:rPr>
                <w:rFonts w:ascii="Times New Roman" w:hAnsi="Times New Roman" w:cs="Times New Roman"/>
                <w:sz w:val="24"/>
              </w:rPr>
              <w:t>局对《</w:t>
            </w:r>
            <w:r>
              <w:rPr>
                <w:rFonts w:hint="eastAsia" w:ascii="宋体" w:hAnsi="宋体" w:cs="宋体"/>
                <w:b w:val="0"/>
                <w:bCs/>
                <w:sz w:val="24"/>
              </w:rPr>
              <w:t>贵州交建国储贸易有限公司花安高速燕楼服务区加油站</w:t>
            </w:r>
            <w:r>
              <w:rPr>
                <w:rFonts w:hint="eastAsia" w:ascii="宋体" w:hAnsi="宋体" w:cs="宋体"/>
                <w:b w:val="0"/>
                <w:bCs/>
                <w:sz w:val="24"/>
                <w:lang w:eastAsia="zh-CN"/>
              </w:rPr>
              <w:t>二</w:t>
            </w:r>
            <w:r>
              <w:rPr>
                <w:rFonts w:hint="eastAsia" w:ascii="宋体" w:hAnsi="宋体" w:cs="宋体"/>
                <w:b w:val="0"/>
                <w:bCs/>
                <w:sz w:val="24"/>
              </w:rPr>
              <w:t>站</w:t>
            </w:r>
            <w:r>
              <w:rPr>
                <w:rFonts w:ascii="Times New Roman" w:hAnsi="Times New Roman" w:cs="Times New Roman"/>
                <w:spacing w:val="-4"/>
                <w:kern w:val="0"/>
                <w:sz w:val="24"/>
              </w:rPr>
              <w:t>环境影响报告表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花环表字[2017]52号。</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根据《中华人民共和国环境保护法》及其相关的法律和法规的规定和要求，</w:t>
            </w:r>
            <w:r>
              <w:rPr>
                <w:rFonts w:hint="eastAsia" w:ascii="宋体" w:hAnsi="宋体" w:cs="宋体"/>
                <w:b w:val="0"/>
                <w:bCs/>
                <w:sz w:val="24"/>
              </w:rPr>
              <w:t>贵州交建国储贸易有限公司花安高速燕楼服务区加油站</w:t>
            </w:r>
            <w:r>
              <w:rPr>
                <w:rFonts w:hint="eastAsia" w:ascii="宋体" w:hAnsi="宋体" w:cs="宋体"/>
                <w:b w:val="0"/>
                <w:bCs/>
                <w:sz w:val="24"/>
                <w:lang w:eastAsia="zh-CN"/>
              </w:rPr>
              <w:t>二</w:t>
            </w:r>
            <w:r>
              <w:rPr>
                <w:rFonts w:hint="eastAsia" w:ascii="宋体" w:hAnsi="宋体" w:cs="宋体"/>
                <w:b w:val="0"/>
                <w:bCs/>
                <w:sz w:val="24"/>
              </w:rPr>
              <w:t>站</w:t>
            </w:r>
            <w:r>
              <w:rPr>
                <w:rFonts w:hint="eastAsia" w:ascii="Times New Roman" w:hAnsi="Times New Roman" w:eastAsia="宋体" w:cs="Times New Roman"/>
                <w:sz w:val="24"/>
              </w:rPr>
              <w:t>委托第三方检测公司（贵州明德工程咨询有限公司）</w:t>
            </w:r>
            <w:r>
              <w:rPr>
                <w:rFonts w:ascii="Times New Roman" w:hAnsi="Times New Roman" w:cs="Times New Roman"/>
                <w:sz w:val="24"/>
              </w:rPr>
              <w:t>对</w:t>
            </w:r>
            <w:r>
              <w:rPr>
                <w:rFonts w:hint="eastAsia" w:ascii="宋体" w:hAnsi="宋体" w:cs="宋体"/>
                <w:b w:val="0"/>
                <w:bCs/>
                <w:sz w:val="24"/>
              </w:rPr>
              <w:t>贵州交建国储贸易有限公司花安高速燕楼服务区加油站二站</w:t>
            </w:r>
            <w:r>
              <w:rPr>
                <w:rFonts w:hint="eastAsia" w:ascii="Times New Roman" w:hAnsi="Times New Roman" w:eastAsia="宋体" w:cs="Times New Roman"/>
                <w:sz w:val="24"/>
              </w:rPr>
              <w:t>建设项目</w:t>
            </w:r>
            <w:r>
              <w:rPr>
                <w:rFonts w:ascii="Times New Roman" w:hAnsi="Times New Roman" w:cs="Times New Roman"/>
                <w:sz w:val="24"/>
              </w:rPr>
              <w:t>进行竣工环境保护验收监测</w:t>
            </w:r>
            <w:r>
              <w:rPr>
                <w:rFonts w:hint="eastAsia" w:ascii="Times New Roman" w:hAnsi="Times New Roman" w:cs="Times New Roman"/>
                <w:b w:val="0"/>
                <w:bCs w:val="0"/>
                <w:sz w:val="24"/>
              </w:rPr>
              <w:t>。</w:t>
            </w:r>
            <w:r>
              <w:rPr>
                <w:rFonts w:hint="eastAsia" w:ascii="宋体" w:hAnsi="宋体" w:cs="宋体"/>
                <w:b w:val="0"/>
                <w:bCs w:val="0"/>
                <w:sz w:val="24"/>
              </w:rPr>
              <w:t>贵州</w:t>
            </w:r>
            <w:r>
              <w:rPr>
                <w:rFonts w:hint="eastAsia" w:ascii="宋体" w:hAnsi="宋体" w:cs="宋体"/>
                <w:b w:val="0"/>
                <w:bCs w:val="0"/>
                <w:sz w:val="24"/>
                <w:lang w:eastAsia="zh-CN"/>
              </w:rPr>
              <w:t>明德工程咨询有限公司</w:t>
            </w:r>
            <w:r>
              <w:rPr>
                <w:rFonts w:hint="eastAsia" w:ascii="Times New Roman" w:hAnsi="Times New Roman" w:cs="Times New Roman"/>
                <w:b w:val="0"/>
                <w:bCs w:val="0"/>
                <w:sz w:val="24"/>
              </w:rPr>
              <w:t>根据</w:t>
            </w:r>
            <w:r>
              <w:rPr>
                <w:rFonts w:hint="eastAsia" w:ascii="Times New Roman" w:hAnsi="Times New Roman" w:cs="Times New Roman"/>
                <w:b w:val="0"/>
                <w:bCs w:val="0"/>
                <w:sz w:val="24"/>
                <w:lang w:eastAsia="zh-CN"/>
              </w:rPr>
              <w:t>现场监测数据及实验室</w:t>
            </w:r>
            <w:r>
              <w:rPr>
                <w:rFonts w:hint="eastAsia" w:ascii="Times New Roman" w:hAnsi="Times New Roman" w:cs="Times New Roman"/>
                <w:b w:val="0"/>
                <w:bCs w:val="0"/>
                <w:sz w:val="24"/>
              </w:rPr>
              <w:t>验收</w:t>
            </w:r>
            <w:r>
              <w:rPr>
                <w:rFonts w:hint="eastAsia" w:ascii="Times New Roman" w:hAnsi="Times New Roman" w:cs="Times New Roman"/>
                <w:b w:val="0"/>
                <w:bCs w:val="0"/>
                <w:sz w:val="24"/>
                <w:lang w:eastAsia="zh-CN"/>
              </w:rPr>
              <w:t>检测</w:t>
            </w:r>
            <w:r>
              <w:rPr>
                <w:rFonts w:hint="eastAsia" w:ascii="Times New Roman" w:hAnsi="Times New Roman" w:cs="Times New Roman"/>
                <w:b w:val="0"/>
                <w:bCs w:val="0"/>
                <w:sz w:val="24"/>
              </w:rPr>
              <w:t>数据，并结合</w:t>
            </w:r>
            <w:r>
              <w:rPr>
                <w:rFonts w:hint="eastAsia" w:ascii="宋体" w:hAnsi="宋体" w:cs="宋体"/>
                <w:b w:val="0"/>
                <w:bCs w:val="0"/>
                <w:sz w:val="24"/>
              </w:rPr>
              <w:t>贵州交建国储贸易有限公司花安高速燕楼服务区加油站二站</w:t>
            </w:r>
            <w:r>
              <w:rPr>
                <w:rFonts w:hint="eastAsia" w:ascii="Times New Roman" w:hAnsi="Times New Roman" w:cs="Times New Roman"/>
                <w:sz w:val="24"/>
              </w:rPr>
              <w:t>建设项目相关</w:t>
            </w:r>
            <w:r>
              <w:rPr>
                <w:rFonts w:ascii="Times New Roman" w:hAnsi="Times New Roman" w:cs="Times New Roman"/>
                <w:sz w:val="24"/>
              </w:rPr>
              <w:t>资料</w:t>
            </w:r>
            <w:r>
              <w:rPr>
                <w:rFonts w:hint="eastAsia" w:ascii="Times New Roman" w:hAnsi="Times New Roman" w:cs="Times New Roman"/>
                <w:sz w:val="24"/>
              </w:rPr>
              <w:t>的</w:t>
            </w:r>
            <w:r>
              <w:rPr>
                <w:rFonts w:ascii="Times New Roman" w:hAnsi="Times New Roman" w:cs="Times New Roman"/>
                <w:sz w:val="24"/>
              </w:rPr>
              <w:t>基础上编制</w:t>
            </w:r>
            <w:r>
              <w:rPr>
                <w:rFonts w:hint="eastAsia" w:ascii="Times New Roman" w:hAnsi="Times New Roman" w:cs="Times New Roman"/>
                <w:sz w:val="24"/>
              </w:rPr>
              <w:t>完成了</w:t>
            </w:r>
            <w:r>
              <w:rPr>
                <w:rFonts w:ascii="Times New Roman" w:hAnsi="Times New Roman" w:cs="Times New Roman"/>
                <w:sz w:val="24"/>
              </w:rPr>
              <w:t>本次</w:t>
            </w:r>
            <w:r>
              <w:rPr>
                <w:rFonts w:hint="eastAsia" w:ascii="Times New Roman" w:hAnsi="Times New Roman" w:cs="Times New Roman"/>
                <w:sz w:val="24"/>
              </w:rPr>
              <w:t>环保</w:t>
            </w:r>
            <w:r>
              <w:rPr>
                <w:rFonts w:ascii="Times New Roman" w:hAnsi="Times New Roman" w:cs="Times New Roman"/>
                <w:sz w:val="24"/>
              </w:rPr>
              <w:t>验收监测报告。</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1.2 本次验收监测范围</w:t>
            </w:r>
          </w:p>
          <w:p>
            <w:pPr>
              <w:spacing w:line="360" w:lineRule="auto"/>
              <w:ind w:firstLine="480" w:firstLineChars="200"/>
              <w:rPr>
                <w:rFonts w:ascii="Times New Roman" w:hAnsi="Times New Roman" w:cs="Times New Roman"/>
                <w:sz w:val="24"/>
              </w:rPr>
            </w:pPr>
            <w:r>
              <w:rPr>
                <w:rFonts w:hint="eastAsia" w:ascii="宋体" w:hAnsi="宋体" w:cs="宋体"/>
                <w:b w:val="0"/>
                <w:bCs/>
                <w:sz w:val="24"/>
              </w:rPr>
              <w:t>贵州交建国储贸易有限公司花安高速燕楼服务区加油站二站</w:t>
            </w:r>
            <w:r>
              <w:rPr>
                <w:rFonts w:hint="eastAsia" w:ascii="Times New Roman" w:hAnsi="Times New Roman" w:cs="Times New Roman"/>
                <w:sz w:val="24"/>
              </w:rPr>
              <w:t>建设项目</w:t>
            </w:r>
            <w:r>
              <w:rPr>
                <w:rFonts w:ascii="Times New Roman" w:hAnsi="Times New Roman" w:cs="Times New Roman"/>
                <w:sz w:val="24"/>
              </w:rPr>
              <w:t>的主体工程、辅助及公用工程、环保工程。</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1.3 本次验收监测主要内容</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废水排放；</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废气排放监测；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厂界环境噪声排放监测；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固体废弃物处置情况检查；</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风险事故防范与应急措施检查</w:t>
            </w:r>
            <w:r>
              <w:rPr>
                <w:rFonts w:hint="eastAsia" w:ascii="Times New Roman" w:hAnsi="Times New Roman" w:cs="Times New Roman"/>
                <w:bCs/>
                <w:sz w:val="24"/>
              </w:rPr>
              <w:t>。</w:t>
            </w:r>
          </w:p>
          <w:p>
            <w:pPr>
              <w:spacing w:line="360" w:lineRule="auto"/>
              <w:rPr>
                <w:rFonts w:ascii="Times New Roman" w:hAnsi="Times New Roman" w:cs="Times New Roman"/>
                <w:bCs/>
                <w:sz w:val="24"/>
              </w:rPr>
            </w:pPr>
            <w:r>
              <w:rPr>
                <w:rFonts w:ascii="Times New Roman" w:hAnsi="Times New Roman" w:cs="Times New Roman"/>
                <w:b/>
                <w:sz w:val="28"/>
                <w:szCs w:val="28"/>
              </w:rPr>
              <w:t>1.4 项目地理位置</w:t>
            </w:r>
          </w:p>
          <w:p>
            <w:pPr>
              <w:tabs>
                <w:tab w:val="left" w:pos="624"/>
              </w:tabs>
              <w:spacing w:line="360" w:lineRule="auto"/>
              <w:ind w:firstLine="480"/>
              <w:rPr>
                <w:sz w:val="24"/>
              </w:rPr>
            </w:pPr>
            <w:r>
              <w:rPr>
                <w:sz w:val="24"/>
              </w:rPr>
              <w:t>项目位于</w:t>
            </w:r>
            <w:r>
              <w:rPr>
                <w:rFonts w:hint="eastAsia"/>
                <w:sz w:val="24"/>
              </w:rPr>
              <w:t>花安高速燕楼服务区</w:t>
            </w:r>
            <w:r>
              <w:rPr>
                <w:sz w:val="24"/>
              </w:rPr>
              <w:t>B</w:t>
            </w:r>
            <w:r>
              <w:rPr>
                <w:rFonts w:hint="eastAsia"/>
                <w:sz w:val="24"/>
              </w:rPr>
              <w:t>场地（贵阳市花溪区燕楼乡）。项目北面、西面为山坡；南面与在花安高速（花溪至安顺）相邻、西侧与花安高速燕楼服务区相邻，本项目周边环境敏感点主要为项目东南面、南面110m处的种家井及东北侧530m处的中间院，西侧560m处的羊洞。本项目地理位置为东经106</w:t>
            </w:r>
            <w:r>
              <w:rPr>
                <w:rFonts w:hint="eastAsia"/>
                <w:sz w:val="24"/>
                <w:vertAlign w:val="superscript"/>
              </w:rPr>
              <w:t>0</w:t>
            </w:r>
            <w:r>
              <w:rPr>
                <w:rFonts w:hint="eastAsia"/>
                <w:sz w:val="24"/>
              </w:rPr>
              <w:t>27</w:t>
            </w:r>
            <w:r>
              <w:rPr>
                <w:rFonts w:hint="eastAsia"/>
                <w:sz w:val="24"/>
                <w:vertAlign w:val="superscript"/>
              </w:rPr>
              <w:t>/</w:t>
            </w:r>
            <w:r>
              <w:rPr>
                <w:sz w:val="24"/>
              </w:rPr>
              <w:t>—</w:t>
            </w:r>
            <w:r>
              <w:rPr>
                <w:rFonts w:ascii="Times New Roman" w:hAnsi="Times New Roman" w:eastAsia="宋体" w:cs="Times New Roman"/>
                <w:sz w:val="24"/>
                <w:shd w:val="clear" w:color="auto" w:fill="FFFFFF"/>
              </w:rPr>
              <w:t>106°52′</w:t>
            </w:r>
            <w:r>
              <w:rPr>
                <w:rFonts w:hint="eastAsia"/>
                <w:sz w:val="24"/>
              </w:rPr>
              <w:t>，北纬</w:t>
            </w:r>
            <w:r>
              <w:rPr>
                <w:rFonts w:ascii="Times New Roman" w:hAnsi="Times New Roman" w:eastAsia="宋体" w:cs="Times New Roman"/>
                <w:sz w:val="24"/>
                <w:shd w:val="clear" w:color="auto" w:fill="FFFFFF"/>
              </w:rPr>
              <w:t>26°11′—26°34′</w:t>
            </w:r>
            <w:r>
              <w:rPr>
                <w:rFonts w:hint="eastAsia" w:ascii="Times New Roman" w:hAnsi="Times New Roman" w:eastAsia="宋体" w:cs="Times New Roman"/>
                <w:sz w:val="24"/>
              </w:rPr>
              <w:t>；</w:t>
            </w:r>
            <w:r>
              <w:rPr>
                <w:rFonts w:ascii="Times New Roman" w:hAnsi="Times New Roman" w:eastAsia="宋体" w:cs="Times New Roman"/>
                <w:sz w:val="24"/>
              </w:rPr>
              <w:t>项目所在地详见附图1</w:t>
            </w:r>
            <w:r>
              <w:rPr>
                <w:rFonts w:hint="eastAsia" w:ascii="Times New Roman" w:hAnsi="Times New Roman" w:eastAsia="宋体" w:cs="Times New Roman"/>
                <w:sz w:val="24"/>
              </w:rPr>
              <w:t>，</w:t>
            </w:r>
            <w:r>
              <w:rPr>
                <w:rFonts w:hint="eastAsia"/>
                <w:sz w:val="24"/>
              </w:rPr>
              <w:t>项目周边环境敏感点详见“</w:t>
            </w:r>
            <w:r>
              <w:rPr>
                <w:rFonts w:hint="eastAsia"/>
                <w:bCs/>
                <w:sz w:val="24"/>
              </w:rPr>
              <w:t>附图2 项目周边环境敏感点分布图</w:t>
            </w:r>
            <w:r>
              <w:rPr>
                <w:rFonts w:hint="eastAsia"/>
                <w:sz w:val="24"/>
              </w:rPr>
              <w:t>”。</w:t>
            </w:r>
          </w:p>
          <w:p>
            <w:pPr>
              <w:kinsoku w:val="0"/>
              <w:overflowPunct w:val="0"/>
              <w:topLinePunct/>
              <w:autoSpaceDE w:val="0"/>
              <w:autoSpaceDN w:val="0"/>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1.5 项目基本情况</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项目名称：</w:t>
            </w:r>
            <w:r>
              <w:rPr>
                <w:rFonts w:hint="eastAsia" w:ascii="宋体" w:hAnsi="宋体"/>
                <w:sz w:val="24"/>
              </w:rPr>
              <w:t>贵州交建国储贸易有限公司花安高速燕楼服务区加油站二站</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项目性质：新建</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建设地点：</w:t>
            </w:r>
            <w:r>
              <w:rPr>
                <w:rFonts w:hint="eastAsia"/>
                <w:sz w:val="24"/>
              </w:rPr>
              <w:t>花安高速燕楼服务区</w:t>
            </w:r>
            <w:r>
              <w:rPr>
                <w:sz w:val="24"/>
              </w:rPr>
              <w:t>B</w:t>
            </w:r>
            <w:r>
              <w:rPr>
                <w:rFonts w:hint="eastAsia"/>
                <w:sz w:val="24"/>
              </w:rPr>
              <w:t>场地（贵阳市花溪区燕楼乡）</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000000"/>
                <w:sz w:val="24"/>
              </w:rPr>
              <w:t>建设规模：</w:t>
            </w:r>
            <w:r>
              <w:rPr>
                <w:sz w:val="24"/>
              </w:rPr>
              <w:t>项目规模为</w:t>
            </w:r>
            <w:r>
              <w:rPr>
                <w:rFonts w:hint="eastAsia"/>
                <w:sz w:val="24"/>
              </w:rPr>
              <w:t>50m</w:t>
            </w:r>
            <w:r>
              <w:rPr>
                <w:rFonts w:hint="eastAsia"/>
                <w:sz w:val="24"/>
                <w:vertAlign w:val="superscript"/>
              </w:rPr>
              <w:t>3</w:t>
            </w:r>
            <w:r>
              <w:rPr>
                <w:rFonts w:hint="eastAsia"/>
                <w:sz w:val="24"/>
              </w:rPr>
              <w:t>汽油储罐4个，其中95</w:t>
            </w:r>
            <w:r>
              <w:rPr>
                <w:rFonts w:hint="eastAsia"/>
                <w:sz w:val="24"/>
                <w:vertAlign w:val="superscript"/>
              </w:rPr>
              <w:t>#</w:t>
            </w:r>
            <w:r>
              <w:rPr>
                <w:rFonts w:hint="eastAsia"/>
                <w:sz w:val="24"/>
              </w:rPr>
              <w:t>汽油储罐1个、92</w:t>
            </w:r>
            <w:r>
              <w:rPr>
                <w:rFonts w:hint="eastAsia"/>
                <w:sz w:val="24"/>
                <w:vertAlign w:val="superscript"/>
              </w:rPr>
              <w:t>#</w:t>
            </w:r>
            <w:r>
              <w:rPr>
                <w:rFonts w:hint="eastAsia"/>
                <w:sz w:val="24"/>
              </w:rPr>
              <w:t>汽油储罐1个、0</w:t>
            </w:r>
            <w:r>
              <w:rPr>
                <w:rFonts w:hint="eastAsia"/>
                <w:sz w:val="24"/>
                <w:vertAlign w:val="superscript"/>
              </w:rPr>
              <w:t>#</w:t>
            </w:r>
            <w:r>
              <w:rPr>
                <w:rFonts w:hint="eastAsia"/>
                <w:sz w:val="24"/>
              </w:rPr>
              <w:t>柴油储罐2个，总罐容200m</w:t>
            </w:r>
            <w:r>
              <w:rPr>
                <w:rFonts w:hint="eastAsia"/>
                <w:sz w:val="24"/>
                <w:vertAlign w:val="superscript"/>
              </w:rPr>
              <w:t>3</w:t>
            </w:r>
            <w:r>
              <w:rPr>
                <w:rFonts w:hint="eastAsia"/>
                <w:sz w:val="24"/>
              </w:rPr>
              <w:t>，计算容积为150m</w:t>
            </w:r>
            <w:r>
              <w:rPr>
                <w:rFonts w:hint="eastAsia"/>
                <w:sz w:val="24"/>
                <w:vertAlign w:val="superscript"/>
              </w:rPr>
              <w:t>3</w:t>
            </w:r>
            <w:r>
              <w:rPr>
                <w:rFonts w:hint="eastAsia"/>
                <w:sz w:val="24"/>
              </w:rPr>
              <w:t>（柴油容积折半），为埋式卧地油罐；设置6台潜泵式双油双枪加油机，同时设置卸油和加油油气回收系统</w:t>
            </w:r>
            <w:r>
              <w:rPr>
                <w:sz w:val="24"/>
              </w:rPr>
              <w:t>，根据《汽车加油加气站设计与施工规范》(GB50156-2012)2014 版，属二级加油站。</w:t>
            </w:r>
            <w:r>
              <w:rPr>
                <w:color w:val="auto"/>
                <w:sz w:val="24"/>
              </w:rPr>
              <w:t>项目生活设施依托于现有服务区，</w:t>
            </w:r>
            <w:r>
              <w:rPr>
                <w:rFonts w:hint="eastAsia"/>
                <w:color w:val="auto"/>
                <w:sz w:val="24"/>
              </w:rPr>
              <w:t>值班人员用餐为外送熟食</w:t>
            </w:r>
            <w:r>
              <w:rPr>
                <w:color w:val="auto"/>
                <w:sz w:val="24"/>
              </w:rPr>
              <w:t>，仅</w:t>
            </w:r>
            <w:r>
              <w:rPr>
                <w:rFonts w:hint="eastAsia"/>
                <w:color w:val="auto"/>
                <w:sz w:val="24"/>
              </w:rPr>
              <w:t>设置便利店于站房内.</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建设单位：</w:t>
            </w:r>
            <w:r>
              <w:rPr>
                <w:rFonts w:hint="eastAsia" w:ascii="宋体" w:hAnsi="宋体"/>
                <w:sz w:val="24"/>
              </w:rPr>
              <w:t>贵州交建国储贸易有限公司；</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项目总投资：总投资额</w:t>
            </w:r>
            <w:r>
              <w:rPr>
                <w:rFonts w:hint="eastAsia" w:ascii="Times New Roman" w:hAnsi="Times New Roman" w:cs="Times New Roman"/>
                <w:color w:val="000000"/>
                <w:sz w:val="24"/>
              </w:rPr>
              <w:t>400</w:t>
            </w:r>
            <w:r>
              <w:rPr>
                <w:rFonts w:ascii="Times New Roman" w:hAnsi="Times New Roman" w:cs="Times New Roman"/>
                <w:color w:val="000000"/>
                <w:sz w:val="24"/>
              </w:rPr>
              <w:t>万元</w:t>
            </w:r>
          </w:p>
          <w:p>
            <w:pPr>
              <w:pStyle w:val="38"/>
              <w:numPr>
                <w:ilvl w:val="0"/>
                <w:numId w:val="2"/>
              </w:numPr>
              <w:spacing w:line="360" w:lineRule="auto"/>
              <w:ind w:firstLineChars="0"/>
              <w:rPr>
                <w:rFonts w:cs="Times New Roman" w:asciiTheme="minorEastAsia" w:hAnsiTheme="minorEastAsia"/>
                <w:color w:val="000000"/>
                <w:sz w:val="24"/>
              </w:rPr>
            </w:pPr>
            <w:r>
              <w:rPr>
                <w:rFonts w:cs="Times New Roman" w:asciiTheme="minorEastAsia" w:hAnsiTheme="minorEastAsia"/>
                <w:color w:val="000000"/>
                <w:sz w:val="24"/>
              </w:rPr>
              <w:t xml:space="preserve"> </w:t>
            </w:r>
            <w:r>
              <w:t>占地面积：</w:t>
            </w:r>
            <w:r>
              <w:rPr>
                <w:rFonts w:hint="eastAsia"/>
              </w:rPr>
              <w:t>1600</w:t>
            </w:r>
            <w:r>
              <w:t>m</w:t>
            </w:r>
            <w:r>
              <w:rPr>
                <w:vertAlign w:val="superscript"/>
              </w:rPr>
              <w:t>2</w:t>
            </w:r>
          </w:p>
          <w:p>
            <w:pPr>
              <w:tabs>
                <w:tab w:val="left" w:pos="624"/>
              </w:tabs>
              <w:spacing w:line="500" w:lineRule="exact"/>
              <w:ind w:firstLine="480" w:firstLineChars="200"/>
              <w:rPr>
                <w:rFonts w:ascii="Times New Roman" w:hAnsi="Times New Roman" w:cs="Times New Roman"/>
                <w:color w:val="000000" w:themeColor="text1"/>
                <w:sz w:val="24"/>
              </w:rPr>
            </w:pPr>
            <w:r>
              <w:rPr>
                <w:rFonts w:hint="eastAsia" w:ascii="宋体" w:hAnsi="宋体" w:eastAsia="宋体" w:cs="Times New Roman"/>
                <w:color w:val="000000" w:themeColor="text1"/>
                <w:sz w:val="24"/>
              </w:rPr>
              <w:t>⑦</w:t>
            </w:r>
            <w:r>
              <w:rPr>
                <w:rFonts w:ascii="Times New Roman" w:hAnsi="Times New Roman" w:cs="Times New Roman"/>
                <w:color w:val="000000" w:themeColor="text1"/>
                <w:sz w:val="24"/>
              </w:rPr>
              <w:t>工作制度及劳动定员：</w:t>
            </w:r>
            <w:r>
              <w:rPr>
                <w:rFonts w:hint="eastAsia"/>
                <w:sz w:val="24"/>
              </w:rPr>
              <w:t>项目劳动</w:t>
            </w:r>
            <w:r>
              <w:rPr>
                <w:sz w:val="24"/>
              </w:rPr>
              <w:t>定员</w:t>
            </w:r>
            <w:r>
              <w:rPr>
                <w:rFonts w:hint="eastAsia"/>
                <w:sz w:val="24"/>
              </w:rPr>
              <w:t>5</w:t>
            </w:r>
            <w:r>
              <w:rPr>
                <w:sz w:val="24"/>
              </w:rPr>
              <w:t>人，</w:t>
            </w:r>
            <w:r>
              <w:rPr>
                <w:rFonts w:hint="eastAsia"/>
                <w:sz w:val="24"/>
              </w:rPr>
              <w:t>均不在场区食宿；</w:t>
            </w:r>
            <w:r>
              <w:rPr>
                <w:sz w:val="24"/>
              </w:rPr>
              <w:t>年工作日365天，24小时/天</w:t>
            </w:r>
            <w:r>
              <w:rPr>
                <w:rFonts w:ascii="Times New Roman" w:hAnsi="Times New Roman" w:cs="Times New Roman"/>
                <w:color w:val="000000" w:themeColor="text1"/>
                <w:sz w:val="24"/>
              </w:rPr>
              <w:t>。</w:t>
            </w:r>
          </w:p>
          <w:p>
            <w:pPr>
              <w:tabs>
                <w:tab w:val="left" w:pos="624"/>
              </w:tabs>
              <w:spacing w:line="500" w:lineRule="exact"/>
              <w:ind w:firstLine="480" w:firstLineChars="200"/>
              <w:rPr>
                <w:rFonts w:ascii="Times New Roman" w:hAnsi="Times New Roman" w:cs="Times New Roman"/>
                <w:color w:val="000000" w:themeColor="text1"/>
                <w:sz w:val="24"/>
              </w:rPr>
            </w:pPr>
          </w:p>
          <w:p>
            <w:pPr>
              <w:tabs>
                <w:tab w:val="left" w:pos="624"/>
              </w:tabs>
              <w:spacing w:line="500" w:lineRule="exact"/>
              <w:ind w:firstLine="480" w:firstLineChars="200"/>
              <w:rPr>
                <w:rFonts w:ascii="Times New Roman" w:hAnsi="Times New Roman" w:cs="Times New Roman"/>
                <w:color w:val="000000" w:themeColor="text1"/>
                <w:sz w:val="24"/>
              </w:rPr>
            </w:pPr>
          </w:p>
          <w:p>
            <w:pPr>
              <w:tabs>
                <w:tab w:val="left" w:pos="624"/>
              </w:tabs>
              <w:spacing w:line="500" w:lineRule="exact"/>
              <w:ind w:firstLine="480" w:firstLineChars="200"/>
              <w:rPr>
                <w:rFonts w:ascii="Times New Roman" w:hAnsi="Times New Roman" w:cs="Times New Roman"/>
                <w:color w:val="000000" w:themeColor="text1"/>
                <w:sz w:val="24"/>
              </w:rPr>
            </w:pPr>
          </w:p>
          <w:p>
            <w:pPr>
              <w:tabs>
                <w:tab w:val="left" w:pos="624"/>
              </w:tabs>
              <w:spacing w:line="500" w:lineRule="exact"/>
              <w:ind w:firstLine="480" w:firstLineChars="200"/>
              <w:rPr>
                <w:rFonts w:ascii="Times New Roman" w:hAnsi="Times New Roman" w:cs="Times New Roman"/>
                <w:color w:val="000000" w:themeColor="text1"/>
                <w:sz w:val="24"/>
              </w:rPr>
            </w:pPr>
          </w:p>
          <w:p>
            <w:pPr>
              <w:tabs>
                <w:tab w:val="left" w:pos="624"/>
              </w:tabs>
              <w:spacing w:line="500" w:lineRule="exact"/>
              <w:ind w:firstLine="480" w:firstLineChars="200"/>
              <w:rPr>
                <w:color w:val="FF0000"/>
                <w:sz w:val="24"/>
              </w:rPr>
            </w:pPr>
          </w:p>
          <w:p>
            <w:pPr>
              <w:spacing w:line="360" w:lineRule="auto"/>
              <w:rPr>
                <w:rFonts w:ascii="Times New Roman" w:hAnsi="Times New Roman" w:cs="Times New Roman"/>
                <w:b/>
                <w:sz w:val="28"/>
                <w:szCs w:val="28"/>
              </w:rPr>
            </w:pPr>
            <w:r>
              <w:rPr>
                <w:rFonts w:ascii="Times New Roman" w:hAnsi="Times New Roman" w:cs="Times New Roman"/>
                <w:b/>
                <w:sz w:val="28"/>
                <w:szCs w:val="28"/>
              </w:rPr>
              <w:t>1.6 项目组成及建设规模</w:t>
            </w:r>
          </w:p>
          <w:p>
            <w:pPr>
              <w:spacing w:line="360" w:lineRule="auto"/>
              <w:rPr>
                <w:rFonts w:ascii="Times New Roman" w:hAnsi="Times New Roman" w:cs="Times New Roman"/>
                <w:b/>
                <w:sz w:val="28"/>
                <w:szCs w:val="28"/>
              </w:rPr>
            </w:pPr>
          </w:p>
          <w:p>
            <w:pPr>
              <w:spacing w:line="360" w:lineRule="auto"/>
              <w:ind w:firstLine="482" w:firstLineChars="200"/>
              <w:jc w:val="center"/>
              <w:rPr>
                <w:rFonts w:ascii="Times New Roman" w:hAnsi="Times New Roman" w:cs="Times New Roman"/>
                <w:b/>
                <w:color w:val="000000"/>
                <w:sz w:val="24"/>
              </w:rPr>
            </w:pPr>
            <w:r>
              <w:rPr>
                <w:rFonts w:ascii="Times New Roman" w:hAnsi="Times New Roman" w:cs="Times New Roman"/>
                <w:b/>
                <w:bCs/>
                <w:sz w:val="24"/>
              </w:rPr>
              <w:t xml:space="preserve">表1-1  </w:t>
            </w:r>
            <w:r>
              <w:rPr>
                <w:rFonts w:ascii="Times New Roman" w:hAnsi="Times New Roman" w:cs="Times New Roman"/>
                <w:b/>
                <w:color w:val="000000"/>
                <w:sz w:val="24"/>
              </w:rPr>
              <w:t>项目组成及规模一览表</w:t>
            </w:r>
          </w:p>
          <w:tbl>
            <w:tblPr>
              <w:tblStyle w:val="17"/>
              <w:tblW w:w="905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711"/>
              <w:gridCol w:w="4253"/>
              <w:gridCol w:w="23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类别</w:t>
                  </w:r>
                </w:p>
              </w:tc>
              <w:tc>
                <w:tcPr>
                  <w:tcW w:w="1711"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名称</w:t>
                  </w:r>
                </w:p>
              </w:tc>
              <w:tc>
                <w:tcPr>
                  <w:tcW w:w="4253"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建设内容</w:t>
                  </w:r>
                </w:p>
              </w:tc>
              <w:tc>
                <w:tcPr>
                  <w:tcW w:w="2384"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主体</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000000"/>
                      <w:szCs w:val="21"/>
                    </w:rPr>
                  </w:pPr>
                </w:p>
                <w:p>
                  <w:pPr>
                    <w:jc w:val="center"/>
                    <w:rPr>
                      <w:rFonts w:ascii="Times New Roman" w:hAnsi="Times New Roman" w:cs="Times New Roman"/>
                      <w:color w:val="000000"/>
                      <w:szCs w:val="21"/>
                    </w:rPr>
                  </w:pPr>
                  <w:r>
                    <w:rPr>
                      <w:rFonts w:hint="eastAsia" w:ascii="Times New Roman" w:hAnsi="Times New Roman" w:cs="Times New Roman"/>
                      <w:color w:val="000000"/>
                      <w:szCs w:val="21"/>
                    </w:rPr>
                    <w:t>油罐区</w:t>
                  </w:r>
                </w:p>
              </w:tc>
              <w:tc>
                <w:tcPr>
                  <w:tcW w:w="4253" w:type="dxa"/>
                </w:tcPr>
                <w:p>
                  <w:pPr>
                    <w:rPr>
                      <w:rFonts w:ascii="Times New Roman" w:hAnsi="Times New Roman" w:cs="Times New Roman"/>
                      <w:color w:val="000000"/>
                      <w:szCs w:val="21"/>
                    </w:rPr>
                  </w:pPr>
                  <w:r>
                    <w:rPr>
                      <w:rFonts w:hint="eastAsia"/>
                      <w:bCs/>
                      <w:szCs w:val="21"/>
                    </w:rPr>
                    <w:t>项目设4个地埋卧式油罐，容积均为50m</w:t>
                  </w:r>
                  <w:r>
                    <w:rPr>
                      <w:rFonts w:hint="eastAsia"/>
                      <w:bCs/>
                      <w:szCs w:val="21"/>
                      <w:vertAlign w:val="superscript"/>
                    </w:rPr>
                    <w:t>3</w:t>
                  </w:r>
                  <w:r>
                    <w:rPr>
                      <w:rFonts w:hint="eastAsia"/>
                      <w:bCs/>
                      <w:szCs w:val="21"/>
                    </w:rPr>
                    <w:t>/个</w:t>
                  </w:r>
                  <w:r>
                    <w:rPr>
                      <w:rFonts w:hint="eastAsia" w:ascii="宋体" w:hAnsi="宋体"/>
                      <w:bCs/>
                      <w:szCs w:val="21"/>
                    </w:rPr>
                    <w:t>,</w:t>
                  </w:r>
                  <w:r>
                    <w:rPr>
                      <w:rFonts w:hint="eastAsia"/>
                      <w:color w:val="000000"/>
                      <w:szCs w:val="21"/>
                    </w:rPr>
                    <w:t>其中2个用于储存0</w:t>
                  </w:r>
                  <w:r>
                    <w:rPr>
                      <w:rFonts w:hint="eastAsia"/>
                      <w:color w:val="000000"/>
                      <w:szCs w:val="21"/>
                      <w:vertAlign w:val="superscript"/>
                    </w:rPr>
                    <w:t>#</w:t>
                  </w:r>
                  <w:r>
                    <w:rPr>
                      <w:rFonts w:hint="eastAsia"/>
                      <w:color w:val="000000"/>
                      <w:szCs w:val="21"/>
                    </w:rPr>
                    <w:t>柴油，另外2分别用于储存92</w:t>
                  </w:r>
                  <w:r>
                    <w:rPr>
                      <w:rFonts w:hint="eastAsia"/>
                      <w:color w:val="000000"/>
                      <w:szCs w:val="21"/>
                      <w:vertAlign w:val="superscript"/>
                    </w:rPr>
                    <w:t>#</w:t>
                  </w:r>
                  <w:r>
                    <w:rPr>
                      <w:rFonts w:hint="eastAsia"/>
                      <w:color w:val="000000"/>
                      <w:szCs w:val="21"/>
                    </w:rPr>
                    <w:t>汽油和95</w:t>
                  </w:r>
                  <w:r>
                    <w:rPr>
                      <w:rFonts w:hint="eastAsia"/>
                      <w:color w:val="000000"/>
                      <w:szCs w:val="21"/>
                      <w:vertAlign w:val="superscript"/>
                    </w:rPr>
                    <w:t>#</w:t>
                  </w:r>
                  <w:r>
                    <w:rPr>
                      <w:rFonts w:hint="eastAsia"/>
                      <w:color w:val="000000"/>
                      <w:szCs w:val="21"/>
                    </w:rPr>
                    <w:t>汽油。</w:t>
                  </w:r>
                </w:p>
              </w:tc>
              <w:tc>
                <w:tcPr>
                  <w:tcW w:w="2384" w:type="dxa"/>
                </w:tcPr>
                <w:p>
                  <w:pPr>
                    <w:rPr>
                      <w:rFonts w:ascii="Times New Roman" w:hAnsi="Times New Roman" w:cs="Times New Roman"/>
                      <w:color w:val="FF0000"/>
                      <w:szCs w:val="21"/>
                    </w:rPr>
                  </w:pPr>
                  <w:r>
                    <w:rPr>
                      <w:rFonts w:hint="eastAsia"/>
                      <w:color w:val="000000"/>
                      <w:szCs w:val="21"/>
                    </w:rPr>
                    <w:t>地下4.3m，承重结构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709" w:type="dxa"/>
                  <w:vMerge w:val="continue"/>
                  <w:vAlign w:val="center"/>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加油棚</w:t>
                  </w:r>
                </w:p>
              </w:tc>
              <w:tc>
                <w:tcPr>
                  <w:tcW w:w="4253" w:type="dxa"/>
                </w:tcPr>
                <w:p>
                  <w:pPr>
                    <w:jc w:val="center"/>
                  </w:pPr>
                  <w:r>
                    <w:rPr>
                      <w:rFonts w:hint="eastAsia"/>
                      <w:bCs/>
                      <w:szCs w:val="21"/>
                    </w:rPr>
                    <w:t>一层绝缘体网架结构，主要用于加油区的遮阳挡雨</w:t>
                  </w:r>
                </w:p>
              </w:tc>
              <w:tc>
                <w:tcPr>
                  <w:tcW w:w="2384" w:type="dxa"/>
                </w:tcPr>
                <w:p>
                  <w:pPr>
                    <w:jc w:val="center"/>
                  </w:pPr>
                  <w:r>
                    <w:rPr>
                      <w:rFonts w:hint="eastAsia"/>
                    </w:rPr>
                    <w:t>面积396</w:t>
                  </w:r>
                  <w:r>
                    <w:t xml:space="preserve"> m</w:t>
                  </w:r>
                  <w:r>
                    <w:rPr>
                      <w:vertAlign w:val="superscript"/>
                    </w:rPr>
                    <w:t>2</w:t>
                  </w:r>
                  <w:r>
                    <w:rPr>
                      <w:rFonts w:hint="eastAsia"/>
                    </w:rPr>
                    <w:t>，高6.5米</w:t>
                  </w:r>
                </w:p>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709" w:type="dxa"/>
                  <w:vMerge w:val="continue"/>
                  <w:vAlign w:val="center"/>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加油岛</w:t>
                  </w:r>
                </w:p>
              </w:tc>
              <w:tc>
                <w:tcPr>
                  <w:tcW w:w="4253" w:type="dxa"/>
                </w:tcPr>
                <w:p>
                  <w:pPr>
                    <w:jc w:val="center"/>
                  </w:pPr>
                  <w:r>
                    <w:rPr>
                      <w:rFonts w:hint="eastAsia"/>
                      <w:bCs/>
                      <w:szCs w:val="21"/>
                    </w:rPr>
                    <w:t>加油岛上分布有</w:t>
                  </w:r>
                  <w:r>
                    <w:rPr>
                      <w:rFonts w:hint="eastAsia"/>
                      <w:color w:val="000000"/>
                      <w:szCs w:val="21"/>
                    </w:rPr>
                    <w:t>3台0</w:t>
                  </w:r>
                  <w:r>
                    <w:rPr>
                      <w:rFonts w:hint="eastAsia"/>
                      <w:color w:val="000000"/>
                      <w:szCs w:val="21"/>
                      <w:vertAlign w:val="superscript"/>
                    </w:rPr>
                    <w:t>#</w:t>
                  </w:r>
                  <w:r>
                    <w:rPr>
                      <w:rFonts w:hint="eastAsia"/>
                      <w:color w:val="000000"/>
                      <w:szCs w:val="21"/>
                    </w:rPr>
                    <w:t>柴油双枪加油机，2台92</w:t>
                  </w:r>
                  <w:r>
                    <w:rPr>
                      <w:rFonts w:hint="eastAsia"/>
                      <w:color w:val="000000"/>
                      <w:szCs w:val="21"/>
                      <w:vertAlign w:val="superscript"/>
                    </w:rPr>
                    <w:t>#</w:t>
                  </w:r>
                  <w:r>
                    <w:rPr>
                      <w:rFonts w:hint="eastAsia"/>
                      <w:color w:val="000000"/>
                      <w:szCs w:val="21"/>
                    </w:rPr>
                    <w:t>双枪加油机、1台95</w:t>
                  </w:r>
                  <w:r>
                    <w:rPr>
                      <w:rFonts w:hint="eastAsia"/>
                      <w:color w:val="000000"/>
                      <w:szCs w:val="21"/>
                      <w:vertAlign w:val="superscript"/>
                    </w:rPr>
                    <w:t>#</w:t>
                  </w:r>
                  <w:r>
                    <w:rPr>
                      <w:rFonts w:hint="eastAsia"/>
                      <w:color w:val="000000"/>
                      <w:szCs w:val="21"/>
                    </w:rPr>
                    <w:t>汽油双枪加油机</w:t>
                  </w:r>
                </w:p>
              </w:tc>
              <w:tc>
                <w:tcPr>
                  <w:tcW w:w="2384" w:type="dxa"/>
                </w:tcPr>
                <w:p>
                  <w:pPr>
                    <w:jc w:val="center"/>
                  </w:pPr>
                  <w:r>
                    <w:rPr>
                      <w:rFonts w:hint="eastAsia"/>
                      <w:color w:val="000000"/>
                      <w:szCs w:val="21"/>
                    </w:rPr>
                    <w:t>6台潜泵式双油双枪加油机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ind w:firstLine="840" w:firstLineChars="400"/>
                    <w:rPr>
                      <w:rFonts w:ascii="Times New Roman" w:hAnsi="Times New Roman" w:cs="Times New Roman"/>
                      <w:color w:val="000000"/>
                      <w:szCs w:val="21"/>
                    </w:rPr>
                  </w:pPr>
                  <w:r>
                    <w:rPr>
                      <w:rFonts w:hint="eastAsia" w:ascii="Times New Roman" w:hAnsi="Times New Roman" w:cs="Times New Roman"/>
                      <w:color w:val="000000"/>
                      <w:szCs w:val="21"/>
                    </w:rPr>
                    <w:t>站房</w:t>
                  </w:r>
                </w:p>
              </w:tc>
              <w:tc>
                <w:tcPr>
                  <w:tcW w:w="4253" w:type="dxa"/>
                </w:tcPr>
                <w:p>
                  <w:pPr>
                    <w:rPr>
                      <w:rFonts w:ascii="Times New Roman" w:hAnsi="Times New Roman" w:cs="Times New Roman"/>
                      <w:color w:val="000000"/>
                      <w:szCs w:val="21"/>
                    </w:rPr>
                  </w:pPr>
                  <w:r>
                    <w:rPr>
                      <w:rFonts w:hint="eastAsia"/>
                      <w:bCs/>
                      <w:szCs w:val="21"/>
                    </w:rPr>
                    <w:t>2层砖混结构，包括办公室、收费室、更衣室等</w:t>
                  </w:r>
                </w:p>
              </w:tc>
              <w:tc>
                <w:tcPr>
                  <w:tcW w:w="2384" w:type="dxa"/>
                </w:tcPr>
                <w:p>
                  <w:pPr>
                    <w:rPr>
                      <w:rFonts w:ascii="Times New Roman" w:hAnsi="Times New Roman" w:cs="Times New Roman"/>
                      <w:color w:val="000000"/>
                      <w:szCs w:val="21"/>
                    </w:rPr>
                  </w:pPr>
                  <w:r>
                    <w:rPr>
                      <w:rFonts w:hint="eastAsia"/>
                      <w:color w:val="auto"/>
                      <w:szCs w:val="21"/>
                    </w:rPr>
                    <w:t>建筑高度7.4m，</w:t>
                  </w:r>
                  <w:r>
                    <w:rPr>
                      <w:rFonts w:hint="eastAsia"/>
                      <w:bCs/>
                      <w:color w:val="auto"/>
                      <w:szCs w:val="21"/>
                    </w:rPr>
                    <w:t>建筑面积</w:t>
                  </w:r>
                  <w:r>
                    <w:rPr>
                      <w:rFonts w:hint="eastAsia"/>
                      <w:color w:val="auto"/>
                      <w:szCs w:val="21"/>
                    </w:rPr>
                    <w:t>186.75m</w:t>
                  </w:r>
                  <w:r>
                    <w:rPr>
                      <w:rFonts w:hint="eastAsia"/>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辅助工程</w:t>
                  </w:r>
                </w:p>
              </w:tc>
              <w:tc>
                <w:tcPr>
                  <w:tcW w:w="1711" w:type="dxa"/>
                </w:tcPr>
                <w:p>
                  <w:pPr>
                    <w:rPr>
                      <w:rFonts w:ascii="Times New Roman" w:hAnsi="Times New Roman" w:cs="Times New Roman"/>
                      <w:color w:val="000000"/>
                      <w:szCs w:val="21"/>
                    </w:rPr>
                  </w:pPr>
                  <w:r>
                    <w:rPr>
                      <w:rFonts w:hint="eastAsia" w:ascii="Times New Roman" w:hAnsi="Times New Roman" w:cs="Times New Roman"/>
                      <w:color w:val="000000"/>
                      <w:szCs w:val="21"/>
                    </w:rPr>
                    <w:t xml:space="preserve"> </w:t>
                  </w:r>
                  <w:r>
                    <w:rPr>
                      <w:rFonts w:ascii="Times New Roman" w:hAnsi="Times New Roman" w:cs="Times New Roman"/>
                      <w:color w:val="000000"/>
                      <w:szCs w:val="21"/>
                    </w:rPr>
                    <w:t xml:space="preserve">    </w:t>
                  </w:r>
                  <w:r>
                    <w:rPr>
                      <w:rFonts w:hint="eastAsia" w:ascii="Times New Roman" w:hAnsi="Times New Roman" w:cs="Times New Roman"/>
                      <w:color w:val="000000"/>
                      <w:szCs w:val="21"/>
                    </w:rPr>
                    <w:t>配电室</w:t>
                  </w:r>
                </w:p>
              </w:tc>
              <w:tc>
                <w:tcPr>
                  <w:tcW w:w="4253" w:type="dxa"/>
                </w:tcPr>
                <w:p>
                  <w:pPr>
                    <w:rPr>
                      <w:rFonts w:ascii="Times New Roman" w:hAnsi="Times New Roman" w:cs="Times New Roman"/>
                      <w:color w:val="000000"/>
                      <w:szCs w:val="21"/>
                    </w:rPr>
                  </w:pPr>
                  <w:r>
                    <w:rPr>
                      <w:rFonts w:hint="eastAsia"/>
                      <w:bCs/>
                      <w:szCs w:val="21"/>
                    </w:rPr>
                    <w:t>一层砖混结构，内设备用式发电机</w:t>
                  </w:r>
                </w:p>
              </w:tc>
              <w:tc>
                <w:tcPr>
                  <w:tcW w:w="2384" w:type="dxa"/>
                </w:tcPr>
                <w:p>
                  <w:pPr>
                    <w:rPr>
                      <w:rFonts w:ascii="Times New Roman" w:hAnsi="Times New Roman" w:cs="Times New Roman"/>
                      <w:color w:val="000000"/>
                      <w:szCs w:val="21"/>
                    </w:rPr>
                  </w:pPr>
                  <w:r>
                    <w:rPr>
                      <w:rFonts w:hint="eastAsia"/>
                      <w:bCs/>
                      <w:color w:val="auto"/>
                      <w:szCs w:val="21"/>
                    </w:rPr>
                    <w:t>建筑面积20m</w:t>
                  </w:r>
                  <w:r>
                    <w:rPr>
                      <w:rFonts w:hint="eastAsia"/>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公用</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给水系统</w:t>
                  </w:r>
                </w:p>
              </w:tc>
              <w:tc>
                <w:tcPr>
                  <w:tcW w:w="4253" w:type="dxa"/>
                </w:tcPr>
                <w:p>
                  <w:pPr>
                    <w:jc w:val="center"/>
                    <w:rPr>
                      <w:rFonts w:ascii="Times New Roman" w:hAnsi="Times New Roman" w:cs="Times New Roman"/>
                      <w:color w:val="000000"/>
                      <w:szCs w:val="21"/>
                    </w:rPr>
                  </w:pPr>
                  <w:r>
                    <w:rPr>
                      <w:rFonts w:hint="eastAsia"/>
                    </w:rPr>
                    <w:t>279.33</w:t>
                  </w:r>
                  <w:r>
                    <w:t>m³/a</w:t>
                  </w:r>
                  <w:r>
                    <w:rPr>
                      <w:rFonts w:hint="eastAsia"/>
                    </w:rPr>
                    <w:t>由</w:t>
                  </w:r>
                  <w:r>
                    <w:t>市政供水管网引入</w:t>
                  </w:r>
                </w:p>
              </w:tc>
              <w:tc>
                <w:tcPr>
                  <w:tcW w:w="2384" w:type="dxa"/>
                </w:tcPr>
                <w:p>
                  <w:pPr>
                    <w:jc w:val="cente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供电系统</w:t>
                  </w:r>
                </w:p>
              </w:tc>
              <w:tc>
                <w:tcPr>
                  <w:tcW w:w="4253" w:type="dxa"/>
                </w:tcPr>
                <w:p>
                  <w:pPr>
                    <w:jc w:val="center"/>
                    <w:rPr>
                      <w:rFonts w:ascii="Times New Roman" w:hAnsi="Times New Roman" w:cs="Times New Roman"/>
                      <w:color w:val="000000"/>
                      <w:szCs w:val="21"/>
                    </w:rPr>
                  </w:pPr>
                  <w:r>
                    <w:rPr>
                      <w:color w:val="auto"/>
                    </w:rPr>
                    <w:t xml:space="preserve">年耗电量约 </w:t>
                  </w:r>
                  <w:r>
                    <w:rPr>
                      <w:rFonts w:hint="eastAsia"/>
                      <w:color w:val="auto"/>
                    </w:rPr>
                    <w:t>4.8000</w:t>
                  </w:r>
                  <w:r>
                    <w:rPr>
                      <w:color w:val="auto"/>
                    </w:rPr>
                    <w:t>kw·h</w:t>
                  </w:r>
                  <w:r>
                    <w:rPr>
                      <w:rFonts w:hint="eastAsia"/>
                    </w:rPr>
                    <w:t>由</w:t>
                  </w:r>
                  <w:r>
                    <w:t>市政电网引入</w:t>
                  </w:r>
                  <w:r>
                    <w:rPr>
                      <w:rFonts w:hint="eastAsia"/>
                    </w:rPr>
                    <w:t>，同时配备一台发电机作备用电源</w:t>
                  </w:r>
                </w:p>
              </w:tc>
              <w:tc>
                <w:tcPr>
                  <w:tcW w:w="2384" w:type="dxa"/>
                </w:tcPr>
                <w:p>
                  <w:pPr>
                    <w:jc w:val="cente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消防系统</w:t>
                  </w:r>
                </w:p>
              </w:tc>
              <w:tc>
                <w:tcPr>
                  <w:tcW w:w="6637" w:type="dxa"/>
                  <w:gridSpan w:val="2"/>
                </w:tcPr>
                <w:p>
                  <w:pPr>
                    <w:jc w:val="center"/>
                  </w:pPr>
                  <w:r>
                    <w:rPr>
                      <w:rFonts w:hint="eastAsia"/>
                      <w:szCs w:val="21"/>
                    </w:rPr>
                    <w:t>配备1座2m</w:t>
                  </w:r>
                  <w:r>
                    <w:rPr>
                      <w:rFonts w:hint="eastAsia"/>
                      <w:szCs w:val="21"/>
                      <w:vertAlign w:val="superscript"/>
                    </w:rPr>
                    <w:t>3</w:t>
                  </w:r>
                  <w:r>
                    <w:rPr>
                      <w:rFonts w:hint="eastAsia"/>
                      <w:szCs w:val="21"/>
                    </w:rPr>
                    <w:t>的消防沙池和灭火毯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排水系统</w:t>
                  </w:r>
                </w:p>
              </w:tc>
              <w:tc>
                <w:tcPr>
                  <w:tcW w:w="4253" w:type="dxa"/>
                </w:tcPr>
                <w:p>
                  <w:r>
                    <w:rPr>
                      <w:rFonts w:hint="eastAsia"/>
                      <w:szCs w:val="21"/>
                    </w:rPr>
                    <w:t>项目实行雨、污分流制，雨水经场内雨水沟排出站外；加油作业区地面冲洗废水经隔油池处理后，同站房员工生活污水排入站区污水处理系统（1座2m</w:t>
                  </w:r>
                  <w:r>
                    <w:rPr>
                      <w:rFonts w:hint="eastAsia"/>
                      <w:szCs w:val="21"/>
                      <w:vertAlign w:val="superscript"/>
                    </w:rPr>
                    <w:t>3</w:t>
                  </w:r>
                  <w:r>
                    <w:rPr>
                      <w:rFonts w:hint="eastAsia"/>
                      <w:szCs w:val="21"/>
                    </w:rPr>
                    <w:t>/天）处理后</w:t>
                  </w:r>
                  <w:r>
                    <w:rPr>
                      <w:rFonts w:hint="eastAsia" w:hAnsi="宋体"/>
                      <w:bCs/>
                      <w:szCs w:val="21"/>
                    </w:rPr>
                    <w:t>，用于道路洒水降尘和站区绿化不外排</w:t>
                  </w:r>
                  <w:r>
                    <w:rPr>
                      <w:rFonts w:hint="eastAsia"/>
                      <w:szCs w:val="21"/>
                    </w:rPr>
                    <w:t>；</w:t>
                  </w:r>
                </w:p>
              </w:tc>
              <w:tc>
                <w:tcPr>
                  <w:tcW w:w="2384" w:type="dxa"/>
                </w:tcPr>
                <w:p>
                  <w:pPr>
                    <w:jc w:val="center"/>
                  </w:pPr>
                  <w:r>
                    <w:rPr>
                      <w:rFonts w:hint="eastAsia"/>
                      <w:color w:val="auto"/>
                      <w:szCs w:val="21"/>
                    </w:rPr>
                    <w:t>污水处理系统建筑面积10m</w:t>
                  </w:r>
                  <w:r>
                    <w:rPr>
                      <w:rFonts w:hint="eastAsia"/>
                      <w:color w:val="auto"/>
                      <w:szCs w:val="21"/>
                      <w:vertAlign w:val="superscript"/>
                    </w:rPr>
                    <w:t>2</w:t>
                  </w:r>
                  <w:r>
                    <w:rPr>
                      <w:rFonts w:hint="eastAsia"/>
                      <w:color w:val="auto"/>
                      <w:szCs w:val="21"/>
                    </w:rPr>
                    <w:t>，采用地埋式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szCs w:val="21"/>
                    </w:rPr>
                    <w:t>公厕系统</w:t>
                  </w:r>
                </w:p>
              </w:tc>
              <w:tc>
                <w:tcPr>
                  <w:tcW w:w="4253" w:type="dxa"/>
                </w:tcPr>
                <w:p>
                  <w:r>
                    <w:rPr>
                      <w:rFonts w:hint="eastAsia"/>
                      <w:szCs w:val="21"/>
                    </w:rPr>
                    <w:t>项目站址东侧与燕楼服务区相接，</w:t>
                  </w:r>
                  <w:r>
                    <w:rPr>
                      <w:rFonts w:hint="eastAsia"/>
                      <w:b w:val="0"/>
                      <w:bCs/>
                      <w:szCs w:val="21"/>
                    </w:rPr>
                    <w:t>本项目不设置公厕系统，仅有员工厕所供员工入厕。</w:t>
                  </w:r>
                </w:p>
              </w:tc>
              <w:tc>
                <w:tcPr>
                  <w:tcW w:w="2384" w:type="dxa"/>
                </w:tcPr>
                <w:p>
                  <w:pPr>
                    <w:jc w:val="center"/>
                  </w:pPr>
                  <w:r>
                    <w:rPr>
                      <w:rFonts w:hint="eastAsia"/>
                      <w:bCs/>
                      <w:color w:val="auto"/>
                      <w:szCs w:val="21"/>
                    </w:rPr>
                    <w:t>员工厕所设置于站房内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环保</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1711" w:type="dxa"/>
                </w:tcPr>
                <w:p>
                  <w:pPr>
                    <w:jc w:val="center"/>
                    <w:rPr>
                      <w:rFonts w:ascii="Times New Roman" w:hAnsi="Times New Roman" w:cs="Times New Roman"/>
                      <w:color w:val="auto"/>
                      <w:szCs w:val="21"/>
                    </w:rPr>
                  </w:pPr>
                  <w:r>
                    <w:rPr>
                      <w:rFonts w:hint="eastAsia" w:ascii="Times New Roman" w:hAnsi="Times New Roman" w:cs="Times New Roman"/>
                      <w:color w:val="auto"/>
                      <w:szCs w:val="21"/>
                    </w:rPr>
                    <w:t>废水治理措施</w:t>
                  </w:r>
                </w:p>
              </w:tc>
              <w:tc>
                <w:tcPr>
                  <w:tcW w:w="4253" w:type="dxa"/>
                  <w:vAlign w:val="center"/>
                </w:tcPr>
                <w:p>
                  <w:pPr>
                    <w:spacing w:line="320" w:lineRule="atLeast"/>
                    <w:jc w:val="center"/>
                    <w:rPr>
                      <w:color w:val="auto"/>
                      <w:szCs w:val="21"/>
                    </w:rPr>
                  </w:pPr>
                  <w:r>
                    <w:rPr>
                      <w:rFonts w:hint="eastAsia"/>
                      <w:color w:val="auto"/>
                      <w:szCs w:val="21"/>
                    </w:rPr>
                    <w:t>1座2.88m</w:t>
                  </w:r>
                  <w:r>
                    <w:rPr>
                      <w:rFonts w:hint="eastAsia"/>
                      <w:color w:val="auto"/>
                      <w:szCs w:val="21"/>
                      <w:vertAlign w:val="superscript"/>
                    </w:rPr>
                    <w:t>3</w:t>
                  </w:r>
                  <w:r>
                    <w:rPr>
                      <w:rFonts w:hint="eastAsia"/>
                      <w:color w:val="auto"/>
                      <w:szCs w:val="21"/>
                    </w:rPr>
                    <w:t>的隔油池2.4m</w:t>
                  </w:r>
                  <w:r>
                    <w:rPr>
                      <w:color w:val="auto"/>
                      <w:szCs w:val="21"/>
                    </w:rPr>
                    <w:t>×</w:t>
                  </w:r>
                  <w:r>
                    <w:rPr>
                      <w:rFonts w:hint="eastAsia"/>
                      <w:color w:val="auto"/>
                      <w:szCs w:val="21"/>
                    </w:rPr>
                    <w:t>1.2m</w:t>
                  </w:r>
                  <w:r>
                    <w:rPr>
                      <w:color w:val="auto"/>
                      <w:szCs w:val="21"/>
                    </w:rPr>
                    <w:t>×</w:t>
                  </w:r>
                  <w:r>
                    <w:rPr>
                      <w:rFonts w:hint="eastAsia"/>
                      <w:color w:val="auto"/>
                      <w:szCs w:val="21"/>
                    </w:rPr>
                    <w:t>1.0m，1套处理规模2m</w:t>
                  </w:r>
                  <w:r>
                    <w:rPr>
                      <w:rFonts w:hint="eastAsia"/>
                      <w:color w:val="auto"/>
                      <w:szCs w:val="21"/>
                      <w:vertAlign w:val="superscript"/>
                    </w:rPr>
                    <w:t>3</w:t>
                  </w:r>
                  <w:r>
                    <w:rPr>
                      <w:rFonts w:hint="eastAsia"/>
                      <w:color w:val="auto"/>
                      <w:szCs w:val="21"/>
                    </w:rPr>
                    <w:t>/</w:t>
                  </w:r>
                  <w:r>
                    <w:rPr>
                      <w:color w:val="auto"/>
                      <w:szCs w:val="21"/>
                    </w:rPr>
                    <w:t>d</w:t>
                  </w:r>
                  <w:r>
                    <w:rPr>
                      <w:rFonts w:hint="eastAsia"/>
                      <w:color w:val="auto"/>
                      <w:szCs w:val="21"/>
                    </w:rPr>
                    <w:t>的站区污水处理系统（采用“化粪池＋地沟式土地处理系统”工艺）。</w:t>
                  </w:r>
                </w:p>
                <w:p>
                  <w:pPr>
                    <w:rPr>
                      <w:rFonts w:ascii="Times New Roman" w:hAnsi="Times New Roman" w:cs="Times New Roman"/>
                      <w:color w:val="auto"/>
                      <w:szCs w:val="21"/>
                    </w:rPr>
                  </w:pP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00B050"/>
                      <w:szCs w:val="21"/>
                    </w:rPr>
                  </w:pPr>
                  <w:r>
                    <w:rPr>
                      <w:rFonts w:hint="eastAsia" w:ascii="Times New Roman" w:hAnsi="Times New Roman" w:cs="Times New Roman"/>
                      <w:color w:val="auto"/>
                      <w:szCs w:val="21"/>
                    </w:rPr>
                    <w:t>噪声治理措施</w:t>
                  </w:r>
                </w:p>
              </w:tc>
              <w:tc>
                <w:tcPr>
                  <w:tcW w:w="4253" w:type="dxa"/>
                </w:tcPr>
                <w:p>
                  <w:pPr>
                    <w:rPr>
                      <w:rFonts w:ascii="Times New Roman" w:hAnsi="Times New Roman" w:cs="Times New Roman"/>
                      <w:color w:val="00B050"/>
                      <w:szCs w:val="21"/>
                    </w:rPr>
                  </w:pPr>
                  <w:r>
                    <w:rPr>
                      <w:rFonts w:hint="eastAsia"/>
                      <w:szCs w:val="21"/>
                    </w:rPr>
                    <w:t>减振基座、隔声门窗等</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vAlign w:val="center"/>
                </w:tcPr>
                <w:p>
                  <w:pPr>
                    <w:jc w:val="center"/>
                    <w:rPr>
                      <w:rFonts w:ascii="Times New Roman" w:hAnsi="Times New Roman" w:cs="Times New Roman"/>
                      <w:color w:val="00B050"/>
                      <w:szCs w:val="21"/>
                    </w:rPr>
                  </w:pPr>
                  <w:r>
                    <w:rPr>
                      <w:rFonts w:hint="eastAsia"/>
                    </w:rPr>
                    <w:t>废气治理措施</w:t>
                  </w:r>
                </w:p>
              </w:tc>
              <w:tc>
                <w:tcPr>
                  <w:tcW w:w="4253" w:type="dxa"/>
                </w:tcPr>
                <w:p>
                  <w:pPr>
                    <w:rPr>
                      <w:rFonts w:ascii="Times New Roman" w:hAnsi="Times New Roman" w:cs="Times New Roman"/>
                      <w:color w:val="00B050"/>
                      <w:szCs w:val="21"/>
                    </w:rPr>
                  </w:pPr>
                  <w:r>
                    <w:t>卸油油气回收系统(即一次油气回收)、加油油气回收系统 (即二次油气回收)</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vMerge w:val="continue"/>
                </w:tcPr>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auto"/>
                      <w:szCs w:val="21"/>
                    </w:rPr>
                  </w:pPr>
                  <w:r>
                    <w:rPr>
                      <w:rFonts w:hint="eastAsia"/>
                      <w:color w:val="auto"/>
                      <w:szCs w:val="21"/>
                    </w:rPr>
                    <w:t>固废</w:t>
                  </w:r>
                  <w:r>
                    <w:rPr>
                      <w:color w:val="auto"/>
                      <w:szCs w:val="21"/>
                    </w:rPr>
                    <w:t>治理</w:t>
                  </w:r>
                  <w:r>
                    <w:rPr>
                      <w:rFonts w:hint="eastAsia"/>
                      <w:color w:val="auto"/>
                      <w:szCs w:val="21"/>
                    </w:rPr>
                    <w:t>措施</w:t>
                  </w:r>
                </w:p>
              </w:tc>
              <w:tc>
                <w:tcPr>
                  <w:tcW w:w="4253" w:type="dxa"/>
                </w:tcPr>
                <w:p>
                  <w:pPr>
                    <w:rPr>
                      <w:color w:val="auto"/>
                      <w:szCs w:val="21"/>
                    </w:rPr>
                  </w:pPr>
                  <w:r>
                    <w:rPr>
                      <w:rFonts w:hint="eastAsia"/>
                      <w:color w:val="auto"/>
                      <w:szCs w:val="21"/>
                    </w:rPr>
                    <w:t>1、生活垃圾收集桶若干，一座危废暂存间规格为建筑面积5</w:t>
                  </w:r>
                  <w:r>
                    <w:rPr>
                      <w:rFonts w:hint="eastAsia"/>
                      <w:bCs/>
                      <w:color w:val="auto"/>
                      <w:szCs w:val="21"/>
                    </w:rPr>
                    <w:t>m</w:t>
                  </w:r>
                  <w:r>
                    <w:rPr>
                      <w:rFonts w:hint="eastAsia"/>
                      <w:color w:val="auto"/>
                      <w:szCs w:val="21"/>
                      <w:vertAlign w:val="superscript"/>
                    </w:rPr>
                    <w:t>2</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景观工程</w:t>
                  </w:r>
                </w:p>
              </w:tc>
              <w:tc>
                <w:tcPr>
                  <w:tcW w:w="1711" w:type="dxa"/>
                </w:tcPr>
                <w:p>
                  <w:pPr>
                    <w:rPr>
                      <w:color w:val="auto"/>
                      <w:szCs w:val="21"/>
                    </w:rPr>
                  </w:pPr>
                  <w:r>
                    <w:rPr>
                      <w:rFonts w:hint="eastAsia"/>
                      <w:color w:val="auto"/>
                      <w:szCs w:val="21"/>
                    </w:rPr>
                    <w:t>项目绿化</w:t>
                  </w:r>
                </w:p>
              </w:tc>
              <w:tc>
                <w:tcPr>
                  <w:tcW w:w="4253" w:type="dxa"/>
                </w:tcPr>
                <w:p>
                  <w:pPr>
                    <w:rPr>
                      <w:color w:val="auto"/>
                      <w:szCs w:val="21"/>
                    </w:rPr>
                  </w:pPr>
                  <w:r>
                    <w:rPr>
                      <w:rFonts w:hint="eastAsia"/>
                      <w:color w:val="auto"/>
                      <w:szCs w:val="21"/>
                    </w:rPr>
                    <w:t>500m</w:t>
                  </w:r>
                  <w:r>
                    <w:rPr>
                      <w:rFonts w:hint="eastAsia"/>
                      <w:color w:val="auto"/>
                      <w:szCs w:val="21"/>
                      <w:vertAlign w:val="superscript"/>
                    </w:rPr>
                    <w:t>2</w:t>
                  </w:r>
                </w:p>
              </w:tc>
              <w:tc>
                <w:tcPr>
                  <w:tcW w:w="2384" w:type="dxa"/>
                </w:tcPr>
                <w:p>
                  <w:pPr>
                    <w:rPr>
                      <w:rFonts w:ascii="Times New Roman" w:hAnsi="Times New Roman" w:cs="Times New Roman"/>
                      <w:color w:val="00B050"/>
                      <w:szCs w:val="21"/>
                    </w:rPr>
                  </w:pPr>
                </w:p>
              </w:tc>
            </w:tr>
          </w:tbl>
          <w:p>
            <w:pPr>
              <w:ind w:firstLine="482" w:firstLineChars="200"/>
              <w:jc w:val="center"/>
              <w:rPr>
                <w:rFonts w:ascii="Times New Roman" w:hAnsi="Times New Roman" w:cs="Times New Roman"/>
                <w:b/>
                <w:color w:val="000000"/>
                <w:sz w:val="24"/>
              </w:rPr>
            </w:pPr>
          </w:p>
          <w:p>
            <w:pPr>
              <w:spacing w:line="440" w:lineRule="exact"/>
              <w:rPr>
                <w:rFonts w:ascii="Times New Roman" w:hAnsi="Times New Roman" w:cs="Times New Roman"/>
                <w:b/>
                <w:sz w:val="28"/>
                <w:szCs w:val="28"/>
              </w:rPr>
            </w:pPr>
            <w:r>
              <w:rPr>
                <w:rFonts w:ascii="Times New Roman" w:hAnsi="Times New Roman" w:cs="Times New Roman"/>
                <w:b/>
                <w:sz w:val="28"/>
                <w:szCs w:val="28"/>
              </w:rPr>
              <w:t>1.7 项目主要设备</w:t>
            </w:r>
          </w:p>
          <w:p>
            <w:pPr>
              <w:spacing w:line="360" w:lineRule="auto"/>
              <w:ind w:firstLine="482" w:firstLineChars="200"/>
              <w:jc w:val="center"/>
              <w:rPr>
                <w:rFonts w:ascii="Times New Roman" w:hAnsi="Times New Roman" w:cs="Times New Roman"/>
                <w:b/>
                <w:bCs/>
                <w:sz w:val="24"/>
              </w:rPr>
            </w:pPr>
          </w:p>
          <w:p>
            <w:pPr>
              <w:spacing w:line="360" w:lineRule="auto"/>
              <w:ind w:firstLine="482" w:firstLineChars="200"/>
              <w:jc w:val="center"/>
              <w:rPr>
                <w:rFonts w:ascii="Times New Roman" w:hAnsi="Times New Roman" w:cs="Times New Roman"/>
                <w:b/>
                <w:bCs/>
                <w:sz w:val="24"/>
              </w:rPr>
            </w:pPr>
            <w:r>
              <w:rPr>
                <w:rFonts w:ascii="Times New Roman" w:hAnsi="Times New Roman" w:cs="Times New Roman"/>
                <w:b/>
                <w:bCs/>
                <w:sz w:val="24"/>
              </w:rPr>
              <w:t>表1-2  主要设备一览表</w:t>
            </w:r>
          </w:p>
          <w:tbl>
            <w:tblPr>
              <w:tblStyle w:val="16"/>
              <w:tblW w:w="86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7"/>
              <w:gridCol w:w="3129"/>
              <w:gridCol w:w="2694"/>
              <w:gridCol w:w="2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3129" w:type="dxa"/>
                  <w:tcBorders>
                    <w:tl2br w:val="nil"/>
                    <w:tr2bl w:val="nil"/>
                  </w:tcBorders>
                  <w:vAlign w:val="center"/>
                </w:tcPr>
                <w:p>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设备</w:t>
                  </w:r>
                  <w:r>
                    <w:rPr>
                      <w:rFonts w:ascii="Times New Roman" w:hAnsi="Times New Roman" w:cs="Times New Roman"/>
                      <w:b/>
                      <w:bCs/>
                      <w:szCs w:val="21"/>
                    </w:rPr>
                    <w:t>名称</w:t>
                  </w:r>
                </w:p>
              </w:tc>
              <w:tc>
                <w:tcPr>
                  <w:tcW w:w="2694"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规格型号</w:t>
                  </w:r>
                </w:p>
              </w:tc>
              <w:tc>
                <w:tcPr>
                  <w:tcW w:w="2194" w:type="dxa"/>
                  <w:tcBorders>
                    <w:bottom w:val="single" w:color="auto" w:sz="4" w:space="0"/>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地埋柴油储油罐</w:t>
                  </w:r>
                </w:p>
              </w:tc>
              <w:tc>
                <w:tcPr>
                  <w:tcW w:w="2694" w:type="dxa"/>
                  <w:tcBorders>
                    <w:bottom w:val="single" w:color="auto" w:sz="4" w:space="0"/>
                    <w:tl2br w:val="nil"/>
                    <w:tr2bl w:val="nil"/>
                  </w:tcBorders>
                  <w:vAlign w:val="center"/>
                </w:tcPr>
                <w:p>
                  <w:pPr>
                    <w:adjustRightInd w:val="0"/>
                    <w:snapToGrid w:val="0"/>
                    <w:jc w:val="center"/>
                    <w:rPr>
                      <w:rFonts w:ascii="宋体" w:hAnsi="宋体" w:eastAsia="宋体" w:cs="宋体"/>
                      <w:szCs w:val="21"/>
                    </w:rPr>
                  </w:pPr>
                  <w:r>
                    <w:rPr>
                      <w:rFonts w:hint="eastAsia" w:ascii="Times New Roman" w:hAnsi="Times New Roman" w:cs="Times New Roman"/>
                      <w:szCs w:val="21"/>
                    </w:rPr>
                    <w:t>双层罐，V=50m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双层罐，V=50m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ind w:firstLine="840" w:firstLineChars="400"/>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双层罐，V</w:t>
                  </w:r>
                  <w:r>
                    <w:rPr>
                      <w:rFonts w:ascii="Times New Roman" w:hAnsi="Times New Roman" w:cs="Times New Roman"/>
                      <w:szCs w:val="21"/>
                    </w:rPr>
                    <w:t>=50</w:t>
                  </w:r>
                  <w:r>
                    <w:rPr>
                      <w:rFonts w:hint="eastAsia" w:ascii="Times New Roman" w:hAnsi="Times New Roman" w:cs="Times New Roman"/>
                      <w:szCs w:val="21"/>
                    </w:rPr>
                    <w:t xml:space="preserve"> 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0" w:hRule="atLeast"/>
                <w:jc w:val="center"/>
              </w:trPr>
              <w:tc>
                <w:tcPr>
                  <w:tcW w:w="647"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w:t>
                  </w:r>
                </w:p>
              </w:tc>
              <w:tc>
                <w:tcPr>
                  <w:tcW w:w="3129"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加油机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szCs w:val="21"/>
                    </w:rPr>
                    <w:t>92</w:t>
                  </w:r>
                  <w:r>
                    <w:rPr>
                      <w:szCs w:val="21"/>
                      <w:vertAlign w:val="superscript"/>
                    </w:rPr>
                    <w:t>#</w:t>
                  </w:r>
                  <w:r>
                    <w:rPr>
                      <w:szCs w:val="21"/>
                    </w:rPr>
                    <w:t>汽油</w:t>
                  </w:r>
                  <w:r>
                    <w:rPr>
                      <w:rFonts w:hint="eastAsia"/>
                      <w:szCs w:val="21"/>
                    </w:rPr>
                    <w:t>，双枪</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0" w:hRule="atLeast"/>
                <w:jc w:val="center"/>
              </w:trPr>
              <w:tc>
                <w:tcPr>
                  <w:tcW w:w="64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129"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szCs w:val="21"/>
                    </w:rPr>
                    <w:t>95</w:t>
                  </w:r>
                  <w:r>
                    <w:rPr>
                      <w:szCs w:val="21"/>
                      <w:vertAlign w:val="superscript"/>
                    </w:rPr>
                    <w:t>#</w:t>
                  </w:r>
                  <w:r>
                    <w:rPr>
                      <w:szCs w:val="21"/>
                    </w:rPr>
                    <w:t>汽油</w:t>
                  </w:r>
                  <w:r>
                    <w:rPr>
                      <w:rFonts w:hint="eastAsia"/>
                      <w:szCs w:val="21"/>
                    </w:rPr>
                    <w:t>，双枪</w:t>
                  </w:r>
                </w:p>
              </w:tc>
              <w:tc>
                <w:tcPr>
                  <w:tcW w:w="2194" w:type="dxa"/>
                  <w:tcBorders>
                    <w:tl2br w:val="nil"/>
                    <w:tr2bl w:val="nil"/>
                  </w:tcBorders>
                  <w:vAlign w:val="center"/>
                </w:tcPr>
                <w:p>
                  <w:pPr>
                    <w:adjustRightInd w:val="0"/>
                    <w:snapToGrid w:val="0"/>
                    <w:jc w:val="center"/>
                  </w:pPr>
                  <w:r>
                    <w:rPr>
                      <w:rFonts w:hint="eastAsia"/>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0" w:hRule="atLeast"/>
                <w:jc w:val="center"/>
              </w:trPr>
              <w:tc>
                <w:tcPr>
                  <w:tcW w:w="64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129"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szCs w:val="21"/>
                    </w:rPr>
                    <w:t>0</w:t>
                  </w:r>
                  <w:r>
                    <w:rPr>
                      <w:szCs w:val="21"/>
                      <w:vertAlign w:val="superscript"/>
                    </w:rPr>
                    <w:t>#</w:t>
                  </w:r>
                  <w:r>
                    <w:rPr>
                      <w:szCs w:val="21"/>
                    </w:rPr>
                    <w:t>柴油</w:t>
                  </w:r>
                  <w:r>
                    <w:rPr>
                      <w:rFonts w:hint="eastAsia"/>
                      <w:szCs w:val="21"/>
                    </w:rPr>
                    <w:t>，双枪</w:t>
                  </w:r>
                </w:p>
              </w:tc>
              <w:tc>
                <w:tcPr>
                  <w:tcW w:w="2194" w:type="dxa"/>
                  <w:tcBorders>
                    <w:tl2br w:val="nil"/>
                    <w:tr2bl w:val="nil"/>
                  </w:tcBorders>
                  <w:vAlign w:val="center"/>
                </w:tcPr>
                <w:p>
                  <w:pPr>
                    <w:adjustRightInd w:val="0"/>
                    <w:snapToGrid w:val="0"/>
                    <w:jc w:val="center"/>
                  </w:pPr>
                  <w:r>
                    <w:rPr>
                      <w:rFonts w:hint="eastAsia"/>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油汽回收系统</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一次、二次</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各一套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p>
              </w:tc>
              <w:tc>
                <w:tcPr>
                  <w:tcW w:w="3129" w:type="dxa"/>
                  <w:tcBorders>
                    <w:tl2br w:val="nil"/>
                    <w:tr2bl w:val="nil"/>
                  </w:tcBorders>
                  <w:vAlign w:val="center"/>
                </w:tcPr>
                <w:p>
                  <w:pPr>
                    <w:adjustRightInd w:val="0"/>
                    <w:snapToGrid w:val="0"/>
                    <w:ind w:firstLine="840" w:firstLineChars="400"/>
                    <w:rPr>
                      <w:rFonts w:ascii="Times New Roman" w:hAnsi="Times New Roman" w:cs="Times New Roman"/>
                      <w:szCs w:val="21"/>
                    </w:rPr>
                  </w:pPr>
                  <w:r>
                    <w:t>消防沙</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2m</w:t>
                  </w:r>
                  <w:r>
                    <w:rPr>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6"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7</w:t>
                  </w:r>
                </w:p>
              </w:tc>
              <w:tc>
                <w:tcPr>
                  <w:tcW w:w="3129" w:type="dxa"/>
                  <w:tcBorders>
                    <w:tl2br w:val="nil"/>
                    <w:tr2bl w:val="nil"/>
                  </w:tcBorders>
                  <w:vAlign w:val="center"/>
                </w:tcPr>
                <w:p>
                  <w:pPr>
                    <w:adjustRightInd w:val="0"/>
                    <w:snapToGrid w:val="0"/>
                    <w:jc w:val="center"/>
                    <w:rPr>
                      <w:color w:val="C00000"/>
                      <w:kern w:val="0"/>
                    </w:rPr>
                  </w:pPr>
                  <w:r>
                    <w:rPr>
                      <w:rFonts w:hint="eastAsia"/>
                      <w:szCs w:val="21"/>
                    </w:rPr>
                    <w:t>推车式</w:t>
                  </w:r>
                  <w:r>
                    <w:rPr>
                      <w:szCs w:val="21"/>
                    </w:rPr>
                    <w:t>干粉灭火器</w:t>
                  </w:r>
                </w:p>
              </w:tc>
              <w:tc>
                <w:tcPr>
                  <w:tcW w:w="2694" w:type="dxa"/>
                  <w:tcBorders>
                    <w:tl2br w:val="nil"/>
                    <w:tr2bl w:val="nil"/>
                  </w:tcBorders>
                  <w:vAlign w:val="center"/>
                </w:tcPr>
                <w:p>
                  <w:pPr>
                    <w:adjustRightInd w:val="0"/>
                    <w:snapToGrid w:val="0"/>
                    <w:ind w:firstLine="1050" w:firstLineChars="500"/>
                    <w:rPr>
                      <w:rFonts w:ascii="Times New Roman" w:hAnsi="Times New Roman" w:cs="Times New Roman"/>
                      <w:color w:val="C00000"/>
                      <w:szCs w:val="21"/>
                    </w:rPr>
                  </w:pPr>
                  <w:r>
                    <w:rPr>
                      <w:szCs w:val="21"/>
                    </w:rPr>
                    <w:t>35kg</w:t>
                  </w:r>
                </w:p>
              </w:tc>
              <w:tc>
                <w:tcPr>
                  <w:tcW w:w="2194"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8</w:t>
                  </w:r>
                </w:p>
              </w:tc>
              <w:tc>
                <w:tcPr>
                  <w:tcW w:w="3129" w:type="dxa"/>
                  <w:tcBorders>
                    <w:tl2br w:val="nil"/>
                    <w:tr2bl w:val="nil"/>
                  </w:tcBorders>
                  <w:vAlign w:val="center"/>
                </w:tcPr>
                <w:p>
                  <w:pPr>
                    <w:adjustRightInd w:val="0"/>
                    <w:snapToGrid w:val="0"/>
                    <w:jc w:val="center"/>
                    <w:rPr>
                      <w:color w:val="C00000"/>
                    </w:rPr>
                  </w:pPr>
                  <w:r>
                    <w:rPr>
                      <w:rFonts w:hint="eastAsia"/>
                      <w:szCs w:val="21"/>
                    </w:rPr>
                    <w:t>二氧化碳灭火器</w:t>
                  </w:r>
                </w:p>
              </w:tc>
              <w:tc>
                <w:tcPr>
                  <w:tcW w:w="2694" w:type="dxa"/>
                  <w:tcBorders>
                    <w:tl2br w:val="nil"/>
                    <w:tr2bl w:val="nil"/>
                  </w:tcBorders>
                  <w:vAlign w:val="center"/>
                </w:tcPr>
                <w:p>
                  <w:pPr>
                    <w:adjustRightInd w:val="0"/>
                    <w:snapToGrid w:val="0"/>
                    <w:ind w:firstLine="1050" w:firstLineChars="500"/>
                    <w:rPr>
                      <w:rFonts w:ascii="Times New Roman" w:hAnsi="Times New Roman" w:cs="Times New Roman"/>
                      <w:color w:val="C00000"/>
                      <w:szCs w:val="21"/>
                    </w:rPr>
                  </w:pPr>
                  <w:r>
                    <w:rPr>
                      <w:rFonts w:hint="eastAsia" w:ascii="Times New Roman" w:hAnsi="Times New Roman" w:cs="Times New Roman"/>
                      <w:color w:val="auto"/>
                      <w:szCs w:val="21"/>
                    </w:rPr>
                    <w:t>T</w:t>
                  </w:r>
                  <w:r>
                    <w:rPr>
                      <w:rFonts w:ascii="Times New Roman" w:hAnsi="Times New Roman" w:cs="Times New Roman"/>
                      <w:color w:val="auto"/>
                      <w:szCs w:val="21"/>
                    </w:rPr>
                    <w:t>3</w:t>
                  </w:r>
                </w:p>
              </w:tc>
              <w:tc>
                <w:tcPr>
                  <w:tcW w:w="2194" w:type="dxa"/>
                  <w:tcBorders>
                    <w:tl2br w:val="nil"/>
                    <w:tr2bl w:val="nil"/>
                  </w:tcBorders>
                  <w:vAlign w:val="center"/>
                </w:tcPr>
                <w:p>
                  <w:pPr>
                    <w:adjustRightInd w:val="0"/>
                    <w:snapToGrid w:val="0"/>
                    <w:rPr>
                      <w:rFonts w:ascii="Times New Roman" w:hAnsi="Times New Roman" w:cs="Times New Roman"/>
                      <w:color w:val="auto"/>
                      <w:szCs w:val="21"/>
                    </w:rPr>
                  </w:pPr>
                  <w:r>
                    <w:rPr>
                      <w:rFonts w:hint="eastAsia" w:ascii="Times New Roman" w:hAnsi="Times New Roman" w:cs="Times New Roman"/>
                      <w:color w:val="auto"/>
                      <w:szCs w:val="21"/>
                    </w:rPr>
                    <w:t xml:space="preserve"> </w:t>
                  </w:r>
                  <w:r>
                    <w:rPr>
                      <w:rFonts w:ascii="Times New Roman" w:hAnsi="Times New Roman" w:cs="Times New Roman"/>
                      <w:color w:val="auto"/>
                      <w:szCs w:val="21"/>
                    </w:rPr>
                    <w:t xml:space="preserve">       </w:t>
                  </w:r>
                  <w:r>
                    <w:rPr>
                      <w:rFonts w:hint="eastAsia" w:ascii="Times New Roman" w:hAnsi="Times New Roman" w:cs="Times New Roman"/>
                      <w:color w:val="auto"/>
                      <w:szCs w:val="21"/>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9</w:t>
                  </w:r>
                </w:p>
              </w:tc>
              <w:tc>
                <w:tcPr>
                  <w:tcW w:w="3129" w:type="dxa"/>
                  <w:tcBorders>
                    <w:tl2br w:val="nil"/>
                    <w:tr2bl w:val="nil"/>
                  </w:tcBorders>
                  <w:vAlign w:val="center"/>
                </w:tcPr>
                <w:p>
                  <w:pPr>
                    <w:adjustRightInd w:val="0"/>
                    <w:snapToGrid w:val="0"/>
                    <w:jc w:val="center"/>
                    <w:rPr>
                      <w:color w:val="C00000"/>
                    </w:rPr>
                  </w:pPr>
                  <w:r>
                    <w:rPr>
                      <w:rFonts w:hint="eastAsia"/>
                      <w:szCs w:val="21"/>
                    </w:rPr>
                    <w:t>手提式</w:t>
                  </w:r>
                  <w:r>
                    <w:rPr>
                      <w:szCs w:val="21"/>
                    </w:rPr>
                    <w:t>干粉灭火器</w:t>
                  </w:r>
                </w:p>
              </w:tc>
              <w:tc>
                <w:tcPr>
                  <w:tcW w:w="2694" w:type="dxa"/>
                  <w:tcBorders>
                    <w:tl2br w:val="nil"/>
                    <w:tr2bl w:val="nil"/>
                  </w:tcBorders>
                  <w:vAlign w:val="center"/>
                </w:tcPr>
                <w:p>
                  <w:pPr>
                    <w:adjustRightInd w:val="0"/>
                    <w:snapToGrid w:val="0"/>
                    <w:rPr>
                      <w:rFonts w:ascii="Times New Roman" w:hAnsi="Times New Roman" w:cs="Times New Roman"/>
                      <w:color w:val="C00000"/>
                      <w:szCs w:val="21"/>
                    </w:rPr>
                  </w:pPr>
                  <w:r>
                    <w:rPr>
                      <w:rFonts w:hint="eastAsia" w:ascii="Times New Roman" w:hAnsi="Times New Roman" w:cs="Times New Roman"/>
                      <w:color w:val="C00000"/>
                      <w:szCs w:val="21"/>
                    </w:rPr>
                    <w:t xml:space="preserve"> </w:t>
                  </w:r>
                  <w:r>
                    <w:rPr>
                      <w:rFonts w:ascii="Times New Roman" w:hAnsi="Times New Roman" w:cs="Times New Roman"/>
                      <w:color w:val="C00000"/>
                      <w:szCs w:val="21"/>
                    </w:rPr>
                    <w:t xml:space="preserve">         </w:t>
                  </w:r>
                  <w:r>
                    <w:rPr>
                      <w:rFonts w:hint="eastAsia"/>
                      <w:szCs w:val="21"/>
                    </w:rPr>
                    <w:t>5</w:t>
                  </w:r>
                  <w:r>
                    <w:rPr>
                      <w:szCs w:val="21"/>
                    </w:rPr>
                    <w:t>kg</w:t>
                  </w:r>
                  <w:r>
                    <w:rPr>
                      <w:rFonts w:ascii="Times New Roman" w:hAnsi="Times New Roman" w:cs="Times New Roman"/>
                      <w:color w:val="C00000"/>
                      <w:szCs w:val="21"/>
                    </w:rPr>
                    <w:t xml:space="preserve"> </w:t>
                  </w:r>
                </w:p>
              </w:tc>
              <w:tc>
                <w:tcPr>
                  <w:tcW w:w="2194" w:type="dxa"/>
                  <w:tcBorders>
                    <w:tl2br w:val="nil"/>
                    <w:tr2bl w:val="nil"/>
                  </w:tcBorders>
                  <w:vAlign w:val="center"/>
                </w:tcPr>
                <w:p>
                  <w:pPr>
                    <w:adjustRightInd w:val="0"/>
                    <w:snapToGrid w:val="0"/>
                    <w:ind w:firstLine="840" w:firstLineChars="400"/>
                    <w:rPr>
                      <w:rFonts w:ascii="Times New Roman" w:hAnsi="Times New Roman" w:cs="Times New Roman"/>
                      <w:color w:val="auto"/>
                      <w:szCs w:val="21"/>
                    </w:rPr>
                  </w:pPr>
                  <w:r>
                    <w:rPr>
                      <w:rFonts w:hint="eastAsia" w:ascii="Times New Roman" w:hAnsi="Times New Roman" w:cs="Times New Roman"/>
                      <w:color w:val="auto"/>
                      <w:szCs w:val="21"/>
                    </w:rPr>
                    <w:t>22具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w:t>
                  </w:r>
                </w:p>
              </w:tc>
              <w:tc>
                <w:tcPr>
                  <w:tcW w:w="3129" w:type="dxa"/>
                  <w:tcBorders>
                    <w:tl2br w:val="nil"/>
                    <w:tr2bl w:val="nil"/>
                  </w:tcBorders>
                  <w:vAlign w:val="center"/>
                </w:tcPr>
                <w:p>
                  <w:pPr>
                    <w:adjustRightInd w:val="0"/>
                    <w:snapToGrid w:val="0"/>
                    <w:jc w:val="center"/>
                    <w:rPr>
                      <w:kern w:val="0"/>
                    </w:rPr>
                  </w:pPr>
                  <w:r>
                    <w:t>灭火毯</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6 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11</w:t>
                  </w:r>
                </w:p>
              </w:tc>
              <w:tc>
                <w:tcPr>
                  <w:tcW w:w="3129" w:type="dxa"/>
                  <w:tcBorders>
                    <w:tl2br w:val="nil"/>
                    <w:tr2bl w:val="nil"/>
                  </w:tcBorders>
                  <w:vAlign w:val="center"/>
                </w:tcPr>
                <w:p>
                  <w:pPr>
                    <w:adjustRightInd w:val="0"/>
                    <w:snapToGrid w:val="0"/>
                    <w:jc w:val="center"/>
                    <w:rPr>
                      <w:kern w:val="0"/>
                    </w:rPr>
                  </w:pPr>
                  <w:r>
                    <w:rPr>
                      <w:rFonts w:hint="eastAsia"/>
                    </w:rPr>
                    <w:t>备用</w:t>
                  </w:r>
                  <w:r>
                    <w:t>柴油发电机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kern w:val="0"/>
                      <w:szCs w:val="21"/>
                    </w:rPr>
                    <w:t>SHL3900CE，3KW</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台</w:t>
                  </w:r>
                </w:p>
              </w:tc>
            </w:tr>
          </w:tbl>
          <w:p>
            <w:pPr>
              <w:tabs>
                <w:tab w:val="left" w:leader="dot" w:pos="0"/>
              </w:tabs>
              <w:spacing w:line="360" w:lineRule="auto"/>
              <w:rPr>
                <w:rFonts w:ascii="Times New Roman" w:hAnsi="Times New Roman" w:cs="Times New Roman"/>
                <w:b/>
                <w:sz w:val="28"/>
                <w:szCs w:val="28"/>
              </w:rPr>
            </w:pPr>
          </w:p>
          <w:p>
            <w:pPr>
              <w:tabs>
                <w:tab w:val="left" w:leader="dot" w:pos="0"/>
              </w:tabs>
              <w:spacing w:line="360" w:lineRule="auto"/>
              <w:rPr>
                <w:rFonts w:ascii="Times New Roman" w:hAnsi="Times New Roman" w:cs="Times New Roman"/>
                <w:b/>
                <w:sz w:val="28"/>
                <w:szCs w:val="28"/>
              </w:rPr>
            </w:pPr>
            <w:r>
              <w:rPr>
                <w:rFonts w:hint="eastAsia" w:ascii="Times New Roman" w:hAnsi="Times New Roman" w:cs="Times New Roman"/>
                <w:b/>
                <w:sz w:val="28"/>
                <w:szCs w:val="28"/>
              </w:rPr>
              <w:t>1</w:t>
            </w:r>
            <w:r>
              <w:rPr>
                <w:rFonts w:ascii="Times New Roman" w:hAnsi="Times New Roman" w:cs="Times New Roman"/>
                <w:b/>
                <w:sz w:val="28"/>
                <w:szCs w:val="28"/>
              </w:rPr>
              <w:t>.8 主要原辅材料</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本项目主要从事机动车燃料的零售，包括柴油和汽油，均为外购。</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本项目主要原辅材料详见表1-3。</w:t>
            </w:r>
          </w:p>
          <w:p>
            <w:pPr>
              <w:widowControl/>
              <w:spacing w:line="460" w:lineRule="exact"/>
              <w:jc w:val="center"/>
              <w:rPr>
                <w:rFonts w:ascii="Times New Roman" w:hAnsi="Times New Roman" w:cs="Times New Roman"/>
                <w:b/>
                <w:kern w:val="0"/>
                <w:sz w:val="24"/>
              </w:rPr>
            </w:pPr>
          </w:p>
          <w:p>
            <w:pPr>
              <w:widowControl/>
              <w:spacing w:line="460" w:lineRule="exact"/>
              <w:jc w:val="center"/>
              <w:rPr>
                <w:rFonts w:ascii="Times New Roman" w:hAnsi="Times New Roman" w:cs="Times New Roman"/>
                <w:sz w:val="24"/>
              </w:rPr>
            </w:pPr>
            <w:r>
              <w:rPr>
                <w:rFonts w:ascii="Times New Roman" w:hAnsi="Times New Roman" w:cs="Times New Roman"/>
                <w:b/>
                <w:kern w:val="0"/>
                <w:sz w:val="24"/>
              </w:rPr>
              <w:t>表1-3  本项目原辅材料及能源消耗一览表</w:t>
            </w:r>
          </w:p>
          <w:tbl>
            <w:tblPr>
              <w:tblStyle w:val="16"/>
              <w:tblW w:w="855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868"/>
              <w:gridCol w:w="1034"/>
              <w:gridCol w:w="1140"/>
              <w:gridCol w:w="1659"/>
              <w:gridCol w:w="1471"/>
              <w:gridCol w:w="1110"/>
              <w:gridCol w:w="6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86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危险化学品序号</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规格</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最大储存量</w:t>
                  </w:r>
                  <w:r>
                    <w:rPr>
                      <w:rFonts w:hint="eastAsia" w:ascii="Times New Roman" w:hAnsi="Times New Roman" w:cs="Times New Roman"/>
                      <w:szCs w:val="21"/>
                    </w:rPr>
                    <w:t>（m</w:t>
                  </w:r>
                  <w:r>
                    <w:rPr>
                      <w:rFonts w:hint="eastAsia" w:ascii="Times New Roman" w:hAnsi="Times New Roman" w:cs="Times New Roman"/>
                      <w:szCs w:val="21"/>
                      <w:vertAlign w:val="superscript"/>
                    </w:rPr>
                    <w:t>3</w:t>
                  </w:r>
                  <w:r>
                    <w:rPr>
                      <w:rFonts w:hint="eastAsia" w:ascii="Times New Roman" w:hAnsi="Times New Roman" w:cs="Times New Roman"/>
                      <w:szCs w:val="21"/>
                    </w:rPr>
                    <w:t>）</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储存方式</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运输方式</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868"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1674</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868"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1630</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bl>
          <w:p>
            <w:pPr>
              <w:snapToGrid w:val="0"/>
              <w:spacing w:line="360" w:lineRule="auto"/>
              <w:rPr>
                <w:rFonts w:ascii="Times New Roman" w:hAnsi="Times New Roman" w:cs="Times New Roman"/>
                <w:b/>
                <w:sz w:val="28"/>
                <w:szCs w:val="28"/>
              </w:rPr>
            </w:pPr>
          </w:p>
          <w:p>
            <w:pPr>
              <w:snapToGrid w:val="0"/>
              <w:spacing w:line="360" w:lineRule="auto"/>
              <w:rPr>
                <w:rFonts w:ascii="Times New Roman" w:hAnsi="Times New Roman" w:cs="Times New Roman"/>
                <w:b/>
                <w:sz w:val="28"/>
                <w:szCs w:val="28"/>
              </w:rPr>
            </w:pPr>
          </w:p>
          <w:p>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1.9 公用工程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（1）供水</w:t>
            </w:r>
          </w:p>
          <w:p>
            <w:pPr>
              <w:tabs>
                <w:tab w:val="left" w:pos="1350"/>
              </w:tabs>
              <w:spacing w:line="360" w:lineRule="auto"/>
              <w:ind w:firstLine="480" w:firstLineChars="200"/>
              <w:rPr>
                <w:rFonts w:ascii="Times New Roman" w:hAnsi="Times New Roman" w:cs="Times New Roman"/>
                <w:sz w:val="24"/>
              </w:rPr>
            </w:pPr>
            <w:bookmarkStart w:id="9" w:name="_Toc479078401"/>
            <w:bookmarkStart w:id="10" w:name="_Toc478807402"/>
            <w:bookmarkStart w:id="11" w:name="_Toc478807683"/>
            <w:r>
              <w:rPr>
                <w:rFonts w:hint="eastAsia" w:ascii="Times New Roman" w:hAnsi="Times New Roman" w:cs="Times New Roman"/>
                <w:sz w:val="24"/>
              </w:rPr>
              <w:t>新</w:t>
            </w:r>
            <w:r>
              <w:rPr>
                <w:rFonts w:ascii="Times New Roman" w:hAnsi="Times New Roman" w:cs="Times New Roman"/>
                <w:sz w:val="24"/>
              </w:rPr>
              <w:t>建项目共有职工</w:t>
            </w:r>
            <w:r>
              <w:rPr>
                <w:rFonts w:hint="eastAsia" w:ascii="Times New Roman" w:hAnsi="Times New Roman" w:cs="Times New Roman"/>
                <w:sz w:val="24"/>
              </w:rPr>
              <w:t>5</w:t>
            </w:r>
            <w:r>
              <w:rPr>
                <w:rFonts w:ascii="Times New Roman" w:hAnsi="Times New Roman" w:cs="Times New Roman"/>
                <w:sz w:val="24"/>
              </w:rPr>
              <w:t>人，</w:t>
            </w:r>
            <w:r>
              <w:rPr>
                <w:rFonts w:hint="eastAsia" w:ascii="Times New Roman" w:hAnsi="Times New Roman" w:cs="Times New Roman"/>
                <w:sz w:val="24"/>
              </w:rPr>
              <w:t>生产用水和</w:t>
            </w:r>
            <w:r>
              <w:rPr>
                <w:rFonts w:ascii="Times New Roman" w:hAnsi="Times New Roman" w:cs="Times New Roman"/>
                <w:sz w:val="24"/>
              </w:rPr>
              <w:t>生活用水</w:t>
            </w:r>
            <w:r>
              <w:rPr>
                <w:rFonts w:hint="eastAsia" w:ascii="Times New Roman" w:hAnsi="Times New Roman" w:cs="Times New Roman"/>
                <w:sz w:val="24"/>
              </w:rPr>
              <w:t>由</w:t>
            </w:r>
            <w:r>
              <w:rPr>
                <w:sz w:val="24"/>
              </w:rPr>
              <w:t>贵州</w:t>
            </w:r>
            <w:r>
              <w:rPr>
                <w:rFonts w:hint="eastAsia"/>
                <w:sz w:val="24"/>
              </w:rPr>
              <w:t>花溪区</w:t>
            </w:r>
            <w:r>
              <w:rPr>
                <w:sz w:val="24"/>
              </w:rPr>
              <w:t>市政供水管网供给</w:t>
            </w:r>
            <w:r>
              <w:rPr>
                <w:rFonts w:ascii="Times New Roman" w:hAnsi="Times New Roman" w:cs="Times New Roman"/>
                <w:sz w:val="24"/>
              </w:rPr>
              <w:t>，项目用水主要为生活用水</w:t>
            </w:r>
            <w:r>
              <w:rPr>
                <w:rFonts w:hint="eastAsia" w:ascii="Times New Roman" w:hAnsi="Times New Roman" w:cs="Times New Roman"/>
                <w:sz w:val="24"/>
              </w:rPr>
              <w:t>（</w:t>
            </w:r>
            <w:r>
              <w:rPr>
                <w:sz w:val="24"/>
              </w:rPr>
              <w:t>主要为办公用水</w:t>
            </w:r>
            <w:r>
              <w:rPr>
                <w:rFonts w:hint="eastAsia"/>
                <w:sz w:val="24"/>
              </w:rPr>
              <w:t>）</w:t>
            </w:r>
            <w:r>
              <w:rPr>
                <w:rFonts w:ascii="Times New Roman" w:hAnsi="Times New Roman" w:cs="Times New Roman"/>
                <w:sz w:val="24"/>
              </w:rPr>
              <w:t>、场地清洗水、绿化用水等。</w:t>
            </w:r>
          </w:p>
          <w:p>
            <w:pPr>
              <w:spacing w:line="360" w:lineRule="auto"/>
              <w:ind w:firstLine="480" w:firstLineChars="200"/>
              <w:outlineLvl w:val="0"/>
              <w:rPr>
                <w:rFonts w:ascii="Times New Roman" w:hAnsi="Times New Roman" w:cs="Times New Roman"/>
                <w:sz w:val="24"/>
              </w:rPr>
            </w:pPr>
            <w:r>
              <w:rPr>
                <w:rFonts w:ascii="Times New Roman" w:hAnsi="Times New Roman" w:cs="Times New Roman"/>
                <w:sz w:val="24"/>
              </w:rPr>
              <w:t>（2）排水</w:t>
            </w:r>
            <w:bookmarkEnd w:id="9"/>
            <w:bookmarkEnd w:id="10"/>
            <w:bookmarkEnd w:id="11"/>
          </w:p>
          <w:p>
            <w:pPr>
              <w:tabs>
                <w:tab w:val="left" w:pos="1350"/>
              </w:tabs>
              <w:spacing w:line="360" w:lineRule="auto"/>
              <w:ind w:firstLine="480" w:firstLineChars="200"/>
              <w:rPr>
                <w:rFonts w:ascii="Times New Roman" w:hAnsi="Times New Roman" w:cs="Times New Roman"/>
                <w:sz w:val="24"/>
              </w:rPr>
            </w:pPr>
            <w:r>
              <w:rPr>
                <w:sz w:val="24"/>
              </w:rPr>
              <w:t>项目采取雨污分流，</w:t>
            </w:r>
            <w:r>
              <w:rPr>
                <w:rFonts w:hint="eastAsia"/>
                <w:sz w:val="24"/>
              </w:rPr>
              <w:t>雨水经场内雨水沟排出站外；加油作业区地面冲洗废水经隔油池处理后，同站房员工生活污水排入站区污水处理系统（采用</w:t>
            </w:r>
            <w:r>
              <w:rPr>
                <w:rFonts w:hint="eastAsia"/>
                <w:color w:val="auto"/>
                <w:sz w:val="24"/>
              </w:rPr>
              <w:t>“化粪池＋地沟式土地处理系统”工艺）处理后，</w:t>
            </w:r>
            <w:r>
              <w:rPr>
                <w:rFonts w:hint="eastAsia"/>
                <w:bCs/>
                <w:color w:val="auto"/>
                <w:sz w:val="24"/>
              </w:rPr>
              <w:t>能够</w:t>
            </w:r>
            <w:r>
              <w:rPr>
                <w:rFonts w:hint="eastAsia" w:hAnsi="宋体"/>
                <w:bCs/>
                <w:color w:val="auto"/>
                <w:sz w:val="24"/>
              </w:rPr>
              <w:t>达到</w:t>
            </w:r>
            <w:r>
              <w:rPr>
                <w:rFonts w:hAnsi="宋体"/>
                <w:color w:val="auto"/>
                <w:sz w:val="24"/>
              </w:rPr>
              <w:t>《城市污水再生利用</w:t>
            </w:r>
            <w:r>
              <w:rPr>
                <w:color w:val="auto"/>
                <w:sz w:val="24"/>
              </w:rPr>
              <w:t xml:space="preserve"> </w:t>
            </w:r>
            <w:r>
              <w:rPr>
                <w:rFonts w:hAnsi="宋体"/>
                <w:color w:val="auto"/>
                <w:sz w:val="24"/>
              </w:rPr>
              <w:t>城市杂用水水质》</w:t>
            </w:r>
            <w:r>
              <w:rPr>
                <w:rFonts w:hint="eastAsia" w:hAnsi="宋体"/>
                <w:color w:val="auto"/>
                <w:sz w:val="24"/>
              </w:rPr>
              <w:t>（</w:t>
            </w:r>
            <w:r>
              <w:rPr>
                <w:color w:val="auto"/>
                <w:sz w:val="24"/>
              </w:rPr>
              <w:t>GB/T18920-2002</w:t>
            </w:r>
            <w:r>
              <w:rPr>
                <w:rFonts w:hint="eastAsia"/>
                <w:color w:val="auto"/>
                <w:sz w:val="24"/>
              </w:rPr>
              <w:t>）</w:t>
            </w:r>
            <w:r>
              <w:rPr>
                <w:rFonts w:hAnsi="宋体"/>
                <w:color w:val="auto"/>
                <w:sz w:val="24"/>
              </w:rPr>
              <w:t>标准</w:t>
            </w:r>
            <w:r>
              <w:rPr>
                <w:rFonts w:hint="eastAsia"/>
                <w:bCs/>
                <w:color w:val="auto"/>
                <w:sz w:val="24"/>
              </w:rPr>
              <w:t>要求</w:t>
            </w:r>
            <w:r>
              <w:rPr>
                <w:rFonts w:hint="eastAsia" w:hAnsi="宋体"/>
                <w:bCs/>
                <w:color w:val="auto"/>
                <w:sz w:val="24"/>
              </w:rPr>
              <w:t>，再用于道路洒水降尘和站区绿化</w:t>
            </w:r>
            <w:r>
              <w:rPr>
                <w:color w:val="auto"/>
                <w:sz w:val="24"/>
              </w:rPr>
              <w:t>，不外排</w:t>
            </w:r>
            <w:r>
              <w:rPr>
                <w:rFonts w:hint="eastAsia" w:ascii="Times New Roman" w:hAnsi="Times New Roman" w:cs="Times New Roman"/>
                <w:color w:val="auto"/>
                <w:sz w:val="24"/>
              </w:rPr>
              <w:t>。</w:t>
            </w:r>
            <w:r>
              <w:rPr>
                <w:rFonts w:ascii="Times New Roman" w:hAnsi="Times New Roman" w:cs="Times New Roman"/>
                <w:color w:val="auto"/>
                <w:sz w:val="24"/>
              </w:rPr>
              <w:t>详情水平</w:t>
            </w:r>
            <w:r>
              <w:rPr>
                <w:rFonts w:ascii="Times New Roman" w:hAnsi="Times New Roman" w:cs="Times New Roman"/>
                <w:sz w:val="24"/>
              </w:rPr>
              <w:t>衡图见图1-</w:t>
            </w:r>
            <w:r>
              <w:rPr>
                <w:rFonts w:hint="eastAsia" w:ascii="Times New Roman" w:hAnsi="Times New Roman" w:cs="Times New Roman"/>
                <w:sz w:val="24"/>
              </w:rPr>
              <w:t>1</w:t>
            </w:r>
            <w:r>
              <w:rPr>
                <w:rFonts w:ascii="Times New Roman" w:hAnsi="Times New Roman" w:cs="Times New Roman"/>
                <w:sz w:val="24"/>
              </w:rPr>
              <w:t>。</w:t>
            </w:r>
          </w:p>
          <w:p>
            <w:pPr>
              <w:tabs>
                <w:tab w:val="left" w:pos="1350"/>
              </w:tabs>
              <w:spacing w:line="360" w:lineRule="auto"/>
              <w:ind w:firstLine="2520" w:firstLineChars="1200"/>
              <w:rPr>
                <w:rFonts w:ascii="Times New Roman" w:hAnsi="Times New Roman" w:cs="Times New Roman"/>
                <w:sz w:val="24"/>
              </w:rPr>
            </w:pPr>
            <w:r>
              <w:drawing>
                <wp:anchor distT="0" distB="0" distL="114300" distR="114300" simplePos="0" relativeHeight="251651072" behindDoc="0" locked="0" layoutInCell="1" allowOverlap="1">
                  <wp:simplePos x="0" y="0"/>
                  <wp:positionH relativeFrom="column">
                    <wp:posOffset>203200</wp:posOffset>
                  </wp:positionH>
                  <wp:positionV relativeFrom="paragraph">
                    <wp:posOffset>152400</wp:posOffset>
                  </wp:positionV>
                  <wp:extent cx="5200650" cy="283845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00650" cy="2838450"/>
                          </a:xfrm>
                          <a:prstGeom prst="rect">
                            <a:avLst/>
                          </a:prstGeom>
                        </pic:spPr>
                      </pic:pic>
                    </a:graphicData>
                  </a:graphic>
                </wp:anchor>
              </w:drawing>
            </w:r>
          </w:p>
          <w:p>
            <w:pPr>
              <w:pStyle w:val="20"/>
              <w:ind w:firstLine="480"/>
              <w:jc w:val="both"/>
            </w:pPr>
          </w:p>
          <w:p>
            <w:pPr>
              <w:adjustRightInd w:val="0"/>
              <w:snapToGrid w:val="0"/>
              <w:ind w:firstLine="2891" w:firstLineChars="1200"/>
              <w:rPr>
                <w:rFonts w:ascii="Times New Roman" w:hAnsi="Times New Roman" w:cs="Times New Roman"/>
                <w:b/>
                <w:bCs/>
                <w:sz w:val="24"/>
              </w:rPr>
            </w:pPr>
            <w:r>
              <w:rPr>
                <w:rFonts w:ascii="Times New Roman" w:hAnsi="Times New Roman" w:cs="Times New Roman"/>
                <w:b/>
                <w:bCs/>
                <w:sz w:val="24"/>
              </w:rPr>
              <w:t>图1-</w:t>
            </w:r>
            <w:r>
              <w:rPr>
                <w:rFonts w:hint="eastAsia" w:ascii="Times New Roman" w:hAnsi="Times New Roman" w:cs="Times New Roman"/>
                <w:b/>
                <w:bCs/>
                <w:sz w:val="24"/>
              </w:rPr>
              <w:t>1</w:t>
            </w:r>
            <w:r>
              <w:rPr>
                <w:rFonts w:ascii="Times New Roman" w:hAnsi="Times New Roman" w:cs="Times New Roman"/>
                <w:b/>
                <w:bCs/>
                <w:sz w:val="24"/>
              </w:rPr>
              <w:t>项目水平衡图</w:t>
            </w:r>
            <w:r>
              <w:rPr>
                <w:rFonts w:hint="eastAsia" w:ascii="Times New Roman" w:hAnsi="Times New Roman" w:cs="Times New Roman"/>
                <w:b/>
                <w:bCs/>
                <w:sz w:val="24"/>
              </w:rPr>
              <w:t>（m</w:t>
            </w:r>
            <w:r>
              <w:rPr>
                <w:rFonts w:hint="eastAsia" w:ascii="Times New Roman" w:hAnsi="Times New Roman" w:cs="Times New Roman"/>
                <w:b/>
                <w:bCs/>
                <w:sz w:val="24"/>
                <w:vertAlign w:val="superscript"/>
              </w:rPr>
              <w:t>3</w:t>
            </w:r>
            <w:r>
              <w:rPr>
                <w:rFonts w:hint="eastAsia" w:ascii="Times New Roman" w:hAnsi="Times New Roman" w:cs="Times New Roman"/>
                <w:b/>
                <w:bCs/>
                <w:sz w:val="24"/>
              </w:rPr>
              <w:t>/d）</w:t>
            </w: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r>
              <w:rPr>
                <w:rFonts w:ascii="Times New Roman" w:hAnsi="Times New Roman" w:cs="Times New Roman"/>
                <w:sz w:val="24"/>
              </w:rPr>
              <w:t>（3）供电</w:t>
            </w:r>
          </w:p>
          <w:p>
            <w:pPr>
              <w:tabs>
                <w:tab w:val="left" w:pos="624"/>
              </w:tabs>
              <w:spacing w:line="460" w:lineRule="exact"/>
              <w:ind w:firstLine="480" w:firstLineChars="200"/>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项目的</w:t>
            </w:r>
            <w:r>
              <w:rPr>
                <w:rFonts w:hint="eastAsia"/>
                <w:sz w:val="24"/>
              </w:rPr>
              <w:t>供电由花溪区电网络供电，供电线路从附近供电电网接入站区配电箱，在分配至各用电点；配备3kw柴油发电机一台，以备停、断电事故是应急使用，保证加油系统安全运行。项目</w:t>
            </w:r>
            <w:r>
              <w:rPr>
                <w:sz w:val="24"/>
              </w:rPr>
              <w:t>用电属</w:t>
            </w:r>
            <w:r>
              <w:rPr>
                <w:rFonts w:hint="eastAsia"/>
                <w:sz w:val="24"/>
              </w:rPr>
              <w:t>于</w:t>
            </w:r>
            <w:r>
              <w:rPr>
                <w:sz w:val="24"/>
              </w:rPr>
              <w:t>三级负荷，总负荷容量为10.0KW，年用电量约</w:t>
            </w:r>
            <w:r>
              <w:rPr>
                <w:rFonts w:hint="eastAsia"/>
                <w:sz w:val="24"/>
              </w:rPr>
              <w:t>4.8</w:t>
            </w:r>
            <w:r>
              <w:rPr>
                <w:sz w:val="24"/>
              </w:rPr>
              <w:t>万KWh。</w:t>
            </w:r>
          </w:p>
          <w:p>
            <w:pPr>
              <w:tabs>
                <w:tab w:val="left" w:pos="624"/>
              </w:tabs>
              <w:spacing w:line="360" w:lineRule="auto"/>
              <w:ind w:firstLine="480" w:firstLineChars="200"/>
              <w:rPr>
                <w:sz w:val="24"/>
              </w:rPr>
            </w:pPr>
          </w:p>
          <w:p>
            <w:pPr>
              <w:tabs>
                <w:tab w:val="left" w:pos="624"/>
              </w:tabs>
              <w:spacing w:line="360" w:lineRule="auto"/>
              <w:ind w:firstLine="480" w:firstLineChars="200"/>
              <w:rPr>
                <w:sz w:val="24"/>
              </w:rPr>
            </w:pPr>
            <w:r>
              <w:rPr>
                <w:rFonts w:hint="eastAsia"/>
                <w:sz w:val="24"/>
              </w:rPr>
              <w:t>（4）</w:t>
            </w:r>
            <w:r>
              <w:rPr>
                <w:sz w:val="24"/>
              </w:rPr>
              <w:t>消防</w:t>
            </w:r>
          </w:p>
          <w:p>
            <w:pPr>
              <w:spacing w:line="360" w:lineRule="auto"/>
              <w:ind w:firstLine="720" w:firstLineChars="300"/>
              <w:rPr>
                <w:rFonts w:ascii="Times New Roman" w:hAnsi="Times New Roman" w:cs="Times New Roman"/>
                <w:sz w:val="24"/>
              </w:rPr>
            </w:pPr>
            <w:r>
              <w:rPr>
                <w:sz w:val="24"/>
              </w:rPr>
              <w:t>站内设有消防间，场站与周围各建构筑物之间均满足各防火单元的最小间距要求，站内道路通达，消防通道设置合理，且作业区域及建筑物内均配备有干粉灭火器，储罐区配置消防砂池，做为场站消防应急使用。</w:t>
            </w:r>
          </w:p>
          <w:p>
            <w:pPr>
              <w:adjustRightInd w:val="0"/>
              <w:snapToGrid w:val="0"/>
              <w:spacing w:line="360" w:lineRule="auto"/>
              <w:ind w:firstLine="420" w:firstLineChars="200"/>
              <w:rPr>
                <w:kern w:val="0"/>
                <w:sz w:val="24"/>
              </w:rPr>
            </w:pPr>
            <w:r>
              <w:rPr>
                <w:rFonts w:hint="eastAsia" w:ascii="Times New Roman" w:hAnsi="Times New Roman" w:eastAsia="宋体"/>
              </w:rPr>
              <w:t xml:space="preserve"> </w:t>
            </w:r>
            <w:r>
              <w:rPr>
                <w:rFonts w:ascii="Times New Roman" w:hAnsi="Times New Roman" w:eastAsia="宋体"/>
              </w:rPr>
              <w:t xml:space="preserve"> </w:t>
            </w:r>
            <w:r>
              <w:rPr>
                <w:rFonts w:hint="eastAsia"/>
                <w:kern w:val="0"/>
                <w:sz w:val="24"/>
              </w:rPr>
              <w:t>（5）</w:t>
            </w:r>
            <w:r>
              <w:rPr>
                <w:kern w:val="0"/>
                <w:sz w:val="24"/>
              </w:rPr>
              <w:t>防震、防火设计</w:t>
            </w:r>
          </w:p>
          <w:p>
            <w:pPr>
              <w:pStyle w:val="3"/>
              <w:ind w:firstLine="720" w:firstLineChars="300"/>
              <w:outlineLvl w:val="1"/>
              <w:rPr>
                <w:b w:val="0"/>
                <w:bCs/>
                <w:sz w:val="24"/>
                <w:szCs w:val="24"/>
              </w:rPr>
            </w:pPr>
            <w:r>
              <w:rPr>
                <w:b w:val="0"/>
                <w:bCs/>
                <w:sz w:val="24"/>
                <w:szCs w:val="24"/>
              </w:rPr>
              <w:t>加油站站房</w:t>
            </w:r>
            <w:r>
              <w:rPr>
                <w:rFonts w:hint="eastAsia"/>
                <w:b w:val="0"/>
                <w:bCs/>
                <w:sz w:val="24"/>
                <w:szCs w:val="24"/>
              </w:rPr>
              <w:t>采用</w:t>
            </w:r>
            <w:r>
              <w:rPr>
                <w:b w:val="0"/>
                <w:bCs/>
                <w:sz w:val="24"/>
                <w:szCs w:val="24"/>
              </w:rPr>
              <w:t>砖混结构，抗震设防烈度7度，耐火等级为二级。地面采用水泥地面。罩棚顶棚承重构件为钢结构，顶棚其它部分采用非燃烧体建造。</w:t>
            </w:r>
          </w:p>
          <w:p>
            <w:pPr>
              <w:adjustRightInd w:val="0"/>
              <w:snapToGrid w:val="0"/>
              <w:spacing w:line="360" w:lineRule="auto"/>
              <w:ind w:firstLine="420" w:firstLineChars="200"/>
              <w:rPr>
                <w:b w:val="0"/>
                <w:bCs/>
              </w:rPr>
            </w:pPr>
            <w:r>
              <w:rPr>
                <w:rFonts w:hint="eastAsia"/>
                <w:b w:val="0"/>
                <w:bCs/>
              </w:rPr>
              <w:t xml:space="preserve"> </w:t>
            </w:r>
            <w:r>
              <w:rPr>
                <w:b w:val="0"/>
                <w:bCs/>
              </w:rPr>
              <w:t xml:space="preserve">  </w:t>
            </w:r>
          </w:p>
          <w:p>
            <w:pPr>
              <w:adjustRightInd w:val="0"/>
              <w:snapToGrid w:val="0"/>
              <w:spacing w:line="360" w:lineRule="auto"/>
              <w:ind w:firstLine="480" w:firstLineChars="200"/>
              <w:rPr>
                <w:kern w:val="0"/>
                <w:sz w:val="24"/>
              </w:rPr>
            </w:pPr>
            <w:r>
              <w:rPr>
                <w:rFonts w:hint="eastAsia"/>
                <w:sz w:val="24"/>
              </w:rPr>
              <w:t>（6）</w:t>
            </w:r>
            <w:r>
              <w:rPr>
                <w:sz w:val="24"/>
              </w:rPr>
              <w:t>防雷及防静电设计</w:t>
            </w:r>
          </w:p>
          <w:p>
            <w:pPr>
              <w:rPr>
                <w:sz w:val="24"/>
              </w:rPr>
            </w:pPr>
            <w:r>
              <w:rPr>
                <w:rFonts w:hint="eastAsia"/>
              </w:rPr>
              <w:t xml:space="preserve"> </w:t>
            </w:r>
            <w:r>
              <w:t xml:space="preserve">        </w:t>
            </w:r>
            <w:r>
              <w:rPr>
                <w:sz w:val="24"/>
              </w:rPr>
              <w:t>每</w:t>
            </w:r>
            <w:r>
              <w:rPr>
                <w:rFonts w:hint="eastAsia"/>
                <w:sz w:val="24"/>
              </w:rPr>
              <w:t>个储油罐均</w:t>
            </w:r>
            <w:r>
              <w:rPr>
                <w:sz w:val="24"/>
              </w:rPr>
              <w:t>设接地极</w:t>
            </w:r>
            <w:r>
              <w:rPr>
                <w:rFonts w:hint="eastAsia"/>
                <w:sz w:val="24"/>
              </w:rPr>
              <w:t>，</w:t>
            </w:r>
            <w:r>
              <w:rPr>
                <w:sz w:val="24"/>
              </w:rPr>
              <w:t>输油管线的始、末端和分支处，设接地装置；卸油场</w:t>
            </w:r>
          </w:p>
          <w:p>
            <w:pPr>
              <w:rPr>
                <w:sz w:val="24"/>
              </w:rPr>
            </w:pPr>
          </w:p>
          <w:p>
            <w:pPr>
              <w:rPr>
                <w:sz w:val="24"/>
              </w:rPr>
            </w:pPr>
            <w:r>
              <w:rPr>
                <w:sz w:val="24"/>
              </w:rPr>
              <w:t>地设有用于汽车油罐车卸油的防静电接地装置；加油站信息系统采用导线穿钢管配线，</w:t>
            </w:r>
          </w:p>
          <w:p>
            <w:pPr>
              <w:rPr>
                <w:sz w:val="24"/>
              </w:rPr>
            </w:pPr>
          </w:p>
          <w:p>
            <w:pPr>
              <w:rPr>
                <w:sz w:val="24"/>
              </w:rPr>
            </w:pPr>
            <w:r>
              <w:rPr>
                <w:sz w:val="24"/>
              </w:rPr>
              <w:t>配线电缆金属外皮两端、保护钢管两端接地。站房和罩棚采用避雷带（网）保护，加油</w:t>
            </w:r>
          </w:p>
          <w:p>
            <w:pPr>
              <w:rPr>
                <w:sz w:val="24"/>
              </w:rPr>
            </w:pPr>
          </w:p>
          <w:p>
            <w:r>
              <w:rPr>
                <w:sz w:val="24"/>
              </w:rPr>
              <w:t>站防雷设施按II类防雷设计、施工，金属构件均与避雷装置可靠连接。</w:t>
            </w:r>
          </w:p>
          <w:p>
            <w:pPr>
              <w:pStyle w:val="3"/>
              <w:outlineLvl w:val="1"/>
              <w:rPr>
                <w:rFonts w:ascii="Times New Roman" w:hAnsi="Times New Roman" w:eastAsia="宋体"/>
              </w:rPr>
            </w:pPr>
          </w:p>
          <w:p>
            <w:pPr>
              <w:pStyle w:val="3"/>
              <w:outlineLvl w:val="1"/>
              <w:rPr>
                <w:rFonts w:ascii="Times New Roman" w:hAnsi="Times New Roman" w:eastAsia="宋体"/>
              </w:rPr>
            </w:pPr>
            <w:r>
              <w:rPr>
                <w:rFonts w:ascii="Times New Roman" w:hAnsi="Times New Roman" w:eastAsia="宋体"/>
              </w:rPr>
              <w:t>1.10 生产制度及劳动定员</w:t>
            </w:r>
          </w:p>
          <w:p>
            <w:pPr>
              <w:tabs>
                <w:tab w:val="left" w:pos="624"/>
              </w:tabs>
              <w:spacing w:line="500" w:lineRule="exact"/>
              <w:ind w:firstLine="480" w:firstLineChars="200"/>
              <w:rPr>
                <w:color w:val="FF0000"/>
                <w:sz w:val="24"/>
              </w:rPr>
            </w:pPr>
            <w:r>
              <w:rPr>
                <w:rFonts w:hint="eastAsia"/>
                <w:sz w:val="24"/>
              </w:rPr>
              <w:t>项目劳动</w:t>
            </w:r>
            <w:r>
              <w:rPr>
                <w:sz w:val="24"/>
              </w:rPr>
              <w:t>定员</w:t>
            </w:r>
            <w:r>
              <w:rPr>
                <w:rFonts w:hint="eastAsia"/>
                <w:sz w:val="24"/>
              </w:rPr>
              <w:t>5</w:t>
            </w:r>
            <w:r>
              <w:rPr>
                <w:sz w:val="24"/>
              </w:rPr>
              <w:t>人，</w:t>
            </w:r>
            <w:r>
              <w:rPr>
                <w:rFonts w:hint="eastAsia"/>
                <w:sz w:val="24"/>
              </w:rPr>
              <w:t>均不在场区食宿；</w:t>
            </w:r>
            <w:r>
              <w:rPr>
                <w:sz w:val="24"/>
              </w:rPr>
              <w:t>年工作日365天，24小时/天</w:t>
            </w:r>
            <w:r>
              <w:rPr>
                <w:rFonts w:ascii="Times New Roman" w:hAnsi="Times New Roman" w:cs="Times New Roman"/>
                <w:color w:val="000000" w:themeColor="text1"/>
                <w:sz w:val="24"/>
              </w:rPr>
              <w:t>。</w:t>
            </w:r>
          </w:p>
          <w:p>
            <w:pPr>
              <w:pStyle w:val="3"/>
              <w:outlineLvl w:val="1"/>
              <w:rPr>
                <w:rFonts w:ascii="Times New Roman" w:hAnsi="Times New Roman" w:eastAsia="宋体"/>
              </w:rPr>
            </w:pPr>
          </w:p>
          <w:p>
            <w:pPr>
              <w:pStyle w:val="3"/>
              <w:outlineLvl w:val="1"/>
              <w:rPr>
                <w:rFonts w:ascii="Times New Roman" w:hAnsi="Times New Roman" w:eastAsia="宋体"/>
              </w:rPr>
            </w:pPr>
            <w:r>
              <w:rPr>
                <w:rFonts w:ascii="Times New Roman" w:hAnsi="Times New Roman" w:eastAsia="宋体"/>
              </w:rPr>
              <w:t>1.1</w:t>
            </w:r>
            <w:r>
              <w:rPr>
                <w:rFonts w:ascii="Times New Roman" w:hAnsi="Times New Roman"/>
              </w:rPr>
              <w:t>1</w:t>
            </w:r>
            <w:r>
              <w:rPr>
                <w:rFonts w:ascii="Times New Roman" w:hAnsi="Times New Roman" w:eastAsia="宋体"/>
              </w:rPr>
              <w:t xml:space="preserve"> 产业政策符合性分析</w:t>
            </w:r>
          </w:p>
          <w:p>
            <w:pPr>
              <w:autoSpaceDE w:val="0"/>
              <w:autoSpaceDN w:val="0"/>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建设项目属于</w:t>
            </w:r>
            <w:r>
              <w:rPr>
                <w:rFonts w:ascii="宋体" w:hAnsi="宋体"/>
                <w:snapToGrid w:val="0"/>
                <w:kern w:val="0"/>
                <w:sz w:val="24"/>
              </w:rPr>
              <w:t>“</w:t>
            </w:r>
            <w:r>
              <w:rPr>
                <w:rFonts w:hint="eastAsia" w:ascii="宋体" w:hAnsi="宋体"/>
                <w:snapToGrid w:val="0"/>
                <w:kern w:val="0"/>
                <w:sz w:val="24"/>
              </w:rPr>
              <w:t>V社会事业与服务业</w:t>
            </w:r>
            <w:r>
              <w:rPr>
                <w:rFonts w:ascii="宋体" w:hAnsi="宋体"/>
                <w:snapToGrid w:val="0"/>
                <w:kern w:val="0"/>
                <w:sz w:val="24"/>
              </w:rPr>
              <w:t>—</w:t>
            </w:r>
            <w:r>
              <w:rPr>
                <w:snapToGrid w:val="0"/>
                <w:kern w:val="0"/>
                <w:sz w:val="24"/>
              </w:rPr>
              <w:t>182、</w:t>
            </w:r>
            <w:r>
              <w:rPr>
                <w:rFonts w:hint="eastAsia"/>
                <w:snapToGrid w:val="0"/>
                <w:kern w:val="0"/>
                <w:sz w:val="24"/>
              </w:rPr>
              <w:t>加油、加气站”</w:t>
            </w:r>
            <w:r>
              <w:rPr>
                <w:rFonts w:ascii="Times New Roman" w:hAnsi="Times New Roman" w:cs="Times New Roman"/>
                <w:sz w:val="24"/>
              </w:rPr>
              <w:t>机动车燃料零售新建项目，不属于《产业结构调整指导目录（201</w:t>
            </w:r>
            <w:r>
              <w:rPr>
                <w:rFonts w:hint="eastAsia" w:ascii="Times New Roman" w:hAnsi="Times New Roman" w:cs="Times New Roman"/>
                <w:sz w:val="24"/>
              </w:rPr>
              <w:t>9</w:t>
            </w:r>
            <w:r>
              <w:rPr>
                <w:rFonts w:ascii="Times New Roman" w:hAnsi="Times New Roman" w:cs="Times New Roman"/>
                <w:sz w:val="24"/>
              </w:rPr>
              <w:t>年本）》（</w:t>
            </w:r>
            <w:r>
              <w:rPr>
                <w:rFonts w:hint="eastAsia" w:ascii="Times New Roman" w:hAnsi="Times New Roman" w:cs="Times New Roman"/>
                <w:sz w:val="24"/>
              </w:rPr>
              <w:t>征求意见稿</w:t>
            </w:r>
            <w:r>
              <w:rPr>
                <w:rFonts w:ascii="Times New Roman" w:hAnsi="Times New Roman" w:cs="Times New Roman"/>
                <w:sz w:val="24"/>
              </w:rPr>
              <w:t>）中禁止和限制</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也</w:t>
            </w:r>
            <w:r>
              <w:rPr>
                <w:rFonts w:ascii="Times New Roman" w:hAnsi="Times New Roman" w:cs="Times New Roman"/>
                <w:sz w:val="24"/>
              </w:rPr>
              <w:t>不属于淘汰</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为允许类项目，</w:t>
            </w:r>
            <w:r>
              <w:rPr>
                <w:rFonts w:ascii="Times New Roman" w:hAnsi="Times New Roman" w:cs="Times New Roman"/>
                <w:sz w:val="24"/>
              </w:rPr>
              <w:t>符合</w:t>
            </w:r>
            <w:r>
              <w:rPr>
                <w:rFonts w:hint="eastAsia" w:ascii="Times New Roman" w:hAnsi="Times New Roman" w:cs="Times New Roman"/>
                <w:sz w:val="24"/>
              </w:rPr>
              <w:t>国家产业政策要求</w:t>
            </w:r>
            <w:r>
              <w:rPr>
                <w:rFonts w:ascii="Times New Roman" w:hAnsi="Times New Roman" w:cs="Times New Roman"/>
                <w:sz w:val="24"/>
              </w:rPr>
              <w:t>。</w:t>
            </w:r>
          </w:p>
          <w:p>
            <w:pPr>
              <w:kinsoku w:val="0"/>
              <w:overflowPunct w:val="0"/>
              <w:topLinePunct/>
              <w:autoSpaceDE w:val="0"/>
              <w:autoSpaceDN w:val="0"/>
              <w:spacing w:line="360" w:lineRule="auto"/>
              <w:jc w:val="left"/>
              <w:rPr>
                <w:rFonts w:ascii="Times New Roman" w:hAnsi="Times New Roman" w:cs="Times New Roman"/>
                <w:b/>
                <w:sz w:val="28"/>
                <w:szCs w:val="28"/>
              </w:rPr>
            </w:pP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主要工艺流程及产污环节图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（1）卸油、加油工艺</w:t>
            </w:r>
          </w:p>
          <w:p>
            <w:pPr>
              <w:spacing w:line="500" w:lineRule="exact"/>
              <w:ind w:firstLine="480" w:firstLineChars="200"/>
              <w:rPr>
                <w:snapToGrid w:val="0"/>
                <w:kern w:val="0"/>
                <w:sz w:val="24"/>
              </w:rPr>
            </w:pPr>
            <w:r>
              <w:rPr>
                <w:snapToGrid w:val="0"/>
                <w:kern w:val="0"/>
                <w:sz w:val="24"/>
              </w:rPr>
              <w:t>本项目所销售的各种规格成品汽油、柴油经专用</w:t>
            </w:r>
            <w:r>
              <w:rPr>
                <w:rFonts w:hint="eastAsia"/>
                <w:snapToGrid w:val="0"/>
                <w:kern w:val="0"/>
                <w:sz w:val="24"/>
              </w:rPr>
              <w:t>油罐车</w:t>
            </w:r>
            <w:r>
              <w:rPr>
                <w:sz w:val="24"/>
              </w:rPr>
              <w:t>进站停靠指定位置之后</w:t>
            </w:r>
            <w:r>
              <w:rPr>
                <w:snapToGrid w:val="0"/>
                <w:kern w:val="0"/>
                <w:sz w:val="24"/>
              </w:rPr>
              <w:t>，将</w:t>
            </w:r>
            <w:r>
              <w:rPr>
                <w:rFonts w:hint="eastAsia"/>
                <w:snapToGrid w:val="0"/>
                <w:kern w:val="0"/>
                <w:sz w:val="24"/>
              </w:rPr>
              <w:t>油罐车的</w:t>
            </w:r>
            <w:r>
              <w:rPr>
                <w:snapToGrid w:val="0"/>
                <w:kern w:val="0"/>
                <w:sz w:val="24"/>
              </w:rPr>
              <w:t>卸油管道与对应的储油罐连接，开启</w:t>
            </w:r>
            <w:r>
              <w:rPr>
                <w:rFonts w:hint="eastAsia"/>
                <w:snapToGrid w:val="0"/>
                <w:kern w:val="0"/>
                <w:sz w:val="24"/>
              </w:rPr>
              <w:t>油罐车</w:t>
            </w:r>
            <w:r>
              <w:rPr>
                <w:snapToGrid w:val="0"/>
                <w:kern w:val="0"/>
                <w:sz w:val="24"/>
              </w:rPr>
              <w:t>油阀，利用液位差将成品油注入地下储油罐内，卸油过程中有少量</w:t>
            </w:r>
            <w:r>
              <w:rPr>
                <w:rFonts w:hint="eastAsia"/>
                <w:snapToGrid w:val="0"/>
                <w:kern w:val="0"/>
                <w:sz w:val="24"/>
              </w:rPr>
              <w:t>油气无组织排放</w:t>
            </w:r>
            <w:r>
              <w:rPr>
                <w:snapToGrid w:val="0"/>
                <w:kern w:val="0"/>
                <w:sz w:val="24"/>
              </w:rPr>
              <w:t>；根据客户所需油品类型，利用加油机将对应的储油罐内的汽油(或柴油)注入车辆</w:t>
            </w:r>
            <w:r>
              <w:rPr>
                <w:rFonts w:hint="eastAsia"/>
                <w:snapToGrid w:val="0"/>
                <w:kern w:val="0"/>
                <w:sz w:val="24"/>
              </w:rPr>
              <w:t>油箱</w:t>
            </w:r>
            <w:r>
              <w:rPr>
                <w:snapToGrid w:val="0"/>
                <w:kern w:val="0"/>
                <w:sz w:val="24"/>
              </w:rPr>
              <w:t>，即完成加油工作，在油枪向油箱内加油过程中也有少量</w:t>
            </w:r>
            <w:r>
              <w:rPr>
                <w:rFonts w:hint="eastAsia"/>
                <w:snapToGrid w:val="0"/>
                <w:kern w:val="0"/>
                <w:sz w:val="24"/>
              </w:rPr>
              <w:t>油气无组织排放</w:t>
            </w:r>
            <w:r>
              <w:rPr>
                <w:snapToGrid w:val="0"/>
                <w:kern w:val="0"/>
                <w:sz w:val="24"/>
              </w:rPr>
              <w:t>。</w:t>
            </w:r>
          </w:p>
          <w:p>
            <w:pPr>
              <w:spacing w:line="360" w:lineRule="auto"/>
              <w:ind w:firstLine="480" w:firstLineChars="200"/>
              <w:rPr>
                <w:rFonts w:ascii="Times New Roman" w:hAnsi="Times New Roman" w:cs="Times New Roman"/>
                <w:sz w:val="24"/>
              </w:rPr>
            </w:pPr>
            <w:r>
              <w:rPr>
                <w:snapToGrid w:val="0"/>
                <w:kern w:val="0"/>
                <w:sz w:val="24"/>
              </w:rPr>
              <w:t>储罐呼吸、加油作业和油罐车卸油灌注时</w:t>
            </w:r>
            <w:r>
              <w:rPr>
                <w:rFonts w:hint="eastAsia"/>
                <w:snapToGrid w:val="0"/>
                <w:kern w:val="0"/>
                <w:sz w:val="24"/>
              </w:rPr>
              <w:t>有少量油气无组织排放</w:t>
            </w:r>
            <w:r>
              <w:rPr>
                <w:rFonts w:hint="eastAsia" w:ascii="Times New Roman" w:hAnsi="Times New Roman" w:cs="Times New Roman"/>
                <w:sz w:val="24"/>
              </w:rPr>
              <w:t>。加油站工艺流程</w:t>
            </w:r>
            <w:r>
              <w:rPr>
                <w:rFonts w:ascii="Times New Roman" w:hAnsi="Times New Roman" w:cs="Times New Roman"/>
                <w:sz w:val="24"/>
              </w:rPr>
              <w:t>及排污节点见图1-</w:t>
            </w:r>
            <w:r>
              <w:rPr>
                <w:rFonts w:hint="eastAsia" w:ascii="Times New Roman" w:hAnsi="Times New Roman" w:cs="Times New Roman"/>
                <w:sz w:val="24"/>
              </w:rPr>
              <w:t>2</w:t>
            </w:r>
            <w:r>
              <w:rPr>
                <w:rFonts w:ascii="Times New Roman" w:hAnsi="Times New Roman" w:cs="Times New Roman"/>
                <w:sz w:val="24"/>
              </w:rPr>
              <w:t>。</w:t>
            </w:r>
          </w:p>
          <w:p>
            <w:pPr>
              <w:tabs>
                <w:tab w:val="left" w:pos="4320"/>
                <w:tab w:val="center" w:pos="4361"/>
              </w:tabs>
              <w:jc w:val="center"/>
            </w:pPr>
            <w:r>
              <w:drawing>
                <wp:inline distT="0" distB="0" distL="0" distR="0">
                  <wp:extent cx="5760720" cy="2424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760720" cy="2424430"/>
                          </a:xfrm>
                          <a:prstGeom prst="rect">
                            <a:avLst/>
                          </a:prstGeom>
                        </pic:spPr>
                      </pic:pic>
                    </a:graphicData>
                  </a:graphic>
                </wp:inline>
              </w:drawing>
            </w:r>
          </w:p>
          <w:p>
            <w:pPr>
              <w:tabs>
                <w:tab w:val="left" w:pos="4320"/>
                <w:tab w:val="center" w:pos="4361"/>
              </w:tabs>
              <w:jc w:val="center"/>
              <w:rPr>
                <w:rFonts w:ascii="Times New Roman" w:hAnsi="Times New Roman" w:cs="Times New Roman"/>
                <w:b/>
                <w:sz w:val="28"/>
                <w:szCs w:val="28"/>
              </w:rPr>
            </w:pPr>
          </w:p>
          <w:p>
            <w:pPr>
              <w:spacing w:line="360" w:lineRule="auto"/>
              <w:jc w:val="center"/>
              <w:rPr>
                <w:rFonts w:ascii="Times New Roman" w:hAnsi="Times New Roman" w:cs="Times New Roman"/>
                <w:b/>
                <w:bCs/>
                <w:color w:val="000000"/>
                <w:sz w:val="24"/>
              </w:rPr>
            </w:pPr>
            <w:r>
              <w:rPr>
                <w:rFonts w:ascii="Times New Roman" w:hAnsi="Times New Roman" w:cs="Times New Roman"/>
                <w:b/>
                <w:bCs/>
                <w:color w:val="000000"/>
                <w:sz w:val="24"/>
              </w:rPr>
              <w:t>图1-</w:t>
            </w:r>
            <w:r>
              <w:rPr>
                <w:rFonts w:hint="eastAsia" w:ascii="Times New Roman" w:hAnsi="Times New Roman" w:cs="Times New Roman"/>
                <w:b/>
                <w:bCs/>
                <w:color w:val="000000"/>
                <w:sz w:val="24"/>
              </w:rPr>
              <w:t>2</w:t>
            </w:r>
            <w:r>
              <w:rPr>
                <w:rFonts w:ascii="Times New Roman" w:hAnsi="Times New Roman" w:cs="Times New Roman"/>
                <w:b/>
                <w:bCs/>
                <w:color w:val="000000"/>
                <w:sz w:val="24"/>
              </w:rPr>
              <w:t xml:space="preserve">  加油</w:t>
            </w:r>
            <w:r>
              <w:rPr>
                <w:rFonts w:hint="eastAsia" w:ascii="Times New Roman" w:hAnsi="Times New Roman" w:cs="Times New Roman"/>
                <w:b/>
                <w:bCs/>
                <w:color w:val="000000"/>
                <w:sz w:val="24"/>
              </w:rPr>
              <w:t>站加油</w:t>
            </w:r>
            <w:r>
              <w:rPr>
                <w:rFonts w:ascii="Times New Roman" w:hAnsi="Times New Roman" w:cs="Times New Roman"/>
                <w:b/>
                <w:bCs/>
                <w:color w:val="000000"/>
                <w:sz w:val="24"/>
              </w:rPr>
              <w:t>工艺及污染工序产生流程图</w:t>
            </w:r>
          </w:p>
          <w:p>
            <w:pPr>
              <w:spacing w:line="360" w:lineRule="auto"/>
              <w:ind w:firstLine="480" w:firstLineChars="200"/>
              <w:rPr>
                <w:rFonts w:ascii="Times New Roman" w:cs="Times New Roman"/>
                <w:sz w:val="24"/>
              </w:rPr>
            </w:pPr>
          </w:p>
          <w:p>
            <w:pPr>
              <w:spacing w:line="360" w:lineRule="auto"/>
              <w:ind w:firstLine="480" w:firstLineChars="200"/>
              <w:rPr>
                <w:rFonts w:ascii="Times New Roman" w:hAnsi="Times New Roman" w:cs="Times New Roman"/>
                <w:sz w:val="24"/>
              </w:rPr>
            </w:pPr>
            <w:r>
              <w:rPr>
                <w:rFonts w:ascii="Times New Roman" w:cs="Times New Roman"/>
                <w:sz w:val="24"/>
              </w:rPr>
              <w:t>（</w:t>
            </w:r>
            <w:r>
              <w:rPr>
                <w:rFonts w:ascii="Times New Roman" w:hAnsi="Times New Roman" w:cs="Times New Roman"/>
                <w:sz w:val="24"/>
              </w:rPr>
              <w:t>2</w:t>
            </w:r>
            <w:r>
              <w:rPr>
                <w:rFonts w:ascii="Times New Roman" w:cs="Times New Roman"/>
                <w:sz w:val="24"/>
              </w:rPr>
              <w:t>）</w:t>
            </w:r>
            <w:r>
              <w:rPr>
                <w:rFonts w:hint="eastAsia" w:ascii="Times New Roman" w:cs="Times New Roman"/>
                <w:sz w:val="24"/>
              </w:rPr>
              <w:t>产污环节</w:t>
            </w:r>
          </w:p>
          <w:p>
            <w:pPr>
              <w:spacing w:line="360" w:lineRule="auto"/>
              <w:ind w:firstLine="480" w:firstLineChars="200"/>
              <w:rPr>
                <w:sz w:val="24"/>
              </w:rPr>
            </w:pPr>
            <w:r>
              <w:rPr>
                <w:rFonts w:hint="eastAsia"/>
                <w:sz w:val="24"/>
              </w:rPr>
              <w:t>储油、加油工艺较为简单，可能引起环境污染的环节分别为卸油、储存及车辆加油。</w:t>
            </w:r>
          </w:p>
          <w:p>
            <w:pPr>
              <w:pStyle w:val="38"/>
              <w:numPr>
                <w:ilvl w:val="0"/>
                <w:numId w:val="3"/>
              </w:numPr>
              <w:spacing w:line="360" w:lineRule="auto"/>
              <w:ind w:firstLineChars="0"/>
              <w:jc w:val="left"/>
              <w:rPr>
                <w:sz w:val="24"/>
              </w:rPr>
            </w:pPr>
            <w:r>
              <w:rPr>
                <w:rFonts w:hint="eastAsia"/>
                <w:sz w:val="24"/>
              </w:rPr>
              <w:t>油料的卸油、储存、加油过程中会有一定量的烃类有机废气，汽车尾气、扬尘，备用发电机废气对周围大气环境产生影响；</w:t>
            </w:r>
          </w:p>
          <w:p>
            <w:pPr>
              <w:spacing w:line="360" w:lineRule="auto"/>
              <w:ind w:firstLine="480" w:firstLineChars="200"/>
              <w:rPr>
                <w:sz w:val="24"/>
              </w:rPr>
            </w:pPr>
            <w:r>
              <w:rPr>
                <w:rFonts w:hint="eastAsia"/>
                <w:sz w:val="24"/>
              </w:rPr>
              <w:t>②油类支料的溢漏和地下储油罐泄漏及加油过程的遗洒可能造成水污染；</w:t>
            </w:r>
          </w:p>
          <w:p>
            <w:pPr>
              <w:pStyle w:val="38"/>
              <w:numPr>
                <w:ilvl w:val="0"/>
                <w:numId w:val="4"/>
              </w:numPr>
              <w:spacing w:line="360" w:lineRule="auto"/>
              <w:ind w:firstLineChars="0"/>
              <w:rPr>
                <w:sz w:val="24"/>
              </w:rPr>
            </w:pPr>
            <w:r>
              <w:rPr>
                <w:rFonts w:hint="eastAsia"/>
                <w:sz w:val="24"/>
              </w:rPr>
              <w:t>油罐的事故泄漏、着火或爆炸是引起大气及水污染的风险性因素；</w:t>
            </w:r>
          </w:p>
          <w:p>
            <w:pPr>
              <w:pStyle w:val="38"/>
              <w:numPr>
                <w:ilvl w:val="0"/>
                <w:numId w:val="4"/>
              </w:numPr>
              <w:spacing w:line="360" w:lineRule="auto"/>
              <w:ind w:firstLineChars="0"/>
              <w:rPr>
                <w:sz w:val="24"/>
              </w:rPr>
            </w:pPr>
            <w:r>
              <w:rPr>
                <w:rFonts w:hint="eastAsia"/>
                <w:sz w:val="24"/>
              </w:rPr>
              <w:t>地面冲洗会产生含油废水；</w:t>
            </w:r>
          </w:p>
          <w:p>
            <w:pPr>
              <w:pStyle w:val="38"/>
              <w:numPr>
                <w:ilvl w:val="0"/>
                <w:numId w:val="4"/>
              </w:numPr>
              <w:spacing w:line="360" w:lineRule="auto"/>
              <w:ind w:firstLineChars="0"/>
              <w:rPr>
                <w:sz w:val="24"/>
              </w:rPr>
            </w:pPr>
            <w:r>
              <w:rPr>
                <w:rFonts w:hint="eastAsia"/>
                <w:sz w:val="24"/>
              </w:rPr>
              <w:t>加油机、备用发电机组等机器设备运转将产生噪声，以及进出汽车产生的噪声；</w:t>
            </w:r>
          </w:p>
          <w:p>
            <w:pPr>
              <w:pStyle w:val="38"/>
              <w:numPr>
                <w:ilvl w:val="0"/>
                <w:numId w:val="4"/>
              </w:numPr>
              <w:spacing w:line="360" w:lineRule="auto"/>
              <w:ind w:firstLineChars="0"/>
              <w:rPr>
                <w:sz w:val="24"/>
              </w:rPr>
            </w:pPr>
            <w:r>
              <w:rPr>
                <w:rFonts w:hint="eastAsia"/>
                <w:sz w:val="24"/>
              </w:rPr>
              <w:t>加油站大概</w:t>
            </w:r>
            <w:r>
              <w:rPr>
                <w:rFonts w:ascii="Times New Roman" w:cs="Times New Roman"/>
                <w:sz w:val="24"/>
              </w:rPr>
              <w:t>每</w:t>
            </w:r>
            <w:r>
              <w:rPr>
                <w:rFonts w:ascii="Times New Roman" w:hAnsi="Times New Roman" w:cs="Times New Roman"/>
                <w:sz w:val="24"/>
              </w:rPr>
              <w:t>3~5</w:t>
            </w:r>
            <w:r>
              <w:rPr>
                <w:rFonts w:ascii="Times New Roman" w:cs="Times New Roman"/>
                <w:sz w:val="24"/>
              </w:rPr>
              <w:t>年</w:t>
            </w:r>
            <w:r>
              <w:rPr>
                <w:rFonts w:hint="eastAsia"/>
                <w:sz w:val="24"/>
              </w:rPr>
              <w:t>需进行一次油罐清洗作业，由专业公司清洗，清罐时将产生清罐废物，主要由清罐油渣和清罐废水组成（统称为清罐废物）；隔油池及生化池会产生污泥；另外还有生活垃圾；</w:t>
            </w:r>
          </w:p>
          <w:p>
            <w:pPr>
              <w:adjustRightInd w:val="0"/>
              <w:snapToGrid w:val="0"/>
              <w:spacing w:before="120" w:line="360" w:lineRule="auto"/>
              <w:ind w:firstLine="240" w:firstLineChars="100"/>
              <w:rPr>
                <w:rFonts w:ascii="Times New Roman" w:hAnsi="Times New Roman" w:cs="Times New Roman"/>
                <w:sz w:val="24"/>
              </w:rPr>
            </w:pPr>
            <w:r>
              <w:rPr>
                <w:rFonts w:hint="eastAsia" w:ascii="Times New Roman" w:hAnsi="Times New Roman" w:cs="Times New Roman"/>
                <w:sz w:val="24"/>
              </w:rPr>
              <w:t>（3）</w:t>
            </w:r>
            <w:r>
              <w:rPr>
                <w:rFonts w:ascii="Times New Roman" w:hAnsi="Times New Roman" w:cs="Times New Roman"/>
                <w:sz w:val="24"/>
              </w:rPr>
              <w:t>主要污染工序：</w:t>
            </w:r>
          </w:p>
          <w:p>
            <w:pPr>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运营期主要产生</w:t>
            </w:r>
            <w:r>
              <w:rPr>
                <w:rFonts w:hint="eastAsia" w:ascii="Times New Roman" w:hAnsi="Times New Roman" w:cs="Times New Roman"/>
                <w:sz w:val="24"/>
              </w:rPr>
              <w:t>废气、</w:t>
            </w:r>
            <w:r>
              <w:rPr>
                <w:rFonts w:ascii="Times New Roman" w:hAnsi="Times New Roman" w:cs="Times New Roman"/>
                <w:sz w:val="24"/>
              </w:rPr>
              <w:t>废水、固废和噪声等。</w:t>
            </w:r>
          </w:p>
          <w:p>
            <w:pPr>
              <w:pStyle w:val="38"/>
              <w:numPr>
                <w:ilvl w:val="0"/>
                <w:numId w:val="5"/>
              </w:numPr>
              <w:spacing w:line="360" w:lineRule="auto"/>
              <w:ind w:firstLineChars="0"/>
              <w:rPr>
                <w:sz w:val="24"/>
              </w:rPr>
            </w:pPr>
            <w:r>
              <w:rPr>
                <w:rFonts w:hint="eastAsia"/>
                <w:sz w:val="24"/>
              </w:rPr>
              <w:t>大气污染工序</w:t>
            </w:r>
          </w:p>
          <w:p>
            <w:pPr>
              <w:tabs>
                <w:tab w:val="left" w:pos="624"/>
              </w:tabs>
              <w:spacing w:line="360" w:lineRule="auto"/>
              <w:ind w:firstLine="480" w:firstLineChars="200"/>
              <w:rPr>
                <w:rFonts w:hAnsi="宋体"/>
                <w:sz w:val="24"/>
              </w:rPr>
            </w:pPr>
            <w:r>
              <w:rPr>
                <w:rFonts w:hint="eastAsia" w:hAnsi="宋体"/>
                <w:sz w:val="24"/>
              </w:rPr>
              <w:t>本项运营过程中产生的大气污染物主要为汽车尾气和油气。</w:t>
            </w:r>
          </w:p>
          <w:p>
            <w:pPr>
              <w:spacing w:line="360" w:lineRule="auto"/>
              <w:ind w:firstLine="480" w:firstLineChars="200"/>
              <w:rPr>
                <w:sz w:val="24"/>
              </w:rPr>
            </w:pPr>
            <w:r>
              <w:rPr>
                <w:rFonts w:ascii="Calibri" w:hAnsi="Calibri" w:cs="Calibri"/>
                <w:sz w:val="24"/>
              </w:rPr>
              <w:t>②</w:t>
            </w:r>
            <w:r>
              <w:rPr>
                <w:rFonts w:hint="eastAsia"/>
                <w:sz w:val="24"/>
              </w:rPr>
              <w:t>水污染工序</w:t>
            </w:r>
          </w:p>
          <w:p>
            <w:pPr>
              <w:spacing w:line="360" w:lineRule="auto"/>
              <w:ind w:firstLine="480" w:firstLineChars="200"/>
              <w:rPr>
                <w:sz w:val="24"/>
              </w:rPr>
            </w:pPr>
            <w:r>
              <w:rPr>
                <w:rFonts w:hint="eastAsia"/>
                <w:sz w:val="24"/>
              </w:rPr>
              <w:t>水污染主要为员工生活污水和加油作业区地面冲洗废水。</w:t>
            </w:r>
          </w:p>
          <w:p>
            <w:pPr>
              <w:spacing w:line="360" w:lineRule="auto"/>
              <w:ind w:firstLine="480" w:firstLineChars="200"/>
              <w:rPr>
                <w:sz w:val="24"/>
              </w:rPr>
            </w:pPr>
            <w:r>
              <w:rPr>
                <w:rFonts w:ascii="Calibri" w:hAnsi="Calibri" w:cs="Calibri"/>
                <w:sz w:val="24"/>
              </w:rPr>
              <w:t>③</w:t>
            </w:r>
            <w:r>
              <w:rPr>
                <w:rFonts w:hint="eastAsia"/>
                <w:sz w:val="24"/>
              </w:rPr>
              <w:t>噪声污染工序</w:t>
            </w:r>
          </w:p>
          <w:p>
            <w:pPr>
              <w:adjustRightInd w:val="0"/>
              <w:snapToGrid w:val="0"/>
              <w:spacing w:line="360" w:lineRule="auto"/>
              <w:ind w:firstLine="480" w:firstLineChars="200"/>
              <w:rPr>
                <w:sz w:val="24"/>
              </w:rPr>
            </w:pPr>
            <w:r>
              <w:rPr>
                <w:rFonts w:hint="eastAsia"/>
                <w:sz w:val="24"/>
              </w:rPr>
              <w:t>噪声污染主要为设备运转时产生的设备噪声及进出加油站车辆产生的交通噪声。</w:t>
            </w:r>
          </w:p>
          <w:p>
            <w:pPr>
              <w:spacing w:line="360" w:lineRule="auto"/>
              <w:ind w:firstLine="480" w:firstLineChars="200"/>
              <w:rPr>
                <w:sz w:val="24"/>
              </w:rPr>
            </w:pPr>
            <w:r>
              <w:rPr>
                <w:rFonts w:ascii="Calibri" w:hAnsi="Calibri" w:cs="Calibri"/>
                <w:sz w:val="24"/>
              </w:rPr>
              <w:t>④</w:t>
            </w:r>
            <w:r>
              <w:rPr>
                <w:rFonts w:hint="eastAsia"/>
                <w:sz w:val="24"/>
              </w:rPr>
              <w:t>固体废物污染工序</w:t>
            </w:r>
          </w:p>
          <w:p>
            <w:pPr>
              <w:tabs>
                <w:tab w:val="left" w:pos="624"/>
              </w:tabs>
              <w:spacing w:line="360" w:lineRule="auto"/>
              <w:ind w:firstLine="480" w:firstLineChars="200"/>
              <w:rPr>
                <w:rFonts w:hAnsi="宋体"/>
                <w:sz w:val="24"/>
              </w:rPr>
            </w:pPr>
            <w:r>
              <w:rPr>
                <w:rFonts w:hint="eastAsia" w:hAnsi="宋体"/>
                <w:sz w:val="24"/>
              </w:rPr>
              <w:t>项目运行期固体废物主要为员工生活垃圾、隔油池</w:t>
            </w:r>
            <w:r>
              <w:rPr>
                <w:rFonts w:hint="eastAsia"/>
                <w:sz w:val="24"/>
              </w:rPr>
              <w:t>撇除的浮油和底泥以及油罐油垢</w:t>
            </w:r>
            <w:r>
              <w:rPr>
                <w:rFonts w:hint="eastAsia" w:hAnsi="宋体"/>
                <w:sz w:val="24"/>
              </w:rPr>
              <w:t>。</w:t>
            </w:r>
          </w:p>
          <w:p>
            <w:pPr>
              <w:adjustRightInd w:val="0"/>
              <w:snapToGrid w:val="0"/>
              <w:spacing w:line="360" w:lineRule="auto"/>
              <w:ind w:firstLine="480" w:firstLineChars="200"/>
              <w:jc w:val="left"/>
              <w:rPr>
                <w:rFonts w:ascii="Times New Roman" w:hAnsi="Times New Roman" w:cs="Times New Roman"/>
                <w:sz w:val="24"/>
              </w:rPr>
            </w:pP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项目变动</w:t>
            </w:r>
          </w:p>
          <w:p>
            <w:pPr>
              <w:pStyle w:val="5"/>
              <w:spacing w:line="360" w:lineRule="auto"/>
              <w:ind w:firstLine="480" w:firstLineChars="200"/>
              <w:outlineLvl w:val="3"/>
              <w:rPr>
                <w:rFonts w:cs="Times New Roman" w:asciiTheme="minorEastAsia" w:hAnsiTheme="minorEastAsia" w:eastAsiaTheme="minorEastAsia"/>
                <w:szCs w:val="28"/>
              </w:rPr>
            </w:pPr>
            <w:r>
              <w:rPr>
                <w:rFonts w:hint="eastAsia" w:cs="Times New Roman" w:asciiTheme="minorEastAsia" w:hAnsiTheme="minorEastAsia" w:eastAsiaTheme="minorEastAsia"/>
                <w:b w:val="0"/>
                <w:sz w:val="24"/>
              </w:rPr>
              <w:t>本</w:t>
            </w:r>
            <w:r>
              <w:rPr>
                <w:rFonts w:cs="Times New Roman" w:asciiTheme="minorEastAsia" w:hAnsiTheme="minorEastAsia" w:eastAsiaTheme="minorEastAsia"/>
                <w:b w:val="0"/>
                <w:sz w:val="24"/>
              </w:rPr>
              <w:t>项目建设的性质、规模、地点、采取污染防治措施等与环评及其批复</w:t>
            </w:r>
            <w:r>
              <w:rPr>
                <w:rFonts w:hint="eastAsia" w:cs="Times New Roman" w:asciiTheme="minorEastAsia" w:hAnsiTheme="minorEastAsia" w:eastAsiaTheme="minorEastAsia"/>
                <w:b w:val="0"/>
                <w:sz w:val="24"/>
              </w:rPr>
              <w:t>基本</w:t>
            </w:r>
            <w:r>
              <w:rPr>
                <w:rFonts w:cs="Times New Roman" w:asciiTheme="minorEastAsia" w:hAnsiTheme="minorEastAsia" w:eastAsiaTheme="minorEastAsia"/>
                <w:b w:val="0"/>
                <w:sz w:val="24"/>
              </w:rPr>
              <w:t>一致，无重大变化</w:t>
            </w:r>
            <w:r>
              <w:rPr>
                <w:rFonts w:cs="Times New Roman" w:asciiTheme="minorEastAsia" w:hAnsiTheme="minorEastAsia" w:eastAsiaTheme="minorEastAsia"/>
                <w:b w:val="0"/>
                <w:bCs/>
                <w:sz w:val="24"/>
              </w:rPr>
              <w:t>。</w:t>
            </w:r>
            <w:r>
              <w:rPr>
                <w:rFonts w:hint="eastAsia" w:cs="Times New Roman" w:asciiTheme="minorEastAsia" w:hAnsiTheme="minorEastAsia" w:eastAsiaTheme="minorEastAsia"/>
                <w:b w:val="0"/>
                <w:bCs/>
                <w:sz w:val="24"/>
              </w:rPr>
              <w:t>（废气防治措施油气回收系统采用设备比环评中提出的设备更先进，整个系统密闭进行，油汽基本不外排）</w:t>
            </w:r>
          </w:p>
        </w:tc>
      </w:tr>
    </w:tbl>
    <w:p>
      <w:pPr>
        <w:spacing w:line="360" w:lineRule="auto"/>
        <w:outlineLvl w:val="0"/>
        <w:rPr>
          <w:rFonts w:ascii="Times New Roman" w:hAnsi="Times New Roman" w:eastAsia="宋体" w:cs="Times New Roman"/>
          <w:b/>
          <w:sz w:val="28"/>
          <w:szCs w:val="28"/>
        </w:rPr>
      </w:pPr>
      <w:bookmarkStart w:id="12" w:name="_Toc19974"/>
      <w:r>
        <w:rPr>
          <w:rFonts w:ascii="Times New Roman" w:hAnsi="Times New Roman" w:cs="Times New Roman"/>
          <w:b/>
          <w:sz w:val="28"/>
          <w:szCs w:val="28"/>
        </w:rPr>
        <w:t xml:space="preserve">表二  </w:t>
      </w:r>
      <w:bookmarkEnd w:id="3"/>
      <w:bookmarkEnd w:id="8"/>
      <w:r>
        <w:rPr>
          <w:rFonts w:ascii="Times New Roman" w:hAnsi="Times New Roman" w:cs="Times New Roman"/>
          <w:b/>
          <w:sz w:val="28"/>
          <w:szCs w:val="28"/>
        </w:rPr>
        <w:t>主要污染物的产生、治理措施</w:t>
      </w:r>
      <w:bookmarkEnd w:id="12"/>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4" w:hRule="atLeast"/>
          <w:jc w:val="center"/>
        </w:trPr>
        <w:tc>
          <w:tcPr>
            <w:tcW w:w="9288" w:type="dxa"/>
          </w:tcPr>
          <w:p>
            <w:pPr>
              <w:spacing w:line="360" w:lineRule="auto"/>
              <w:rPr>
                <w:rFonts w:ascii="Times New Roman" w:hAnsi="Times New Roman" w:cs="Times New Roman"/>
                <w:b/>
                <w:bCs/>
                <w:sz w:val="28"/>
                <w:szCs w:val="28"/>
              </w:rPr>
            </w:pPr>
            <w:r>
              <w:rPr>
                <w:rFonts w:ascii="Times New Roman" w:hAnsi="Times New Roman" w:cs="Times New Roman"/>
                <w:b/>
                <w:bCs/>
                <w:sz w:val="28"/>
                <w:szCs w:val="28"/>
              </w:rPr>
              <w:t>2.1 废水排放及治理</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本项目产生的废水主要为</w:t>
            </w:r>
            <w:r>
              <w:rPr>
                <w:rFonts w:ascii="Times New Roman" w:hAnsi="Times New Roman" w:cs="Times New Roman"/>
                <w:kern w:val="0"/>
                <w:sz w:val="24"/>
              </w:rPr>
              <w:t>地面冲洗产生的生产废水和职工</w:t>
            </w:r>
            <w:r>
              <w:rPr>
                <w:rFonts w:hint="eastAsia" w:ascii="Times New Roman" w:hAnsi="Times New Roman" w:cs="Times New Roman"/>
                <w:kern w:val="0"/>
                <w:sz w:val="24"/>
              </w:rPr>
              <w:t>产生的</w:t>
            </w:r>
            <w:r>
              <w:rPr>
                <w:rFonts w:ascii="Times New Roman" w:hAnsi="Times New Roman" w:cs="Times New Roman"/>
                <w:sz w:val="24"/>
              </w:rPr>
              <w:t>生活污水。</w:t>
            </w:r>
          </w:p>
          <w:p>
            <w:pPr>
              <w:widowControl/>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项目区内排水采用雨污分流。</w:t>
            </w:r>
          </w:p>
          <w:p>
            <w:pPr>
              <w:adjustRightInd w:val="0"/>
              <w:snapToGrid w:val="0"/>
              <w:spacing w:line="520" w:lineRule="exact"/>
              <w:ind w:firstLine="480" w:firstLineChars="200"/>
              <w:rPr>
                <w:color w:val="auto"/>
                <w:sz w:val="24"/>
              </w:rPr>
            </w:pPr>
            <w:r>
              <w:rPr>
                <w:sz w:val="24"/>
              </w:rPr>
              <w:t>项目采取雨污分流，屋面雨水经落水管流至地面，与地面雨水汇集到排雨水沟排</w:t>
            </w:r>
            <w:r>
              <w:rPr>
                <w:rFonts w:hint="eastAsia"/>
                <w:sz w:val="24"/>
              </w:rPr>
              <w:t>出站外</w:t>
            </w:r>
            <w:r>
              <w:rPr>
                <w:sz w:val="24"/>
              </w:rPr>
              <w:t>；项目废水场地冲洗水经隔油池预处理与其他生活</w:t>
            </w:r>
            <w:r>
              <w:rPr>
                <w:rFonts w:hint="eastAsia"/>
                <w:sz w:val="24"/>
              </w:rPr>
              <w:t>废水</w:t>
            </w:r>
            <w:r>
              <w:rPr>
                <w:sz w:val="24"/>
              </w:rPr>
              <w:t>一并</w:t>
            </w:r>
            <w:r>
              <w:rPr>
                <w:rFonts w:hint="eastAsia"/>
                <w:sz w:val="24"/>
              </w:rPr>
              <w:t>进入</w:t>
            </w:r>
            <w:r>
              <w:rPr>
                <w:rFonts w:hint="eastAsia" w:hAnsi="宋体"/>
                <w:color w:val="auto"/>
                <w:sz w:val="24"/>
              </w:rPr>
              <w:t>站区污水处理系统，</w:t>
            </w:r>
            <w:r>
              <w:rPr>
                <w:rFonts w:hint="eastAsia"/>
                <w:color w:val="auto"/>
                <w:sz w:val="24"/>
              </w:rPr>
              <w:t>采用“化粪池＋地沟式土地处理系统”处理，</w:t>
            </w:r>
            <w:r>
              <w:rPr>
                <w:rFonts w:hint="eastAsia" w:hAnsi="宋体"/>
                <w:color w:val="auto"/>
                <w:sz w:val="24"/>
              </w:rPr>
              <w:t>将上述废水处理</w:t>
            </w:r>
            <w:r>
              <w:rPr>
                <w:rFonts w:hint="eastAsia"/>
                <w:color w:val="auto"/>
                <w:sz w:val="24"/>
              </w:rPr>
              <w:t>达到</w:t>
            </w:r>
            <w:r>
              <w:rPr>
                <w:rFonts w:hAnsi="宋体"/>
                <w:color w:val="auto"/>
                <w:sz w:val="24"/>
              </w:rPr>
              <w:t>《城市污水再生利用</w:t>
            </w:r>
            <w:r>
              <w:rPr>
                <w:color w:val="auto"/>
                <w:sz w:val="24"/>
              </w:rPr>
              <w:t xml:space="preserve"> </w:t>
            </w:r>
            <w:r>
              <w:rPr>
                <w:rFonts w:hAnsi="宋体"/>
                <w:color w:val="auto"/>
                <w:sz w:val="24"/>
              </w:rPr>
              <w:t>城市杂用水水质》</w:t>
            </w:r>
            <w:r>
              <w:rPr>
                <w:rFonts w:hint="eastAsia" w:hAnsi="宋体"/>
                <w:color w:val="auto"/>
                <w:sz w:val="24"/>
              </w:rPr>
              <w:t>（</w:t>
            </w:r>
            <w:r>
              <w:rPr>
                <w:color w:val="auto"/>
                <w:sz w:val="24"/>
              </w:rPr>
              <w:t>GB/T18920-2002</w:t>
            </w:r>
            <w:r>
              <w:rPr>
                <w:rFonts w:hint="eastAsia"/>
                <w:color w:val="auto"/>
                <w:sz w:val="24"/>
              </w:rPr>
              <w:t>）</w:t>
            </w:r>
            <w:r>
              <w:rPr>
                <w:rFonts w:hAnsi="宋体"/>
                <w:color w:val="auto"/>
                <w:sz w:val="24"/>
              </w:rPr>
              <w:t>标准</w:t>
            </w:r>
            <w:r>
              <w:rPr>
                <w:rFonts w:hint="eastAsia" w:hAnsi="宋体"/>
                <w:color w:val="auto"/>
                <w:sz w:val="24"/>
              </w:rPr>
              <w:t>要求后用于站区道路洒水降尘和绿化使用，不外排。</w:t>
            </w:r>
          </w:p>
          <w:p>
            <w:pPr>
              <w:tabs>
                <w:tab w:val="left" w:pos="1350"/>
              </w:tabs>
              <w:spacing w:line="360" w:lineRule="auto"/>
              <w:ind w:firstLine="480" w:firstLineChars="200"/>
              <w:rPr>
                <w:rFonts w:ascii="Times New Roman" w:hAnsi="Times New Roman" w:cs="Times New Roman"/>
                <w:sz w:val="24"/>
              </w:rPr>
            </w:pPr>
          </w:p>
          <w:p>
            <w:pPr>
              <w:tabs>
                <w:tab w:val="left" w:pos="1350"/>
              </w:tabs>
              <w:spacing w:line="360" w:lineRule="auto"/>
              <w:ind w:firstLine="480" w:firstLineChars="200"/>
              <w:rPr>
                <w:rFonts w:ascii="Times New Roman" w:hAnsi="Times New Roman" w:cs="Times New Roman"/>
                <w:sz w:val="24"/>
              </w:rPr>
            </w:pP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2.2 废气排放及治理</w:t>
            </w:r>
          </w:p>
          <w:p>
            <w:pPr>
              <w:spacing w:line="360" w:lineRule="auto"/>
              <w:ind w:firstLine="480" w:firstLineChars="200"/>
              <w:rPr>
                <w:rFonts w:ascii="Times New Roman" w:hAnsi="Times New Roman" w:cs="Times New Roman"/>
                <w:kern w:val="0"/>
                <w:sz w:val="24"/>
              </w:rPr>
            </w:pPr>
            <w:r>
              <w:rPr>
                <w:sz w:val="24"/>
              </w:rPr>
              <w:t>项目大气污染主要为</w:t>
            </w:r>
            <w:r>
              <w:rPr>
                <w:rFonts w:hint="eastAsia"/>
                <w:sz w:val="24"/>
              </w:rPr>
              <w:t>油罐收发油过程中大呼吸蒸发损失的油蒸气，储罐自身受外界环境影响引发的小呼吸蒸发损失的油蒸气和加油作业中由加油枪与车辆油箱的空隙中散发出的油蒸气，油蒸汽表征出的大气污染因子为非甲烷总烃</w:t>
            </w:r>
            <w:r>
              <w:rPr>
                <w:rFonts w:hint="eastAsia"/>
                <w:color w:val="000000"/>
                <w:sz w:val="24"/>
              </w:rPr>
              <w:t>。</w:t>
            </w:r>
          </w:p>
          <w:p>
            <w:pPr>
              <w:spacing w:line="360" w:lineRule="auto"/>
              <w:ind w:firstLine="482" w:firstLineChars="200"/>
              <w:rPr>
                <w:rFonts w:ascii="Times New Roman" w:hAnsi="Times New Roman" w:cs="Times New Roman"/>
                <w:sz w:val="24"/>
              </w:rPr>
            </w:pPr>
            <w:r>
              <w:rPr>
                <w:rFonts w:ascii="Times New Roman" w:hAnsi="Times New Roman" w:cs="Times New Roman"/>
                <w:b/>
                <w:bCs/>
                <w:kern w:val="0"/>
                <w:sz w:val="24"/>
              </w:rPr>
              <w:t>治理措施：</w:t>
            </w:r>
            <w:r>
              <w:rPr>
                <w:rFonts w:ascii="Times New Roman" w:hAnsi="Times New Roman" w:cs="Times New Roman"/>
                <w:sz w:val="24"/>
              </w:rPr>
              <w:t>本项目设置油气回收系统，包括卸油油气回收系统和加油油气回收系统。</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pacing w:val="6"/>
                <w:sz w:val="24"/>
              </w:rPr>
              <w:t>非甲烷总烃类</w:t>
            </w:r>
            <w:r>
              <w:rPr>
                <w:rFonts w:ascii="Times New Roman" w:hAnsi="Times New Roman" w:cs="Times New Roman"/>
                <w:sz w:val="24"/>
              </w:rPr>
              <w:t>废气：加油站在汽油系统设密闭卸油油气回收系统、加油油气回收系统及油罐小呼吸油气后处理装置，对柴油系统设置卸油回气管。这样可以一定程度上减少非甲烷总烃的排放。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项目采用</w:t>
            </w:r>
            <w:r>
              <w:rPr>
                <w:rFonts w:hint="eastAsia" w:ascii="Times New Roman" w:hAnsi="Times New Roman" w:cs="Times New Roman"/>
                <w:sz w:val="24"/>
              </w:rPr>
              <w:t>双层地埋储罐</w:t>
            </w:r>
            <w:r>
              <w:rPr>
                <w:rFonts w:ascii="Times New Roman" w:hAnsi="Times New Roman" w:cs="Times New Roman"/>
                <w:sz w:val="24"/>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这样可以一定程度上减少非甲烷总烃的排放。而且本加油站毗临道路，站址较开阔，空气流动良好，排放的烃类有害物质量较少，经大气扩散后，虽会对周围空气造成轻微污染，</w:t>
            </w:r>
            <w:r>
              <w:rPr>
                <w:rFonts w:hint="eastAsia" w:hAnsi="宋体"/>
                <w:sz w:val="24"/>
              </w:rPr>
              <w:t>对附近居民的影响较小</w:t>
            </w:r>
            <w:r>
              <w:rPr>
                <w:rFonts w:ascii="Times New Roman" w:hAnsi="Times New Roman" w:cs="Times New Roman"/>
                <w:sz w:val="24"/>
              </w:rPr>
              <w:t>。</w:t>
            </w:r>
          </w:p>
          <w:p>
            <w:pPr>
              <w:spacing w:line="500" w:lineRule="exact"/>
              <w:ind w:firstLine="420" w:firstLineChars="200"/>
              <w:rPr>
                <w:sz w:val="24"/>
              </w:rPr>
            </w:pPr>
            <w:r>
              <w:rPr>
                <w:rFonts w:ascii="Times New Roman" w:hAnsi="Times New Roman" w:cs="Times New Roman"/>
              </w:rPr>
              <w:t>（2）</w:t>
            </w:r>
            <w:r>
              <w:rPr>
                <w:rFonts w:ascii="Times New Roman" w:hAnsi="Times New Roman" w:cs="Times New Roman"/>
                <w:sz w:val="24"/>
              </w:rPr>
              <w:t>对于汽车尾气</w:t>
            </w:r>
            <w:r>
              <w:rPr>
                <w:rFonts w:ascii="Times New Roman" w:hAnsi="Times New Roman" w:cs="Times New Roman"/>
              </w:rPr>
              <w:t>：</w:t>
            </w:r>
            <w:r>
              <w:rPr>
                <w:rFonts w:hint="eastAsia"/>
                <w:sz w:val="24"/>
              </w:rPr>
              <w:t>待加油车辆在进出场地时均呈怠速行驶状态，该状态下的汽车会排放一定量的尾气</w:t>
            </w:r>
            <w:r>
              <w:rPr>
                <w:spacing w:val="-4"/>
                <w:sz w:val="24"/>
              </w:rPr>
              <w:t>。</w:t>
            </w:r>
            <w:r>
              <w:rPr>
                <w:rFonts w:hint="eastAsia" w:ascii="宋体" w:cs="宋体"/>
                <w:bCs/>
                <w:kern w:val="0"/>
                <w:sz w:val="24"/>
              </w:rPr>
              <w:t>汽车尾气的排放量与车型、车况和车辆数等有关，</w:t>
            </w:r>
            <w:r>
              <w:rPr>
                <w:sz w:val="24"/>
              </w:rPr>
              <w:t>由于汽车启动时间较短，同一时间内同时启动的车辆数量不大，汽车尾气产生量小</w:t>
            </w:r>
            <w:r>
              <w:rPr>
                <w:rFonts w:hint="eastAsia"/>
                <w:sz w:val="24"/>
              </w:rPr>
              <w:t>，</w:t>
            </w:r>
            <w:r>
              <w:rPr>
                <w:rFonts w:hint="eastAsia" w:ascii="Times New Roman" w:hAnsi="Times New Roman" w:cs="Times New Roman"/>
                <w:sz w:val="24"/>
              </w:rPr>
              <w:t>本项目</w:t>
            </w:r>
            <w:r>
              <w:rPr>
                <w:rFonts w:ascii="Times New Roman" w:hAnsi="Times New Roman" w:cs="Times New Roman"/>
                <w:sz w:val="24"/>
              </w:rPr>
              <w:t>绿化</w:t>
            </w:r>
            <w:r>
              <w:rPr>
                <w:rFonts w:hint="eastAsia" w:ascii="Times New Roman" w:hAnsi="Times New Roman" w:cs="Times New Roman"/>
                <w:sz w:val="24"/>
              </w:rPr>
              <w:t>率较高达31.</w:t>
            </w:r>
            <w:r>
              <w:rPr>
                <w:rFonts w:hint="eastAsia" w:ascii="Times New Roman" w:hAnsi="Times New Roman" w:cs="Times New Roman"/>
                <w:sz w:val="24"/>
                <w:lang w:val="en-US" w:eastAsia="zh-CN"/>
              </w:rPr>
              <w:t>3</w:t>
            </w:r>
            <w:r>
              <w:rPr>
                <w:rFonts w:hint="eastAsia" w:ascii="Times New Roman" w:hAnsi="Times New Roman" w:cs="Times New Roman"/>
                <w:sz w:val="24"/>
              </w:rPr>
              <w:t>%</w:t>
            </w:r>
            <w:r>
              <w:rPr>
                <w:rFonts w:ascii="Times New Roman" w:hAnsi="Times New Roman" w:cs="Times New Roman"/>
                <w:sz w:val="24"/>
              </w:rPr>
              <w:t>、</w:t>
            </w:r>
            <w:r>
              <w:rPr>
                <w:rFonts w:hint="eastAsia"/>
                <w:sz w:val="24"/>
              </w:rPr>
              <w:t>对</w:t>
            </w:r>
            <w:r>
              <w:rPr>
                <w:sz w:val="24"/>
              </w:rPr>
              <w:t>汽车尾气可起到一定的吸收作用</w:t>
            </w:r>
            <w:r>
              <w:rPr>
                <w:rFonts w:hint="eastAsia"/>
                <w:sz w:val="24"/>
              </w:rPr>
              <w:t>，另外通过对</w:t>
            </w:r>
            <w:r>
              <w:rPr>
                <w:rFonts w:ascii="Times New Roman" w:hAnsi="Times New Roman" w:cs="Times New Roman"/>
                <w:sz w:val="24"/>
              </w:rPr>
              <w:t>加油车辆的管理及自然扩散，汽车尾气对</w:t>
            </w:r>
            <w:r>
              <w:rPr>
                <w:rFonts w:hint="eastAsia" w:ascii="Times New Roman" w:hAnsi="Times New Roman" w:cs="Times New Roman"/>
                <w:sz w:val="24"/>
              </w:rPr>
              <w:t>周边</w:t>
            </w:r>
            <w:r>
              <w:rPr>
                <w:rFonts w:ascii="Times New Roman" w:hAnsi="Times New Roman" w:cs="Times New Roman"/>
                <w:sz w:val="24"/>
              </w:rPr>
              <w:t>环境影响较小。</w:t>
            </w:r>
          </w:p>
          <w:p>
            <w:pPr>
              <w:pStyle w:val="9"/>
              <w:tabs>
                <w:tab w:val="left" w:pos="2841"/>
              </w:tabs>
              <w:spacing w:line="360" w:lineRule="auto"/>
              <w:ind w:firstLine="480" w:firstLineChars="200"/>
              <w:rPr>
                <w:rFonts w:ascii="Times New Roman" w:hAnsi="Times New Roman" w:cs="Times New Roman"/>
                <w:b/>
                <w:bCs/>
                <w:szCs w:val="28"/>
              </w:rPr>
            </w:pPr>
            <w:r>
              <w:rPr>
                <w:rFonts w:ascii="Times New Roman" w:hAnsi="Times New Roman" w:cs="Times New Roman"/>
              </w:rPr>
              <w:t>本项目通过设置油气回收系统、自然扩散、绿化</w:t>
            </w:r>
            <w:r>
              <w:rPr>
                <w:rFonts w:hint="eastAsia" w:ascii="Times New Roman" w:hAnsi="Times New Roman" w:cs="Times New Roman"/>
              </w:rPr>
              <w:t>吸收</w:t>
            </w:r>
            <w:r>
              <w:rPr>
                <w:rFonts w:ascii="Times New Roman" w:hAnsi="Times New Roman" w:cs="Times New Roman"/>
              </w:rPr>
              <w:t>及</w:t>
            </w:r>
            <w:r>
              <w:rPr>
                <w:rFonts w:hint="eastAsia" w:ascii="Times New Roman" w:hAnsi="Times New Roman" w:cs="Times New Roman"/>
              </w:rPr>
              <w:t>对</w:t>
            </w:r>
            <w:r>
              <w:rPr>
                <w:rFonts w:ascii="Times New Roman" w:hAnsi="Times New Roman" w:cs="Times New Roman"/>
              </w:rPr>
              <w:t>加油车辆管理，项目产生的非甲烷总烃及汽车尾气对环境的影响较小。</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2.3 噪声产生及治理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营运期噪声主要为</w:t>
            </w:r>
            <w:r>
              <w:rPr>
                <w:sz w:val="24"/>
              </w:rPr>
              <w:t>来往的机动车产生的噪声和加油泵、备用柴油发电机等设备运行时产生的噪声</w:t>
            </w:r>
            <w:r>
              <w:rPr>
                <w:rFonts w:ascii="Times New Roman" w:hAnsi="Times New Roman" w:cs="Times New Roman"/>
                <w:sz w:val="24"/>
              </w:rPr>
              <w:t>。</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hint="eastAsia" w:ascii="Times New Roman" w:hAnsi="Times New Roman" w:cs="Times New Roman"/>
                <w:b/>
                <w:bCs/>
                <w:sz w:val="24"/>
              </w:rPr>
              <w:t>对</w:t>
            </w:r>
            <w:r>
              <w:rPr>
                <w:sz w:val="24"/>
              </w:rPr>
              <w:t>加油泵、备用柴油发电机</w:t>
            </w:r>
            <w:r>
              <w:rPr>
                <w:rFonts w:ascii="Times New Roman" w:hAnsi="Times New Roman" w:cs="Times New Roman"/>
                <w:sz w:val="24"/>
              </w:rPr>
              <w:t>采用低噪声设备，对泵体等高噪声设备采取</w:t>
            </w:r>
            <w:r>
              <w:rPr>
                <w:rFonts w:hint="eastAsia" w:ascii="Times New Roman" w:hAnsi="Times New Roman" w:cs="Times New Roman"/>
                <w:sz w:val="24"/>
              </w:rPr>
              <w:t>减震</w:t>
            </w:r>
            <w:r>
              <w:rPr>
                <w:rFonts w:ascii="Times New Roman" w:hAnsi="Times New Roman" w:cs="Times New Roman"/>
                <w:sz w:val="24"/>
              </w:rPr>
              <w:t>隔音降噪</w:t>
            </w:r>
            <w:r>
              <w:rPr>
                <w:rFonts w:hint="eastAsia" w:ascii="Times New Roman" w:hAnsi="Times New Roman" w:cs="Times New Roman"/>
                <w:sz w:val="24"/>
              </w:rPr>
              <w:t>措施</w:t>
            </w:r>
            <w:r>
              <w:rPr>
                <w:rFonts w:ascii="Times New Roman" w:hAnsi="Times New Roman" w:cs="Times New Roman"/>
                <w:sz w:val="24"/>
              </w:rPr>
              <w:t>；</w:t>
            </w:r>
            <w:r>
              <w:rPr>
                <w:rFonts w:hint="eastAsia" w:ascii="Times New Roman" w:hAnsi="Times New Roman" w:cs="Times New Roman"/>
                <w:sz w:val="24"/>
              </w:rPr>
              <w:t>机动车</w:t>
            </w:r>
            <w:r>
              <w:rPr>
                <w:rFonts w:ascii="Times New Roman" w:hAnsi="Times New Roman" w:cs="Times New Roman"/>
                <w:sz w:val="24"/>
              </w:rPr>
              <w:t>在项目区域内加强交通管理，做好交通疏导，限制进入区域内车辆的车速，</w:t>
            </w:r>
            <w:r>
              <w:rPr>
                <w:kern w:val="0"/>
                <w:sz w:val="24"/>
              </w:rPr>
              <w:t>合理规划车流方向，保持项目区内的车流畅通</w:t>
            </w:r>
            <w:r>
              <w:rPr>
                <w:rFonts w:hint="eastAsia"/>
                <w:kern w:val="0"/>
                <w:sz w:val="24"/>
              </w:rPr>
              <w:t>，</w:t>
            </w:r>
            <w:r>
              <w:rPr>
                <w:rFonts w:ascii="Times New Roman" w:hAnsi="Times New Roman" w:cs="Times New Roman"/>
                <w:sz w:val="24"/>
              </w:rPr>
              <w:t>同时，禁止在区域内鸣喇叭；备用发电机噪声通过优选低噪声设备、建筑隔声、防振、消声措施控制，站区内、外加强绿化</w:t>
            </w:r>
            <w:r>
              <w:rPr>
                <w:rFonts w:hint="eastAsia" w:ascii="Times New Roman" w:hAnsi="Times New Roman" w:cs="Times New Roman"/>
                <w:sz w:val="24"/>
              </w:rPr>
              <w:t>（绿化面积占31.</w:t>
            </w:r>
            <w:r>
              <w:rPr>
                <w:rFonts w:hint="eastAsia" w:ascii="Times New Roman" w:hAnsi="Times New Roman" w:cs="Times New Roman"/>
                <w:sz w:val="24"/>
                <w:lang w:val="en-US" w:eastAsia="zh-CN"/>
              </w:rPr>
              <w:t>3</w:t>
            </w:r>
            <w:r>
              <w:rPr>
                <w:rFonts w:hint="eastAsia" w:ascii="Times New Roman" w:hAnsi="Times New Roman" w:cs="Times New Roman"/>
                <w:sz w:val="24"/>
              </w:rPr>
              <w:t>%）</w:t>
            </w:r>
            <w:r>
              <w:rPr>
                <w:rFonts w:ascii="Times New Roman" w:hAnsi="Times New Roman" w:cs="Times New Roman"/>
                <w:sz w:val="24"/>
              </w:rPr>
              <w:t>等措施，减小项目产生的噪声对周边环境的影响。</w:t>
            </w:r>
          </w:p>
          <w:p>
            <w:pPr>
              <w:pStyle w:val="9"/>
              <w:spacing w:line="360" w:lineRule="auto"/>
              <w:rPr>
                <w:rFonts w:ascii="Times New Roman" w:hAnsi="Times New Roman" w:cs="Times New Roman"/>
                <w:b/>
                <w:bCs/>
                <w:sz w:val="28"/>
                <w:szCs w:val="28"/>
              </w:rPr>
            </w:pPr>
            <w:r>
              <w:rPr>
                <w:rFonts w:ascii="Times New Roman" w:hAnsi="Times New Roman" w:cs="Times New Roman"/>
                <w:b/>
                <w:bCs/>
                <w:sz w:val="28"/>
                <w:szCs w:val="28"/>
              </w:rPr>
              <w:t>2.4 固体废物的产生及治理</w:t>
            </w:r>
          </w:p>
          <w:p>
            <w:pPr>
              <w:spacing w:line="336" w:lineRule="auto"/>
              <w:ind w:firstLine="482"/>
              <w:rPr>
                <w:rFonts w:hint="eastAsia"/>
                <w:bCs/>
                <w:sz w:val="24"/>
              </w:rPr>
            </w:pPr>
            <w:r>
              <w:rPr>
                <w:bCs/>
                <w:sz w:val="24"/>
              </w:rPr>
              <w:t>项目营运期产生的固体废物主要是生活垃圾、油垢、浮油和底泥</w:t>
            </w:r>
            <w:r>
              <w:rPr>
                <w:rFonts w:hint="eastAsia"/>
                <w:bCs/>
                <w:sz w:val="24"/>
              </w:rPr>
              <w:t>。</w:t>
            </w:r>
          </w:p>
          <w:p>
            <w:pPr>
              <w:spacing w:line="336" w:lineRule="auto"/>
              <w:ind w:firstLine="482"/>
              <w:rPr>
                <w:rFonts w:ascii="Times New Roman" w:hAnsi="Times New Roman" w:cs="Times New Roman"/>
                <w:sz w:val="24"/>
              </w:rPr>
            </w:pPr>
            <w:r>
              <w:rPr>
                <w:bCs/>
                <w:sz w:val="24"/>
              </w:rPr>
              <w:t>生活垃圾经</w:t>
            </w:r>
            <w:r>
              <w:rPr>
                <w:sz w:val="24"/>
              </w:rPr>
              <w:t>收集后暂存于垃圾收集点内，委托环卫部门统一清运处理</w:t>
            </w:r>
            <w:r>
              <w:rPr>
                <w:rFonts w:ascii="Times New Roman" w:hAnsi="Times New Roman" w:cs="Times New Roman"/>
                <w:sz w:val="24"/>
              </w:rPr>
              <w:t>。</w:t>
            </w:r>
          </w:p>
          <w:p>
            <w:pPr>
              <w:tabs>
                <w:tab w:val="left" w:pos="-423"/>
                <w:tab w:val="left" w:pos="7347"/>
              </w:tabs>
              <w:spacing w:line="500" w:lineRule="exact"/>
              <w:ind w:firstLine="472" w:firstLineChars="197"/>
              <w:rPr>
                <w:bCs/>
                <w:sz w:val="24"/>
              </w:rPr>
            </w:pPr>
            <w:r>
              <w:rPr>
                <w:bCs/>
                <w:sz w:val="24"/>
              </w:rPr>
              <w:t>油垢、浮油和底泥为危险废物，经收集后委托有危险废物处置资质的单位处理。</w:t>
            </w:r>
          </w:p>
          <w:p>
            <w:pPr>
              <w:tabs>
                <w:tab w:val="left" w:pos="-423"/>
                <w:tab w:val="left" w:pos="7347"/>
              </w:tabs>
              <w:spacing w:line="500" w:lineRule="exact"/>
              <w:ind w:firstLine="472" w:firstLineChars="197"/>
              <w:rPr>
                <w:color w:val="FF0000"/>
                <w:sz w:val="24"/>
              </w:rPr>
            </w:pPr>
            <w:r>
              <w:rPr>
                <w:bCs/>
                <w:sz w:val="24"/>
              </w:rPr>
              <w:t>项目营运期产生的固体废物均能得到妥善处置，</w:t>
            </w:r>
            <w:r>
              <w:rPr>
                <w:sz w:val="24"/>
              </w:rPr>
              <w:t>对周围环境影响较小</w:t>
            </w:r>
            <w:r>
              <w:rPr>
                <w:color w:val="auto"/>
                <w:sz w:val="24"/>
              </w:rPr>
              <w:t>。</w:t>
            </w: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r>
              <w:rPr>
                <w:rFonts w:ascii="Times New Roman" w:hAnsi="Times New Roman" w:cs="Times New Roman"/>
                <w:b/>
                <w:bCs/>
                <w:sz w:val="28"/>
                <w:szCs w:val="28"/>
              </w:rPr>
              <w:t>2.5 主要污染源及处理设施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该项目污染源及处理设施对照表2-1</w:t>
            </w:r>
          </w:p>
          <w:p>
            <w:pPr>
              <w:spacing w:line="360" w:lineRule="auto"/>
              <w:jc w:val="center"/>
              <w:rPr>
                <w:rFonts w:ascii="Times New Roman" w:hAnsi="Times New Roman" w:cs="Times New Roman"/>
                <w:b/>
                <w:bCs/>
                <w:sz w:val="24"/>
              </w:rPr>
            </w:pPr>
          </w:p>
          <w:p>
            <w:pPr>
              <w:spacing w:line="360" w:lineRule="auto"/>
              <w:jc w:val="center"/>
              <w:rPr>
                <w:rFonts w:ascii="Times New Roman" w:hAnsi="Times New Roman" w:eastAsia="宋体" w:cs="Times New Roman"/>
                <w:sz w:val="28"/>
                <w:szCs w:val="28"/>
              </w:rPr>
            </w:pPr>
            <w:r>
              <w:rPr>
                <w:rFonts w:ascii="Times New Roman" w:hAnsi="Times New Roman" w:cs="Times New Roman"/>
                <w:b/>
                <w:bCs/>
                <w:sz w:val="24"/>
              </w:rPr>
              <w:t>表2-1 主要污染物及处理设施对照表</w:t>
            </w:r>
          </w:p>
          <w:tbl>
            <w:tblPr>
              <w:tblStyle w:val="16"/>
              <w:tblW w:w="87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127"/>
              <w:gridCol w:w="1185"/>
              <w:gridCol w:w="2268"/>
              <w:gridCol w:w="1701"/>
              <w:gridCol w:w="850"/>
              <w:gridCol w:w="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内容</w:t>
                  </w:r>
                </w:p>
                <w:p>
                  <w:pPr>
                    <w:adjustRightInd w:val="0"/>
                    <w:snapToGrid w:val="0"/>
                    <w:jc w:val="center"/>
                    <w:rPr>
                      <w:rFonts w:ascii="Times New Roman" w:hAnsi="Times New Roman" w:cs="Times New Roman"/>
                      <w:szCs w:val="21"/>
                    </w:rPr>
                  </w:pPr>
                  <w:r>
                    <w:rPr>
                      <w:rFonts w:ascii="Times New Roman" w:hAnsi="Times New Roman" w:cs="Times New Roman"/>
                      <w:szCs w:val="21"/>
                    </w:rPr>
                    <w:t>类型</w:t>
                  </w:r>
                </w:p>
              </w:tc>
              <w:tc>
                <w:tcPr>
                  <w:tcW w:w="112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w:t>
                  </w:r>
                </w:p>
              </w:tc>
              <w:tc>
                <w:tcPr>
                  <w:tcW w:w="118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污染物</w:t>
                  </w:r>
                </w:p>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2268"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环评要求处理设施</w:t>
                  </w:r>
                </w:p>
              </w:tc>
              <w:tc>
                <w:tcPr>
                  <w:tcW w:w="170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实际建设处理设施</w:t>
                  </w:r>
                </w:p>
              </w:tc>
              <w:tc>
                <w:tcPr>
                  <w:tcW w:w="850"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排放口</w:t>
                  </w:r>
                </w:p>
              </w:tc>
              <w:tc>
                <w:tcPr>
                  <w:tcW w:w="70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大气污染物</w:t>
                  </w:r>
                </w:p>
              </w:tc>
              <w:tc>
                <w:tcPr>
                  <w:tcW w:w="112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储油罐、加油机、油罐车</w:t>
                  </w:r>
                </w:p>
              </w:tc>
              <w:tc>
                <w:tcPr>
                  <w:tcW w:w="118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268" w:type="dxa"/>
                  <w:tcBorders>
                    <w:tl2br w:val="nil"/>
                    <w:tr2bl w:val="nil"/>
                  </w:tcBorders>
                  <w:vAlign w:val="center"/>
                </w:tcPr>
                <w:p>
                  <w:pPr>
                    <w:rPr>
                      <w:rFonts w:ascii="Times New Roman" w:hAnsi="Times New Roman" w:cs="Times New Roman"/>
                      <w:bCs/>
                      <w:szCs w:val="21"/>
                    </w:rPr>
                  </w:pPr>
                  <w:r>
                    <w:rPr>
                      <w:rFonts w:ascii="Times New Roman" w:hAnsi="Times New Roman" w:cs="Times New Roman"/>
                      <w:szCs w:val="21"/>
                    </w:rPr>
                    <w:t>加油、卸油</w:t>
                  </w:r>
                  <w:r>
                    <w:rPr>
                      <w:rFonts w:hint="eastAsia" w:ascii="Times New Roman" w:hAnsi="Times New Roman" w:cs="Times New Roman"/>
                      <w:szCs w:val="21"/>
                    </w:rPr>
                    <w:t>过程设置油汽回收系统，</w:t>
                  </w:r>
                  <w:r>
                    <w:rPr>
                      <w:rFonts w:hint="eastAsia"/>
                      <w:color w:val="auto"/>
                      <w:szCs w:val="21"/>
                    </w:rPr>
                    <w:t>处理装置的油气排放质量浓度达到</w:t>
                  </w:r>
                  <w:r>
                    <w:rPr>
                      <w:color w:val="auto"/>
                      <w:szCs w:val="21"/>
                    </w:rPr>
                    <w:t>《</w:t>
                  </w:r>
                  <w:r>
                    <w:rPr>
                      <w:rFonts w:hint="eastAsia"/>
                      <w:color w:val="auto"/>
                      <w:szCs w:val="21"/>
                    </w:rPr>
                    <w:t>加油站大气污染物排放标准</w:t>
                  </w:r>
                  <w:r>
                    <w:rPr>
                      <w:color w:val="auto"/>
                      <w:szCs w:val="21"/>
                    </w:rPr>
                    <w:t>》（GB</w:t>
                  </w:r>
                  <w:r>
                    <w:rPr>
                      <w:rFonts w:hint="eastAsia"/>
                      <w:color w:val="auto"/>
                      <w:szCs w:val="21"/>
                    </w:rPr>
                    <w:t>2</w:t>
                  </w:r>
                  <w:r>
                    <w:rPr>
                      <w:color w:val="auto"/>
                      <w:szCs w:val="21"/>
                    </w:rPr>
                    <w:t>095</w:t>
                  </w:r>
                  <w:r>
                    <w:rPr>
                      <w:rFonts w:hint="eastAsia"/>
                      <w:color w:val="auto"/>
                      <w:szCs w:val="21"/>
                    </w:rPr>
                    <w:t>2</w:t>
                  </w:r>
                  <w:r>
                    <w:rPr>
                      <w:color w:val="auto"/>
                      <w:szCs w:val="21"/>
                    </w:rPr>
                    <w:t>-20</w:t>
                  </w:r>
                  <w:r>
                    <w:rPr>
                      <w:rFonts w:hint="eastAsia"/>
                      <w:color w:val="auto"/>
                      <w:szCs w:val="21"/>
                    </w:rPr>
                    <w:t>07</w:t>
                  </w:r>
                  <w:r>
                    <w:rPr>
                      <w:color w:val="auto"/>
                      <w:szCs w:val="21"/>
                    </w:rPr>
                    <w:t>）标准</w:t>
                  </w:r>
                  <w:r>
                    <w:rPr>
                      <w:rFonts w:hint="eastAsia"/>
                      <w:color w:val="auto"/>
                      <w:szCs w:val="21"/>
                    </w:rPr>
                    <w:t>小于等于25g/m</w:t>
                  </w:r>
                  <w:r>
                    <w:rPr>
                      <w:rFonts w:hint="eastAsia"/>
                      <w:color w:val="auto"/>
                      <w:szCs w:val="21"/>
                      <w:vertAlign w:val="superscript"/>
                    </w:rPr>
                    <w:t>3</w:t>
                  </w:r>
                </w:p>
              </w:tc>
              <w:tc>
                <w:tcPr>
                  <w:tcW w:w="1701" w:type="dxa"/>
                  <w:tcBorders>
                    <w:tl2br w:val="nil"/>
                    <w:tr2bl w:val="nil"/>
                  </w:tcBorders>
                  <w:vAlign w:val="center"/>
                </w:tcPr>
                <w:p>
                  <w:pPr>
                    <w:ind w:left="105" w:leftChars="50" w:right="105" w:rightChars="50"/>
                    <w:jc w:val="center"/>
                    <w:rPr>
                      <w:rFonts w:hint="eastAsia" w:ascii="Times New Roman" w:hAnsi="Times New Roman" w:eastAsia="宋体" w:cs="Times New Roman"/>
                      <w:bCs/>
                      <w:szCs w:val="21"/>
                    </w:rPr>
                  </w:pPr>
                  <w:r>
                    <w:rPr>
                      <w:rFonts w:ascii="Times New Roman" w:hAnsi="Times New Roman" w:cs="Times New Roman"/>
                      <w:szCs w:val="21"/>
                    </w:rPr>
                    <w:t>采用密闭加油、卸油设</w:t>
                  </w:r>
                  <w:r>
                    <w:rPr>
                      <w:rFonts w:hint="eastAsia" w:ascii="Times New Roman" w:hAnsi="Times New Roman" w:cs="Times New Roman"/>
                      <w:szCs w:val="21"/>
                    </w:rPr>
                    <w:t>备，设置油汽回收系统，油汽不外排，仅有</w:t>
                  </w:r>
                  <w:r>
                    <w:rPr>
                      <w:rFonts w:hint="eastAsia"/>
                      <w:szCs w:val="21"/>
                    </w:rPr>
                    <w:t>储罐自身受外界环境影响引发的小呼吸蒸发损失的油蒸气和加油作业中由加油枪与车辆油箱的空隙中散发出的油蒸气</w:t>
                  </w:r>
                </w:p>
              </w:tc>
              <w:tc>
                <w:tcPr>
                  <w:tcW w:w="850"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无组织</w:t>
                  </w:r>
                </w:p>
              </w:tc>
              <w:tc>
                <w:tcPr>
                  <w:tcW w:w="700"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88"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水污染物</w:t>
                  </w:r>
                </w:p>
              </w:tc>
              <w:tc>
                <w:tcPr>
                  <w:tcW w:w="1127" w:type="dxa"/>
                  <w:tcBorders>
                    <w:tl2br w:val="nil"/>
                    <w:tr2bl w:val="nil"/>
                  </w:tcBorders>
                  <w:vAlign w:val="center"/>
                </w:tcPr>
                <w:p>
                  <w:pPr>
                    <w:rPr>
                      <w:rFonts w:ascii="Times New Roman" w:hAnsi="Times New Roman" w:eastAsia="宋体" w:cs="Times New Roman"/>
                      <w:bCs/>
                      <w:szCs w:val="21"/>
                    </w:rPr>
                  </w:pPr>
                  <w:r>
                    <w:rPr>
                      <w:rFonts w:hint="eastAsia"/>
                    </w:rPr>
                    <w:t>員工生活污水</w:t>
                  </w:r>
                  <w:r>
                    <w:t>、 地 坪冲洗水</w:t>
                  </w:r>
                </w:p>
              </w:tc>
              <w:tc>
                <w:tcPr>
                  <w:tcW w:w="1185"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szCs w:val="21"/>
                    </w:rPr>
                    <w:t>SS、COD、BOD</w:t>
                  </w:r>
                  <w:r>
                    <w:rPr>
                      <w:rFonts w:ascii="Times New Roman" w:hAnsi="Times New Roman" w:cs="Times New Roman"/>
                      <w:szCs w:val="21"/>
                      <w:vertAlign w:val="subscript"/>
                    </w:rPr>
                    <w:t>5</w:t>
                  </w:r>
                  <w:r>
                    <w:rPr>
                      <w:rFonts w:ascii="Times New Roman" w:hAnsi="Times New Roman" w:cs="Times New Roman"/>
                      <w:szCs w:val="21"/>
                    </w:rPr>
                    <w:t xml:space="preserve"> 、NH</w:t>
                  </w:r>
                  <w:r>
                    <w:rPr>
                      <w:rFonts w:ascii="Times New Roman" w:hAnsi="Times New Roman" w:cs="Times New Roman"/>
                      <w:szCs w:val="21"/>
                      <w:vertAlign w:val="subscript"/>
                    </w:rPr>
                    <w:t>3</w:t>
                  </w:r>
                  <w:r>
                    <w:rPr>
                      <w:rFonts w:ascii="Times New Roman" w:hAnsi="Times New Roman" w:cs="Times New Roman"/>
                      <w:szCs w:val="21"/>
                    </w:rPr>
                    <w:t>-N</w:t>
                  </w:r>
                </w:p>
                <w:p>
                  <w:pPr>
                    <w:jc w:val="center"/>
                    <w:rPr>
                      <w:rFonts w:ascii="Times New Roman" w:hAnsi="Times New Roman" w:eastAsia="宋体" w:cs="Times New Roman"/>
                      <w:bCs/>
                      <w:szCs w:val="21"/>
                    </w:rPr>
                  </w:pPr>
                  <w:r>
                    <w:rPr>
                      <w:rFonts w:ascii="Times New Roman" w:hAnsi="Times New Roman" w:cs="Times New Roman"/>
                      <w:szCs w:val="21"/>
                    </w:rPr>
                    <w:t>石油类</w:t>
                  </w:r>
                </w:p>
              </w:tc>
              <w:tc>
                <w:tcPr>
                  <w:tcW w:w="2268" w:type="dxa"/>
                  <w:tcBorders>
                    <w:tl2br w:val="nil"/>
                    <w:tr2bl w:val="nil"/>
                  </w:tcBorders>
                  <w:vAlign w:val="center"/>
                </w:tcPr>
                <w:p>
                  <w:pPr>
                    <w:rPr>
                      <w:rFonts w:ascii="Times New Roman" w:hAnsi="Times New Roman" w:cs="Times New Roman"/>
                      <w:bCs/>
                      <w:szCs w:val="21"/>
                    </w:rPr>
                  </w:pPr>
                  <w:r>
                    <w:t>场地冲洗水经隔油池预处理与其他生活污水一并进入</w:t>
                  </w:r>
                  <w:r>
                    <w:rPr>
                      <w:rFonts w:hint="eastAsia"/>
                    </w:rPr>
                    <w:t>战区污水处理系统</w:t>
                  </w:r>
                  <w:r>
                    <w:t>，</w:t>
                  </w:r>
                  <w:r>
                    <w:rPr>
                      <w:rFonts w:hint="eastAsia"/>
                    </w:rPr>
                    <w:t>处理规模为</w:t>
                  </w:r>
                  <w:r>
                    <w:rPr>
                      <w:rFonts w:hint="eastAsia"/>
                      <w:color w:val="auto"/>
                      <w:szCs w:val="21"/>
                    </w:rPr>
                    <w:t>2m</w:t>
                  </w:r>
                  <w:r>
                    <w:rPr>
                      <w:rFonts w:hint="eastAsia"/>
                      <w:color w:val="auto"/>
                      <w:szCs w:val="21"/>
                      <w:vertAlign w:val="superscript"/>
                    </w:rPr>
                    <w:t>3</w:t>
                  </w:r>
                  <w:r>
                    <w:rPr>
                      <w:rFonts w:hint="eastAsia"/>
                      <w:color w:val="auto"/>
                      <w:szCs w:val="21"/>
                    </w:rPr>
                    <w:t>/</w:t>
                  </w:r>
                  <w:r>
                    <w:rPr>
                      <w:color w:val="auto"/>
                      <w:szCs w:val="21"/>
                    </w:rPr>
                    <w:t>d</w:t>
                  </w:r>
                  <w:r>
                    <w:rPr>
                      <w:rFonts w:hint="eastAsia"/>
                      <w:color w:val="auto"/>
                      <w:szCs w:val="21"/>
                    </w:rPr>
                    <w:t>，处理</w:t>
                  </w:r>
                  <w:r>
                    <w:rPr>
                      <w:rFonts w:hint="eastAsia" w:ascii="宋体" w:hAnsi="宋体"/>
                      <w:color w:val="auto"/>
                      <w:szCs w:val="21"/>
                    </w:rPr>
                    <w:t>达到</w:t>
                  </w:r>
                  <w:r>
                    <w:rPr>
                      <w:rFonts w:hAnsi="宋体"/>
                      <w:color w:val="auto"/>
                      <w:szCs w:val="21"/>
                    </w:rPr>
                    <w:t>《城市污水再生利用</w:t>
                  </w:r>
                  <w:r>
                    <w:rPr>
                      <w:color w:val="auto"/>
                      <w:szCs w:val="21"/>
                    </w:rPr>
                    <w:t xml:space="preserve"> </w:t>
                  </w:r>
                  <w:r>
                    <w:rPr>
                      <w:rFonts w:hAnsi="宋体"/>
                      <w:color w:val="auto"/>
                      <w:szCs w:val="21"/>
                    </w:rPr>
                    <w:t>城市杂用水水质》</w:t>
                  </w:r>
                  <w:r>
                    <w:rPr>
                      <w:rFonts w:hint="eastAsia" w:hAnsi="宋体"/>
                      <w:color w:val="auto"/>
                      <w:szCs w:val="21"/>
                    </w:rPr>
                    <w:t>（</w:t>
                  </w:r>
                  <w:r>
                    <w:rPr>
                      <w:color w:val="auto"/>
                      <w:szCs w:val="21"/>
                    </w:rPr>
                    <w:t>GB/T18920-2002</w:t>
                  </w:r>
                  <w:r>
                    <w:rPr>
                      <w:rFonts w:hint="eastAsia"/>
                      <w:color w:val="auto"/>
                      <w:szCs w:val="21"/>
                    </w:rPr>
                    <w:t>）</w:t>
                  </w:r>
                  <w:r>
                    <w:rPr>
                      <w:rFonts w:hAnsi="宋体"/>
                      <w:color w:val="auto"/>
                      <w:szCs w:val="21"/>
                    </w:rPr>
                    <w:t>标准</w:t>
                  </w:r>
                  <w:r>
                    <w:rPr>
                      <w:rFonts w:hint="eastAsia"/>
                      <w:bCs/>
                      <w:color w:val="auto"/>
                      <w:szCs w:val="21"/>
                    </w:rPr>
                    <w:t>要求</w:t>
                  </w:r>
                  <w:r>
                    <w:rPr>
                      <w:rFonts w:hint="eastAsia" w:hAnsi="宋体"/>
                      <w:bCs/>
                      <w:color w:val="auto"/>
                      <w:szCs w:val="21"/>
                    </w:rPr>
                    <w:t>，用于道路洒水</w:t>
                  </w:r>
                  <w:r>
                    <w:rPr>
                      <w:rFonts w:hint="eastAsia" w:hAnsi="宋体"/>
                      <w:bCs/>
                      <w:szCs w:val="21"/>
                    </w:rPr>
                    <w:t>降尘和站区绿化</w:t>
                  </w:r>
                  <w:r>
                    <w:rPr>
                      <w:rFonts w:hint="eastAsia" w:ascii="宋体" w:hAnsi="宋体"/>
                      <w:bCs/>
                      <w:szCs w:val="21"/>
                    </w:rPr>
                    <w:t>。</w:t>
                  </w:r>
                  <w:r>
                    <w:t>不外排</w:t>
                  </w:r>
                </w:p>
              </w:tc>
              <w:tc>
                <w:tcPr>
                  <w:tcW w:w="1701"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850"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cs="Times New Roman"/>
                      <w:bCs/>
                      <w:szCs w:val="21"/>
                    </w:rPr>
                    <w:t>/</w:t>
                  </w:r>
                </w:p>
                <w:p>
                  <w:pPr>
                    <w:adjustRightInd w:val="0"/>
                    <w:snapToGrid w:val="0"/>
                    <w:jc w:val="center"/>
                    <w:rPr>
                      <w:rFonts w:ascii="Times New Roman" w:hAnsi="Times New Roman" w:eastAsia="宋体" w:cs="Times New Roman"/>
                      <w:bCs/>
                      <w:szCs w:val="21"/>
                    </w:rPr>
                  </w:pPr>
                </w:p>
              </w:tc>
              <w:tc>
                <w:tcPr>
                  <w:tcW w:w="700" w:type="dxa"/>
                  <w:tcBorders>
                    <w:tl2br w:val="nil"/>
                    <w:tr2bl w:val="nil"/>
                  </w:tcBorders>
                  <w:vAlign w:val="center"/>
                </w:tcPr>
                <w:p>
                  <w:pPr>
                    <w:adjustRightInd w:val="0"/>
                    <w:snapToGrid w:val="0"/>
                    <w:jc w:val="center"/>
                    <w:rPr>
                      <w:rFonts w:ascii="Times New Roman" w:hAnsi="Times New Roman" w:cs="Times New Roman"/>
                      <w:bCs/>
                      <w:szCs w:val="21"/>
                    </w:rPr>
                  </w:pPr>
                  <w:r>
                    <w:rPr>
                      <w:rFonts w:hint="eastAsia" w:ascii="Times New Roman" w:hAnsi="Times New Roman" w:cs="Times New Roman"/>
                      <w:bCs/>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固体污染物</w:t>
                  </w:r>
                </w:p>
              </w:tc>
              <w:tc>
                <w:tcPr>
                  <w:tcW w:w="1127"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生活垃圾</w:t>
                  </w:r>
                </w:p>
              </w:tc>
              <w:tc>
                <w:tcPr>
                  <w:tcW w:w="1185" w:type="dxa"/>
                  <w:tcBorders>
                    <w:tl2br w:val="nil"/>
                    <w:tr2bl w:val="nil"/>
                  </w:tcBorders>
                  <w:vAlign w:val="center"/>
                </w:tcPr>
                <w:p>
                  <w:pPr>
                    <w:rPr>
                      <w:rFonts w:ascii="Times New Roman" w:hAnsi="Times New Roman" w:cs="Times New Roman"/>
                      <w:szCs w:val="21"/>
                    </w:rPr>
                  </w:pPr>
                  <w:r>
                    <w:rPr>
                      <w:rFonts w:ascii="Times New Roman" w:hAnsi="Times New Roman" w:cs="Times New Roman"/>
                      <w:szCs w:val="21"/>
                    </w:rPr>
                    <w:t>生活垃圾</w:t>
                  </w:r>
                </w:p>
              </w:tc>
              <w:tc>
                <w:tcPr>
                  <w:tcW w:w="2268"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设置垃圾桶，定期由</w:t>
                  </w:r>
                  <w:r>
                    <w:rPr>
                      <w:rFonts w:hint="eastAsia" w:ascii="Times New Roman" w:hAnsi="Times New Roman" w:cs="Times New Roman"/>
                      <w:szCs w:val="21"/>
                    </w:rPr>
                    <w:t>当地</w:t>
                  </w:r>
                  <w:r>
                    <w:rPr>
                      <w:rFonts w:ascii="Times New Roman" w:hAnsi="Times New Roman" w:cs="Times New Roman"/>
                      <w:szCs w:val="21"/>
                    </w:rPr>
                    <w:t>环卫部门清运</w:t>
                  </w:r>
                  <w:r>
                    <w:rPr>
                      <w:rFonts w:hint="eastAsia" w:ascii="Times New Roman" w:hAnsi="Times New Roman" w:cs="Times New Roman"/>
                      <w:szCs w:val="21"/>
                    </w:rPr>
                    <w:t>集中处理</w:t>
                  </w:r>
                </w:p>
              </w:tc>
              <w:tc>
                <w:tcPr>
                  <w:tcW w:w="3251" w:type="dxa"/>
                  <w:gridSpan w:val="3"/>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szCs w:val="21"/>
                    </w:rPr>
                    <w:t>生化池</w:t>
                  </w:r>
                </w:p>
              </w:tc>
              <w:tc>
                <w:tcPr>
                  <w:tcW w:w="1185"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污泥</w:t>
                  </w:r>
                </w:p>
              </w:tc>
              <w:tc>
                <w:tcPr>
                  <w:tcW w:w="2268"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hint="eastAsia" w:ascii="Times New Roman" w:hAnsi="Times New Roman" w:cs="Times New Roman"/>
                      <w:szCs w:val="21"/>
                    </w:rPr>
                    <w:t>由环卫收集送至垃圾填埋场填埋</w:t>
                  </w:r>
                </w:p>
              </w:tc>
              <w:tc>
                <w:tcPr>
                  <w:tcW w:w="3251" w:type="dxa"/>
                  <w:gridSpan w:val="3"/>
                  <w:vMerge w:val="restart"/>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隔油池</w:t>
                  </w:r>
                  <w:r>
                    <w:rPr>
                      <w:rFonts w:hint="eastAsia"/>
                    </w:rPr>
                    <w:t>、</w:t>
                  </w:r>
                  <w:r>
                    <w:t>生化池</w:t>
                  </w:r>
                </w:p>
              </w:tc>
              <w:tc>
                <w:tcPr>
                  <w:tcW w:w="1185" w:type="dxa"/>
                  <w:tcBorders>
                    <w:tl2br w:val="nil"/>
                    <w:tr2bl w:val="nil"/>
                  </w:tcBorders>
                  <w:vAlign w:val="center"/>
                </w:tcPr>
                <w:p>
                  <w:pPr>
                    <w:rPr>
                      <w:rFonts w:ascii="Times New Roman" w:hAnsi="Times New Roman" w:eastAsia="宋体" w:cs="Times New Roman"/>
                      <w:szCs w:val="21"/>
                    </w:rPr>
                  </w:pPr>
                  <w:r>
                    <w:t>隔油沉淀池 废油</w:t>
                  </w:r>
                  <w:r>
                    <w:rPr>
                      <w:rFonts w:hint="eastAsia"/>
                    </w:rPr>
                    <w:t>和底泥</w:t>
                  </w:r>
                </w:p>
              </w:tc>
              <w:tc>
                <w:tcPr>
                  <w:tcW w:w="2268"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szCs w:val="21"/>
                    </w:rPr>
                    <w:t>设置危废暂存间，并定期交由有资质单位处理</w:t>
                  </w:r>
                </w:p>
              </w:tc>
              <w:tc>
                <w:tcPr>
                  <w:tcW w:w="3251"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设备维修</w:t>
                  </w:r>
                </w:p>
              </w:tc>
              <w:tc>
                <w:tcPr>
                  <w:tcW w:w="1185" w:type="dxa"/>
                  <w:tcBorders>
                    <w:tl2br w:val="nil"/>
                    <w:tr2bl w:val="nil"/>
                  </w:tcBorders>
                  <w:vAlign w:val="center"/>
                </w:tcPr>
                <w:p>
                  <w:pPr>
                    <w:jc w:val="center"/>
                    <w:rPr>
                      <w:rFonts w:ascii="Times New Roman" w:hAnsi="Times New Roman" w:cs="Times New Roman"/>
                      <w:szCs w:val="21"/>
                    </w:rPr>
                  </w:pPr>
                  <w:r>
                    <w:t>废机油、含 油棉纱等</w:t>
                  </w:r>
                </w:p>
              </w:tc>
              <w:tc>
                <w:tcPr>
                  <w:tcW w:w="2268"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251"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噪声</w:t>
                  </w:r>
                </w:p>
              </w:tc>
              <w:tc>
                <w:tcPr>
                  <w:tcW w:w="1127" w:type="dxa"/>
                  <w:tcBorders>
                    <w:tl2br w:val="nil"/>
                    <w:tr2bl w:val="nil"/>
                  </w:tcBorders>
                  <w:vAlign w:val="center"/>
                </w:tcPr>
                <w:p>
                  <w:pPr>
                    <w:jc w:val="center"/>
                    <w:rPr>
                      <w:rFonts w:ascii="Times New Roman" w:hAnsi="Times New Roman" w:cs="Times New Roman"/>
                      <w:szCs w:val="21"/>
                      <w:highlight w:val="yellow"/>
                    </w:rPr>
                  </w:pPr>
                  <w:r>
                    <w:rPr>
                      <w:rFonts w:ascii="Times New Roman" w:hAnsi="Times New Roman" w:cs="Times New Roman"/>
                      <w:szCs w:val="21"/>
                    </w:rPr>
                    <w:t>设备、车辆</w:t>
                  </w:r>
                </w:p>
              </w:tc>
              <w:tc>
                <w:tcPr>
                  <w:tcW w:w="118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噪声</w:t>
                  </w:r>
                </w:p>
              </w:tc>
              <w:tc>
                <w:tcPr>
                  <w:tcW w:w="5519" w:type="dxa"/>
                  <w:gridSpan w:val="4"/>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hAnsi="宋体"/>
                      <w:szCs w:val="21"/>
                    </w:rPr>
                    <w:t>通过绿化带隔音吸声，限制车辆驶入、驶出的速度</w:t>
                  </w:r>
                  <w:r>
                    <w:rPr>
                      <w:rFonts w:hint="eastAsia"/>
                    </w:rPr>
                    <w:t>，建筑隔音及采取减振措施</w:t>
                  </w:r>
                </w:p>
              </w:tc>
            </w:tr>
          </w:tbl>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r>
              <w:rPr>
                <w:rFonts w:ascii="Times New Roman" w:hAnsi="Times New Roman" w:cs="Times New Roman"/>
                <w:b/>
                <w:bCs/>
                <w:sz w:val="28"/>
                <w:szCs w:val="28"/>
              </w:rPr>
              <w:t>2.6 主要环保投资</w:t>
            </w:r>
          </w:p>
          <w:p>
            <w:pPr>
              <w:spacing w:line="360" w:lineRule="auto"/>
              <w:ind w:firstLine="480" w:firstLineChars="200"/>
              <w:rPr>
                <w:rFonts w:ascii="Times New Roman" w:hAnsi="Times New Roman" w:cs="Times New Roman"/>
                <w:sz w:val="28"/>
                <w:szCs w:val="28"/>
              </w:rPr>
            </w:pPr>
            <w:r>
              <w:rPr>
                <w:rFonts w:ascii="Times New Roman" w:hAnsi="Times New Roman" w:cs="Times New Roman"/>
                <w:sz w:val="24"/>
              </w:rPr>
              <w:t>本项目实际总投资</w:t>
            </w:r>
            <w:r>
              <w:rPr>
                <w:rFonts w:hint="eastAsia" w:ascii="Times New Roman" w:hAnsi="Times New Roman" w:cs="Times New Roman"/>
                <w:sz w:val="24"/>
              </w:rPr>
              <w:t>400</w:t>
            </w:r>
            <w:r>
              <w:rPr>
                <w:rFonts w:ascii="Times New Roman" w:hAnsi="Times New Roman" w:cs="Times New Roman"/>
                <w:sz w:val="24"/>
              </w:rPr>
              <w:t>万元，环保投资</w:t>
            </w:r>
            <w:r>
              <w:rPr>
                <w:rFonts w:hint="eastAsia" w:ascii="Times New Roman" w:hAnsi="Times New Roman" w:cs="Times New Roman"/>
                <w:sz w:val="24"/>
              </w:rPr>
              <w:t>56.3</w:t>
            </w:r>
            <w:r>
              <w:rPr>
                <w:rFonts w:ascii="Times New Roman" w:hAnsi="Times New Roman" w:cs="Times New Roman"/>
                <w:sz w:val="24"/>
              </w:rPr>
              <w:t>万元</w:t>
            </w:r>
            <w:r>
              <w:rPr>
                <w:rFonts w:hint="eastAsia" w:ascii="Times New Roman" w:hAnsi="Times New Roman" w:cs="Times New Roman"/>
                <w:sz w:val="24"/>
              </w:rPr>
              <w:t>（施工期13.1万元，</w:t>
            </w:r>
            <w:r>
              <w:rPr>
                <w:b/>
                <w:sz w:val="24"/>
              </w:rPr>
              <w:t>营运</w:t>
            </w:r>
            <w:r>
              <w:rPr>
                <w:rFonts w:hint="eastAsia" w:ascii="Times New Roman" w:hAnsi="Times New Roman" w:eastAsia="宋体" w:cs="Times New Roman"/>
                <w:kern w:val="0"/>
                <w:sz w:val="24"/>
                <w:szCs w:val="20"/>
              </w:rPr>
              <w:t>期43.2万元）</w:t>
            </w:r>
            <w:r>
              <w:rPr>
                <w:rFonts w:ascii="Times New Roman" w:hAnsi="Times New Roman" w:cs="Times New Roman"/>
                <w:sz w:val="24"/>
              </w:rPr>
              <w:t>，占总投资</w:t>
            </w:r>
            <w:r>
              <w:rPr>
                <w:rFonts w:hint="eastAsia" w:ascii="Times New Roman" w:hAnsi="Times New Roman" w:cs="Times New Roman"/>
                <w:sz w:val="24"/>
              </w:rPr>
              <w:t>14.07</w:t>
            </w:r>
            <w:r>
              <w:rPr>
                <w:rFonts w:ascii="Times New Roman" w:hAnsi="Times New Roman" w:cs="Times New Roman"/>
                <w:sz w:val="24"/>
              </w:rPr>
              <w:t>%。项目实际投资情况见下表2-2。</w:t>
            </w:r>
          </w:p>
          <w:p>
            <w:pPr>
              <w:rPr>
                <w:rFonts w:ascii="Times New Roman" w:hAnsi="Times New Roman" w:cs="Times New Roman"/>
                <w:b/>
                <w:bCs/>
                <w:sz w:val="24"/>
              </w:rPr>
            </w:pPr>
          </w:p>
          <w:p>
            <w:pPr>
              <w:ind w:firstLine="482" w:firstLineChars="200"/>
              <w:jc w:val="center"/>
              <w:rPr>
                <w:rFonts w:ascii="Times New Roman" w:hAnsi="Times New Roman" w:cs="Times New Roman"/>
                <w:b/>
                <w:bCs/>
                <w:sz w:val="24"/>
              </w:rPr>
            </w:pPr>
            <w:r>
              <w:rPr>
                <w:rFonts w:ascii="Times New Roman" w:hAnsi="Times New Roman" w:cs="Times New Roman"/>
                <w:b/>
                <w:bCs/>
                <w:sz w:val="24"/>
              </w:rPr>
              <w:t>表2-2 项目实际投资情况</w:t>
            </w:r>
          </w:p>
          <w:tbl>
            <w:tblPr>
              <w:tblStyle w:val="16"/>
              <w:tblW w:w="8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978"/>
              <w:gridCol w:w="3852"/>
              <w:gridCol w:w="1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序号</w:t>
                  </w:r>
                </w:p>
              </w:tc>
              <w:tc>
                <w:tcPr>
                  <w:tcW w:w="1978"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类型</w:t>
                  </w:r>
                </w:p>
              </w:tc>
              <w:tc>
                <w:tcPr>
                  <w:tcW w:w="3852"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hint="eastAsia" w:ascii="Times New Roman" w:hAnsi="Times New Roman" w:cs="Times New Roman"/>
                      <w:b/>
                      <w:szCs w:val="21"/>
                    </w:rPr>
                    <w:t>内容</w:t>
                  </w:r>
                </w:p>
              </w:tc>
              <w:tc>
                <w:tcPr>
                  <w:tcW w:w="1997" w:type="dxa"/>
                  <w:tcBorders>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价格（万元）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废气治理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油气回收装置</w:t>
                  </w:r>
                  <w:r>
                    <w:rPr>
                      <w:rFonts w:hint="eastAsia" w:ascii="Times New Roman" w:hAnsi="Times New Roman" w:cs="Times New Roman"/>
                      <w:szCs w:val="21"/>
                    </w:rPr>
                    <w:t>（一次、二次）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废水治理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szCs w:val="21"/>
                    </w:rPr>
                    <w:t>按雨、污分流制设置雨水收集排放管、污水收集排放管、隔油池</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噪声治理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t>减震</w:t>
                  </w:r>
                  <w:r>
                    <w:rPr>
                      <w:rFonts w:hint="eastAsia"/>
                    </w:rPr>
                    <w:t>基座</w:t>
                  </w:r>
                  <w:r>
                    <w:t>，隔声</w:t>
                  </w:r>
                  <w:r>
                    <w:rPr>
                      <w:rFonts w:hint="eastAsia"/>
                    </w:rPr>
                    <w:t>門窗等</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固废治理</w:t>
                  </w:r>
                </w:p>
              </w:tc>
              <w:tc>
                <w:tcPr>
                  <w:tcW w:w="3852" w:type="dxa"/>
                  <w:tcBorders>
                    <w:tl2br w:val="nil"/>
                    <w:tr2bl w:val="nil"/>
                  </w:tcBorders>
                  <w:vAlign w:val="center"/>
                </w:tcPr>
                <w:p>
                  <w:pPr>
                    <w:spacing w:line="360" w:lineRule="auto"/>
                    <w:ind w:firstLine="840" w:firstLineChars="400"/>
                    <w:rPr>
                      <w:rFonts w:ascii="Times New Roman" w:hAnsi="Times New Roman" w:eastAsia="宋体" w:cs="Times New Roman"/>
                      <w:szCs w:val="21"/>
                    </w:rPr>
                  </w:pPr>
                  <w:r>
                    <w:rPr>
                      <w:rFonts w:hint="eastAsia"/>
                      <w:szCs w:val="21"/>
                    </w:rPr>
                    <w:t>加盖生活垃圾桶</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危废暂存间</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绿化</w:t>
                  </w:r>
                  <w:r>
                    <w:rPr>
                      <w:rFonts w:hint="eastAsia" w:ascii="Times New Roman" w:hAnsi="Times New Roman" w:cs="Times New Roman"/>
                      <w:szCs w:val="21"/>
                    </w:rPr>
                    <w:t>面积500</w:t>
                  </w:r>
                  <w:r>
                    <w:rPr>
                      <w:rFonts w:ascii="Times New Roman" w:hAnsi="Times New Roman" w:cs="Times New Roman"/>
                      <w:szCs w:val="21"/>
                    </w:rPr>
                    <w:t>m</w:t>
                  </w:r>
                  <w:r>
                    <w:rPr>
                      <w:rFonts w:ascii="Times New Roman" w:hAnsi="Times New Roman" w:cs="Times New Roman"/>
                      <w:szCs w:val="21"/>
                      <w:vertAlign w:val="superscript"/>
                    </w:rPr>
                    <w:t>2</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施工期</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szCs w:val="21"/>
                    </w:rPr>
                    <w:t>施工扬尘防治</w:t>
                  </w:r>
                  <w:r>
                    <w:rPr>
                      <w:rFonts w:hint="eastAsia"/>
                      <w:szCs w:val="21"/>
                    </w:rPr>
                    <w:t>、污水处理、施工噪声防治、固废处置</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7" w:type="dxa"/>
                  <w:gridSpan w:val="3"/>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56.3</w:t>
                  </w:r>
                </w:p>
              </w:tc>
            </w:tr>
          </w:tbl>
          <w:p>
            <w:pPr>
              <w:spacing w:line="360" w:lineRule="auto"/>
              <w:rPr>
                <w:rFonts w:ascii="Times New Roman" w:hAnsi="Times New Roman"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9288" w:type="dxa"/>
          </w:tcPr>
          <w:p>
            <w:pPr>
              <w:pageBreakBefore/>
              <w:spacing w:line="360" w:lineRule="auto"/>
              <w:outlineLvl w:val="0"/>
              <w:rPr>
                <w:rFonts w:ascii="Times New Roman" w:hAnsi="Times New Roman" w:cs="Times New Roman"/>
                <w:b/>
                <w:sz w:val="28"/>
                <w:szCs w:val="28"/>
              </w:rPr>
            </w:pPr>
            <w:r>
              <w:rPr>
                <w:rFonts w:ascii="Times New Roman" w:hAnsi="Times New Roman" w:cs="Times New Roman"/>
                <w:b/>
                <w:sz w:val="28"/>
                <w:szCs w:val="28"/>
              </w:rPr>
              <w:t>表三  环境影响评价报告表主要结论、建议及批复</w:t>
            </w:r>
          </w:p>
          <w:p>
            <w:pPr>
              <w:rPr>
                <w:rFonts w:ascii="Times New Roman" w:hAnsi="Times New Roman" w:cs="Times New Roman"/>
                <w:b/>
                <w:sz w:val="28"/>
                <w:szCs w:val="28"/>
              </w:rPr>
            </w:pPr>
            <w:r>
              <w:rPr>
                <w:rFonts w:ascii="Times New Roman" w:hAnsi="Times New Roman" w:cs="Times New Roman"/>
                <w:b/>
                <w:bCs/>
                <w:sz w:val="28"/>
                <w:szCs w:val="28"/>
              </w:rPr>
              <w:t>3.1 环境影响评价报告表主要结论及建</w:t>
            </w:r>
            <w:r>
              <w:rPr>
                <w:rFonts w:ascii="Times New Roman" w:hAnsi="Times New Roman" w:cs="Times New Roman"/>
                <w:b/>
                <w:sz w:val="28"/>
                <w:szCs w:val="28"/>
              </w:rPr>
              <w:t>议（摘录）</w:t>
            </w:r>
          </w:p>
          <w:p>
            <w:pPr>
              <w:adjustRightInd w:val="0"/>
              <w:snapToGrid w:val="0"/>
              <w:spacing w:line="360" w:lineRule="auto"/>
              <w:rPr>
                <w:rFonts w:ascii="Times New Roman" w:hAnsi="Times New Roman" w:cs="Times New Roman"/>
                <w:b/>
                <w:sz w:val="24"/>
              </w:rPr>
            </w:pPr>
            <w:r>
              <w:rPr>
                <w:rFonts w:ascii="Times New Roman" w:hAnsi="Times New Roman" w:cs="Times New Roman"/>
                <w:b/>
                <w:sz w:val="24"/>
              </w:rPr>
              <w:t>结论：</w:t>
            </w:r>
          </w:p>
          <w:p>
            <w:pPr>
              <w:spacing w:line="360" w:lineRule="auto"/>
              <w:rPr>
                <w:rFonts w:ascii="Times New Roman" w:hAnsi="Times New Roman" w:cs="Times New Roman"/>
                <w:b/>
                <w:sz w:val="24"/>
              </w:rPr>
            </w:pPr>
            <w:r>
              <w:rPr>
                <w:rFonts w:hint="eastAsia" w:ascii="Times New Roman" w:hAnsi="Times New Roman" w:cs="Times New Roman"/>
                <w:b/>
                <w:sz w:val="24"/>
              </w:rPr>
              <w:t>1、项目概况</w:t>
            </w:r>
          </w:p>
          <w:p>
            <w:pPr>
              <w:spacing w:line="360" w:lineRule="auto"/>
              <w:ind w:firstLine="480" w:firstLineChars="200"/>
              <w:rPr>
                <w:rFonts w:hAnsi="宋体"/>
                <w:sz w:val="24"/>
              </w:rPr>
            </w:pPr>
            <w:r>
              <w:rPr>
                <w:sz w:val="24"/>
              </w:rPr>
              <w:t>项目位于</w:t>
            </w:r>
            <w:r>
              <w:rPr>
                <w:rFonts w:hint="eastAsia"/>
                <w:sz w:val="24"/>
              </w:rPr>
              <w:t>花安高速燕楼服务区</w:t>
            </w:r>
            <w:r>
              <w:rPr>
                <w:sz w:val="24"/>
              </w:rPr>
              <w:t>B</w:t>
            </w:r>
            <w:r>
              <w:rPr>
                <w:rFonts w:hint="eastAsia"/>
                <w:sz w:val="24"/>
              </w:rPr>
              <w:t>场地（贵阳市花溪区燕楼乡）</w:t>
            </w:r>
            <w:r>
              <w:rPr>
                <w:rFonts w:ascii="Times New Roman" w:hAnsi="Times New Roman" w:eastAsia="宋体" w:cs="Times New Roman"/>
                <w:sz w:val="24"/>
              </w:rPr>
              <w:t>，</w:t>
            </w:r>
            <w:r>
              <w:rPr>
                <w:rFonts w:hint="eastAsia" w:ascii="Times New Roman" w:hAnsi="Times New Roman" w:eastAsia="宋体" w:cs="Times New Roman"/>
                <w:sz w:val="24"/>
              </w:rPr>
              <w:t>北面、</w:t>
            </w:r>
            <w:r>
              <w:rPr>
                <w:rFonts w:hint="eastAsia"/>
                <w:sz w:val="24"/>
              </w:rPr>
              <w:t>西北面为山坡，南面与花安高速（花溪至安顺）相邻、西侧与花安高速燕楼服务区相邻。本项目地理位置为东经</w:t>
            </w:r>
            <w:r>
              <w:rPr>
                <w:rFonts w:ascii="Times New Roman" w:hAnsi="Times New Roman" w:eastAsia="宋体" w:cs="Times New Roman"/>
                <w:sz w:val="24"/>
                <w:shd w:val="clear" w:color="auto" w:fill="FFFFFF"/>
              </w:rPr>
              <w:t>106°27′—106°52′</w:t>
            </w:r>
            <w:r>
              <w:rPr>
                <w:rFonts w:hint="eastAsia"/>
                <w:sz w:val="24"/>
              </w:rPr>
              <w:t>，北纬</w:t>
            </w:r>
            <w:r>
              <w:rPr>
                <w:rFonts w:ascii="Times New Roman" w:hAnsi="Times New Roman" w:eastAsia="宋体" w:cs="Times New Roman"/>
                <w:sz w:val="24"/>
                <w:shd w:val="clear" w:color="auto" w:fill="FFFFFF"/>
              </w:rPr>
              <w:t>26°11′—26°34′</w:t>
            </w:r>
            <w:r>
              <w:rPr>
                <w:rFonts w:hint="eastAsia" w:ascii="宋体" w:hAnsi="宋体"/>
                <w:sz w:val="24"/>
              </w:rPr>
              <w:t>；项目</w:t>
            </w:r>
            <w:r>
              <w:rPr>
                <w:sz w:val="24"/>
              </w:rPr>
              <w:t>总投资</w:t>
            </w:r>
            <w:r>
              <w:rPr>
                <w:rFonts w:hint="eastAsia"/>
                <w:sz w:val="24"/>
              </w:rPr>
              <w:t>400</w:t>
            </w:r>
            <w:r>
              <w:rPr>
                <w:sz w:val="24"/>
              </w:rPr>
              <w:t>万元，</w:t>
            </w:r>
            <w:r>
              <w:rPr>
                <w:rFonts w:hint="eastAsia"/>
                <w:sz w:val="24"/>
              </w:rPr>
              <w:t>其中环保投资56.3万元，占总投资的14.07%</w:t>
            </w:r>
            <w:r>
              <w:rPr>
                <w:sz w:val="24"/>
              </w:rPr>
              <w:t>。</w:t>
            </w:r>
            <w:r>
              <w:rPr>
                <w:rFonts w:hint="eastAsia"/>
                <w:sz w:val="24"/>
              </w:rPr>
              <w:t>项目属二级加油站，主要建设加油区、储罐区和站房，配套建设配电室、隔油池（水封）、发电机房等配套设施。加油区内设一座加油岛，岛上分布有3台0</w:t>
            </w:r>
            <w:r>
              <w:rPr>
                <w:rFonts w:hint="eastAsia"/>
                <w:sz w:val="24"/>
                <w:vertAlign w:val="superscript"/>
              </w:rPr>
              <w:t>#</w:t>
            </w:r>
            <w:r>
              <w:rPr>
                <w:rFonts w:hint="eastAsia"/>
                <w:sz w:val="24"/>
              </w:rPr>
              <w:t>柴油双枪加油机，2台92</w:t>
            </w:r>
            <w:r>
              <w:rPr>
                <w:rFonts w:hint="eastAsia"/>
                <w:sz w:val="24"/>
                <w:vertAlign w:val="superscript"/>
              </w:rPr>
              <w:t>#</w:t>
            </w:r>
            <w:r>
              <w:rPr>
                <w:rFonts w:hint="eastAsia"/>
                <w:sz w:val="24"/>
              </w:rPr>
              <w:t>汽油双枪加油机和1台95</w:t>
            </w:r>
            <w:r>
              <w:rPr>
                <w:rFonts w:hint="eastAsia"/>
                <w:sz w:val="24"/>
                <w:vertAlign w:val="superscript"/>
              </w:rPr>
              <w:t>#</w:t>
            </w:r>
            <w:r>
              <w:rPr>
                <w:rFonts w:hint="eastAsia"/>
                <w:sz w:val="24"/>
              </w:rPr>
              <w:t>汽油双枪加油机；储罐区设有4个地埋卧式油罐，每个油罐容积均为50m</w:t>
            </w:r>
            <w:r>
              <w:rPr>
                <w:rFonts w:hint="eastAsia"/>
                <w:sz w:val="24"/>
                <w:vertAlign w:val="superscript"/>
              </w:rPr>
              <w:t>3</w:t>
            </w:r>
            <w:r>
              <w:rPr>
                <w:rFonts w:hint="eastAsia"/>
                <w:sz w:val="24"/>
              </w:rPr>
              <w:t>，其中2个用于储存0</w:t>
            </w:r>
            <w:r>
              <w:rPr>
                <w:rFonts w:hint="eastAsia"/>
                <w:sz w:val="24"/>
                <w:vertAlign w:val="superscript"/>
              </w:rPr>
              <w:t>#</w:t>
            </w:r>
            <w:r>
              <w:rPr>
                <w:rFonts w:hint="eastAsia"/>
                <w:sz w:val="24"/>
              </w:rPr>
              <w:t>柴油，另外2分别个用于储存92</w:t>
            </w:r>
            <w:r>
              <w:rPr>
                <w:rFonts w:hint="eastAsia"/>
                <w:sz w:val="24"/>
                <w:vertAlign w:val="superscript"/>
              </w:rPr>
              <w:t>#</w:t>
            </w:r>
            <w:r>
              <w:rPr>
                <w:rFonts w:hint="eastAsia"/>
                <w:sz w:val="24"/>
              </w:rPr>
              <w:t>汽油和95</w:t>
            </w:r>
            <w:r>
              <w:rPr>
                <w:rFonts w:hint="eastAsia"/>
                <w:sz w:val="24"/>
                <w:vertAlign w:val="superscript"/>
              </w:rPr>
              <w:t>#</w:t>
            </w:r>
            <w:r>
              <w:rPr>
                <w:rFonts w:hint="eastAsia"/>
                <w:sz w:val="24"/>
              </w:rPr>
              <w:t>汽油。</w:t>
            </w:r>
          </w:p>
          <w:p>
            <w:pPr>
              <w:spacing w:line="360" w:lineRule="auto"/>
              <w:ind w:firstLine="480" w:firstLineChars="200"/>
              <w:rPr>
                <w:rFonts w:ascii="Times New Roman" w:hAnsi="Times New Roman" w:cs="Times New Roman"/>
                <w:sz w:val="24"/>
              </w:rPr>
            </w:pPr>
          </w:p>
          <w:p>
            <w:pPr>
              <w:spacing w:line="360" w:lineRule="auto"/>
              <w:rPr>
                <w:rFonts w:ascii="Times New Roman" w:hAnsi="Times New Roman" w:cs="Times New Roman"/>
                <w:b/>
                <w:sz w:val="24"/>
              </w:rPr>
            </w:pPr>
            <w:r>
              <w:rPr>
                <w:rFonts w:hint="eastAsia" w:ascii="Times New Roman" w:hAnsi="Times New Roman" w:cs="Times New Roman"/>
                <w:b/>
                <w:sz w:val="24"/>
              </w:rPr>
              <w:t>2</w:t>
            </w:r>
            <w:r>
              <w:rPr>
                <w:rFonts w:ascii="Times New Roman" w:hAnsi="Times New Roman" w:cs="Times New Roman"/>
                <w:b/>
                <w:sz w:val="24"/>
              </w:rPr>
              <w:t>、产业政策相符性</w:t>
            </w:r>
          </w:p>
          <w:p>
            <w:pPr>
              <w:autoSpaceDE w:val="0"/>
              <w:autoSpaceDN w:val="0"/>
              <w:adjustRightInd w:val="0"/>
              <w:spacing w:line="360" w:lineRule="auto"/>
              <w:ind w:firstLine="480" w:firstLineChars="200"/>
              <w:rPr>
                <w:rFonts w:ascii="Times New Roman" w:hAnsi="Times New Roman" w:cs="Times New Roman"/>
                <w:sz w:val="24"/>
              </w:rPr>
            </w:pPr>
            <w:r>
              <w:rPr>
                <w:sz w:val="24"/>
              </w:rPr>
              <w:t>根据《产业结构调整指导目录(2019 年本)》(征求意见稿)，项目不属于鼓励类、限制类，也不属于淘汰类，为允许类项目，符合国家产业政策要求。</w:t>
            </w:r>
          </w:p>
          <w:p>
            <w:pPr>
              <w:spacing w:line="360" w:lineRule="auto"/>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项目选址合理性分析</w:t>
            </w:r>
          </w:p>
          <w:p>
            <w:pPr>
              <w:spacing w:line="360" w:lineRule="auto"/>
              <w:ind w:firstLine="480" w:firstLineChars="200"/>
              <w:rPr>
                <w:rFonts w:ascii="Times New Roman" w:hAnsi="Times New Roman" w:cs="Times New Roman"/>
                <w:bCs/>
                <w:sz w:val="24"/>
              </w:rPr>
            </w:pPr>
            <w:r>
              <w:rPr>
                <w:sz w:val="24"/>
              </w:rPr>
              <w:t>项目</w:t>
            </w:r>
            <w:r>
              <w:rPr>
                <w:rFonts w:hint="eastAsia"/>
                <w:sz w:val="24"/>
              </w:rPr>
              <w:t>地不在自然保护区、特殊文物保护古迹、水源地范围内，项目建成后产生的污染物经采取治理措施后对周边环境影响较小，</w:t>
            </w:r>
            <w:r>
              <w:rPr>
                <w:sz w:val="24"/>
              </w:rPr>
              <w:t>因此，从环保的角度分析，本项目选址是合理的。</w:t>
            </w:r>
          </w:p>
          <w:p>
            <w:pPr>
              <w:spacing w:line="360" w:lineRule="auto"/>
              <w:rPr>
                <w:rFonts w:ascii="Times New Roman" w:hAnsi="Times New Roman" w:cs="Times New Roman"/>
                <w:b/>
                <w:sz w:val="24"/>
              </w:rPr>
            </w:pPr>
            <w:r>
              <w:rPr>
                <w:rFonts w:hint="eastAsia" w:ascii="Times New Roman" w:hAnsi="Times New Roman" w:cs="Times New Roman"/>
                <w:b/>
                <w:sz w:val="24"/>
              </w:rPr>
              <w:t>4、项目平面布置合理性分析</w:t>
            </w:r>
          </w:p>
          <w:p>
            <w:pPr>
              <w:spacing w:line="360" w:lineRule="auto"/>
              <w:ind w:firstLine="480" w:firstLineChars="200"/>
              <w:jc w:val="left"/>
              <w:rPr>
                <w:sz w:val="24"/>
              </w:rPr>
            </w:pPr>
            <w:r>
              <w:rPr>
                <w:rFonts w:hint="eastAsia"/>
                <w:sz w:val="24"/>
              </w:rPr>
              <w:t>项目用地形状呈东西方向的矩形，场内主要布置加油区、储罐区、站房和配套设施，配套设施主要为站区污水处理站、隔油池（水封）、配电室等。项目西侧与燕楼服务区相连，加油站内自东向西依次布置为出入口指示灯和加油区；北部自东向西布置为站房和罐区，加油区上方设置罩棚，下方设置为加油岛，加油岛设置3台0</w:t>
            </w:r>
            <w:r>
              <w:rPr>
                <w:rFonts w:hint="eastAsia"/>
                <w:sz w:val="24"/>
                <w:vertAlign w:val="superscript"/>
              </w:rPr>
              <w:t>#</w:t>
            </w:r>
            <w:r>
              <w:rPr>
                <w:rFonts w:hint="eastAsia"/>
                <w:sz w:val="24"/>
              </w:rPr>
              <w:t>柴油双枪加油机、2台92</w:t>
            </w:r>
            <w:r>
              <w:rPr>
                <w:rFonts w:hint="eastAsia"/>
                <w:sz w:val="24"/>
                <w:vertAlign w:val="superscript"/>
              </w:rPr>
              <w:t>#</w:t>
            </w:r>
            <w:r>
              <w:rPr>
                <w:rFonts w:hint="eastAsia"/>
                <w:sz w:val="24"/>
              </w:rPr>
              <w:t>双枪加油机和1台95</w:t>
            </w:r>
            <w:r>
              <w:rPr>
                <w:rFonts w:hint="eastAsia"/>
                <w:sz w:val="24"/>
                <w:vertAlign w:val="superscript"/>
              </w:rPr>
              <w:t>#</w:t>
            </w:r>
            <w:r>
              <w:rPr>
                <w:rFonts w:hint="eastAsia"/>
                <w:sz w:val="24"/>
              </w:rPr>
              <w:t>双枪加油机，储罐区设有4个地埋卧式油罐，最北侧和西侧均为绿化区；并在北侧站房一楼设置配电房和柴油发电机房，在储罐区南侧设置卸油平台，在西南侧地势最底处设置隔油池，在消防沙池旁设置1座危废暂存间。本项目自东向西设置有环形通道，便于车辆进出。本项目属二级加油站，并设置卸油和加油油气回收系统，项目场内设施防火间距符合《汽车加油加气站设计与施工规范》（GB50156-2012及2014修订）中的站内设施防火间距一览表中的规定要求。</w:t>
            </w:r>
          </w:p>
          <w:p>
            <w:pPr>
              <w:spacing w:line="360" w:lineRule="auto"/>
              <w:ind w:firstLine="480" w:firstLineChars="200"/>
              <w:jc w:val="left"/>
              <w:rPr>
                <w:sz w:val="24"/>
              </w:rPr>
            </w:pPr>
            <w:r>
              <w:rPr>
                <w:rFonts w:hint="eastAsia"/>
                <w:sz w:val="24"/>
              </w:rPr>
              <w:t>项目场区</w:t>
            </w:r>
            <w:r>
              <w:rPr>
                <w:sz w:val="24"/>
              </w:rPr>
              <w:t>总平面布置功能分区明确，工艺流程顺畅，</w:t>
            </w:r>
            <w:r>
              <w:rPr>
                <w:rFonts w:hint="eastAsia"/>
                <w:sz w:val="24"/>
              </w:rPr>
              <w:t>运输</w:t>
            </w:r>
            <w:r>
              <w:rPr>
                <w:sz w:val="24"/>
              </w:rPr>
              <w:t>便捷，各功能分区间距离设置合理</w:t>
            </w:r>
            <w:r>
              <w:rPr>
                <w:rFonts w:hint="eastAsia"/>
                <w:sz w:val="24"/>
              </w:rPr>
              <w:t>，与周边敏感点也保持了一定的距离范围</w:t>
            </w:r>
            <w:r>
              <w:rPr>
                <w:sz w:val="24"/>
              </w:rPr>
              <w:t>。从环保角度来看，本项目平面</w:t>
            </w:r>
            <w:r>
              <w:rPr>
                <w:rFonts w:hint="eastAsia"/>
                <w:sz w:val="24"/>
              </w:rPr>
              <w:t>布置</w:t>
            </w:r>
            <w:r>
              <w:rPr>
                <w:sz w:val="24"/>
              </w:rPr>
              <w:t>合理。</w:t>
            </w:r>
          </w:p>
          <w:p>
            <w:pPr>
              <w:tabs>
                <w:tab w:val="left" w:pos="624"/>
              </w:tabs>
              <w:spacing w:line="500" w:lineRule="exact"/>
              <w:ind w:firstLine="480" w:firstLineChars="200"/>
              <w:rPr>
                <w:rFonts w:hAnsi="宋体"/>
                <w:sz w:val="24"/>
              </w:rPr>
            </w:pPr>
          </w:p>
          <w:p>
            <w:pPr>
              <w:spacing w:line="360" w:lineRule="auto"/>
              <w:ind w:firstLine="12" w:firstLineChars="5"/>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、环境质量现状评价结论</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（1）地表</w:t>
            </w:r>
            <w:r>
              <w:rPr>
                <w:rFonts w:ascii="Times New Roman" w:hAnsi="Times New Roman" w:cs="Times New Roman"/>
                <w:sz w:val="24"/>
                <w:szCs w:val="24"/>
              </w:rPr>
              <w:t>水环境质量现状评价</w:t>
            </w:r>
          </w:p>
          <w:p>
            <w:pPr>
              <w:spacing w:line="360" w:lineRule="auto"/>
              <w:ind w:firstLine="480" w:firstLineChars="200"/>
              <w:rPr>
                <w:sz w:val="24"/>
              </w:rPr>
            </w:pPr>
            <w:r>
              <w:rPr>
                <w:rFonts w:hint="eastAsia" w:ascii="宋体" w:hAnsi="宋体"/>
                <w:sz w:val="24"/>
              </w:rPr>
              <w:t>评价区域地表水为羊洞小河</w:t>
            </w:r>
            <w:r>
              <w:rPr>
                <w:rFonts w:hint="eastAsia"/>
                <w:sz w:val="24"/>
              </w:rPr>
              <w:t>达到《地表水环境质量标准》（GB3838-2002）</w:t>
            </w:r>
            <w:r>
              <w:rPr>
                <w:rFonts w:hint="eastAsia" w:ascii="宋体" w:hAnsi="宋体"/>
                <w:sz w:val="24"/>
              </w:rPr>
              <w:t>Ⅲ</w:t>
            </w:r>
            <w:r>
              <w:rPr>
                <w:kern w:val="0"/>
                <w:sz w:val="24"/>
              </w:rPr>
              <w:t>类</w:t>
            </w:r>
            <w:r>
              <w:rPr>
                <w:rFonts w:hint="eastAsia"/>
                <w:kern w:val="0"/>
                <w:sz w:val="24"/>
              </w:rPr>
              <w:t>标准</w:t>
            </w:r>
            <w:r>
              <w:rPr>
                <w:sz w:val="24"/>
              </w:rPr>
              <w:t>。</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环境空气质量现状评价</w:t>
            </w:r>
          </w:p>
          <w:p>
            <w:pPr>
              <w:pStyle w:val="6"/>
              <w:spacing w:line="360" w:lineRule="auto"/>
              <w:ind w:firstLine="480"/>
              <w:rPr>
                <w:rFonts w:ascii="Times New Roman" w:hAnsi="Times New Roman" w:cs="Times New Roman"/>
                <w:sz w:val="24"/>
                <w:szCs w:val="24"/>
              </w:rPr>
            </w:pPr>
            <w:r>
              <w:rPr>
                <w:rFonts w:ascii="Times New Roman" w:hAnsi="Times New Roman" w:cs="Times New Roman"/>
                <w:sz w:val="24"/>
                <w:szCs w:val="24"/>
              </w:rPr>
              <w:t>评价区域环境空气质量可达到《环境空气质量标准》(GB3095-</w:t>
            </w:r>
            <w:r>
              <w:rPr>
                <w:rFonts w:hint="eastAsia" w:ascii="Times New Roman" w:hAnsi="Times New Roman" w:cs="Times New Roman"/>
                <w:sz w:val="24"/>
                <w:szCs w:val="24"/>
              </w:rPr>
              <w:t>2012</w:t>
            </w:r>
            <w:r>
              <w:rPr>
                <w:rFonts w:ascii="Times New Roman" w:hAnsi="Times New Roman" w:cs="Times New Roman"/>
                <w:sz w:val="24"/>
                <w:szCs w:val="24"/>
              </w:rPr>
              <w:t>)中的</w:t>
            </w:r>
            <w:r>
              <w:rPr>
                <w:rFonts w:hint="eastAsia" w:ascii="Times New Roman" w:hAnsi="Times New Roman" w:cs="Times New Roman"/>
                <w:sz w:val="24"/>
                <w:szCs w:val="24"/>
              </w:rPr>
              <w:t>二</w:t>
            </w:r>
            <w:r>
              <w:rPr>
                <w:rFonts w:ascii="Times New Roman" w:hAnsi="Times New Roman" w:cs="Times New Roman"/>
                <w:sz w:val="24"/>
                <w:szCs w:val="24"/>
              </w:rPr>
              <w:t>级标准；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声环境质量现状评价</w:t>
            </w:r>
          </w:p>
          <w:p>
            <w:pPr>
              <w:spacing w:line="360" w:lineRule="auto"/>
              <w:ind w:firstLine="480" w:firstLineChars="200"/>
              <w:rPr>
                <w:sz w:val="24"/>
              </w:rPr>
            </w:pPr>
            <w:r>
              <w:rPr>
                <w:rFonts w:hint="eastAsia"/>
                <w:sz w:val="24"/>
              </w:rPr>
              <w:t>项目北侧厂界约100m</w:t>
            </w:r>
            <w:r>
              <w:rPr>
                <w:rFonts w:hint="eastAsia" w:hAnsi="宋体"/>
                <w:sz w:val="24"/>
                <w:szCs w:val="28"/>
              </w:rPr>
              <w:t>为花安高速公路，区域声环境在</w:t>
            </w:r>
            <w:r>
              <w:rPr>
                <w:rFonts w:hint="eastAsia" w:hAnsi="宋体"/>
                <w:sz w:val="24"/>
              </w:rPr>
              <w:t>临路一侧的35m</w:t>
            </w:r>
            <w:r>
              <w:rPr>
                <w:rFonts w:hint="eastAsia" w:ascii="宋体" w:hAnsi="宋体"/>
                <w:sz w:val="24"/>
              </w:rPr>
              <w:t>±</w:t>
            </w:r>
            <w:r>
              <w:rPr>
                <w:rFonts w:hint="eastAsia" w:hAnsi="宋体"/>
                <w:sz w:val="24"/>
              </w:rPr>
              <w:t>5m范围内的区域</w:t>
            </w:r>
            <w:r>
              <w:rPr>
                <w:rFonts w:hint="eastAsia"/>
                <w:sz w:val="24"/>
              </w:rPr>
              <w:t>声环境</w:t>
            </w:r>
            <w:r>
              <w:rPr>
                <w:sz w:val="24"/>
              </w:rPr>
              <w:t>质量执行</w:t>
            </w:r>
            <w:r>
              <w:rPr>
                <w:rFonts w:hAnsi="宋体"/>
                <w:sz w:val="24"/>
              </w:rPr>
              <w:t>《</w:t>
            </w:r>
            <w:r>
              <w:rPr>
                <w:rFonts w:hint="eastAsia" w:hAnsi="宋体"/>
                <w:sz w:val="24"/>
              </w:rPr>
              <w:t>声环境</w:t>
            </w:r>
            <w:r>
              <w:rPr>
                <w:rFonts w:hAnsi="宋体"/>
                <w:sz w:val="24"/>
              </w:rPr>
              <w:t>质量标准》（</w:t>
            </w:r>
            <w:r>
              <w:rPr>
                <w:sz w:val="24"/>
              </w:rPr>
              <w:t>GB309</w:t>
            </w:r>
            <w:r>
              <w:rPr>
                <w:rFonts w:hint="eastAsia"/>
                <w:sz w:val="24"/>
              </w:rPr>
              <w:t>6</w:t>
            </w:r>
            <w:r>
              <w:rPr>
                <w:sz w:val="24"/>
              </w:rPr>
              <w:t>-</w:t>
            </w:r>
            <w:r>
              <w:rPr>
                <w:rFonts w:hint="eastAsia"/>
                <w:sz w:val="24"/>
              </w:rPr>
              <w:t>2008</w:t>
            </w:r>
            <w:r>
              <w:rPr>
                <w:sz w:val="24"/>
              </w:rPr>
              <w:t>）</w:t>
            </w:r>
            <w:r>
              <w:rPr>
                <w:rFonts w:hint="eastAsia"/>
                <w:sz w:val="24"/>
              </w:rPr>
              <w:t>4a类</w:t>
            </w:r>
            <w:r>
              <w:rPr>
                <w:sz w:val="24"/>
              </w:rPr>
              <w:t>标准</w:t>
            </w:r>
            <w:r>
              <w:rPr>
                <w:rFonts w:hint="eastAsia"/>
                <w:sz w:val="24"/>
              </w:rPr>
              <w:t>，评价范围内其他区域声环境</w:t>
            </w:r>
            <w:r>
              <w:rPr>
                <w:sz w:val="24"/>
              </w:rPr>
              <w:t>质量执行</w:t>
            </w:r>
            <w:r>
              <w:rPr>
                <w:rFonts w:hAnsi="宋体"/>
                <w:sz w:val="24"/>
              </w:rPr>
              <w:t>《</w:t>
            </w:r>
            <w:r>
              <w:rPr>
                <w:rFonts w:hint="eastAsia" w:hAnsi="宋体"/>
                <w:sz w:val="24"/>
              </w:rPr>
              <w:t>声环境</w:t>
            </w:r>
            <w:r>
              <w:rPr>
                <w:rFonts w:hAnsi="宋体"/>
                <w:sz w:val="24"/>
              </w:rPr>
              <w:t>质量标准》（</w:t>
            </w:r>
            <w:r>
              <w:rPr>
                <w:sz w:val="24"/>
              </w:rPr>
              <w:t>GB309</w:t>
            </w:r>
            <w:r>
              <w:rPr>
                <w:rFonts w:hint="eastAsia"/>
                <w:sz w:val="24"/>
              </w:rPr>
              <w:t>6</w:t>
            </w:r>
            <w:r>
              <w:rPr>
                <w:sz w:val="24"/>
              </w:rPr>
              <w:t>-</w:t>
            </w:r>
            <w:r>
              <w:rPr>
                <w:rFonts w:hint="eastAsia"/>
                <w:sz w:val="24"/>
              </w:rPr>
              <w:t>2008</w:t>
            </w:r>
            <w:r>
              <w:rPr>
                <w:sz w:val="24"/>
              </w:rPr>
              <w:t>）</w:t>
            </w:r>
            <w:r>
              <w:rPr>
                <w:rFonts w:hint="eastAsia"/>
                <w:sz w:val="24"/>
              </w:rPr>
              <w:t>2类</w:t>
            </w:r>
            <w:r>
              <w:rPr>
                <w:sz w:val="24"/>
              </w:rPr>
              <w:t>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 xml:space="preserve"> </w:t>
            </w:r>
            <w:r>
              <w:rPr>
                <w:rFonts w:ascii="Times New Roman" w:hAnsi="Times New Roman" w:cs="Times New Roman"/>
                <w:sz w:val="24"/>
                <w:szCs w:val="24"/>
              </w:rPr>
              <w:t xml:space="preserve">  </w:t>
            </w:r>
          </w:p>
          <w:p>
            <w:pPr>
              <w:spacing w:line="360" w:lineRule="auto"/>
              <w:ind w:firstLine="480" w:firstLineChars="200"/>
              <w:rPr>
                <w:sz w:val="24"/>
              </w:rPr>
            </w:pPr>
            <w:r>
              <w:rPr>
                <w:rFonts w:hint="eastAsia"/>
                <w:sz w:val="24"/>
              </w:rPr>
              <w:t>（</w:t>
            </w:r>
            <w:r>
              <w:rPr>
                <w:sz w:val="24"/>
              </w:rPr>
              <w:t>4</w:t>
            </w:r>
            <w:r>
              <w:rPr>
                <w:rFonts w:hint="eastAsia"/>
                <w:sz w:val="24"/>
              </w:rPr>
              <w:t>）</w:t>
            </w:r>
            <w:r>
              <w:rPr>
                <w:sz w:val="24"/>
              </w:rPr>
              <w:t>生态环境现状：根据现场踏勘，</w:t>
            </w:r>
            <w:r>
              <w:rPr>
                <w:rFonts w:hint="eastAsia"/>
                <w:sz w:val="24"/>
              </w:rPr>
              <w:t>本项目区内多山地、丘陵，植被覆盖率较高，多为灌丛和旱地植被，水土流失为轻度，生物及自然植被有较强的恢复能力，总体评价为良。</w:t>
            </w:r>
          </w:p>
          <w:p>
            <w:pPr>
              <w:spacing w:line="360" w:lineRule="auto"/>
              <w:rPr>
                <w:rFonts w:ascii="Times New Roman" w:hAnsi="Times New Roman" w:cs="Times New Roman"/>
                <w:b/>
                <w:sz w:val="24"/>
              </w:rPr>
            </w:pPr>
            <w:r>
              <w:rPr>
                <w:rFonts w:hint="eastAsia" w:ascii="Times New Roman" w:hAnsi="Times New Roman" w:cs="Times New Roman"/>
                <w:b/>
                <w:sz w:val="24"/>
              </w:rPr>
              <w:t>6</w:t>
            </w:r>
            <w:r>
              <w:rPr>
                <w:rFonts w:ascii="Times New Roman" w:hAnsi="Times New Roman" w:cs="Times New Roman"/>
                <w:b/>
                <w:sz w:val="24"/>
              </w:rPr>
              <w:t>、</w:t>
            </w:r>
            <w:r>
              <w:rPr>
                <w:rFonts w:hint="eastAsia" w:ascii="Times New Roman" w:hAnsi="Times New Roman" w:cs="Times New Roman"/>
                <w:b/>
                <w:sz w:val="24"/>
              </w:rPr>
              <w:t>施工期</w:t>
            </w:r>
            <w:r>
              <w:rPr>
                <w:rFonts w:ascii="Times New Roman" w:hAnsi="Times New Roman" w:cs="Times New Roman"/>
                <w:b/>
                <w:sz w:val="24"/>
              </w:rPr>
              <w:t>环境影响分析结论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施工过程将对所在地环境造成短期的影响，通过以下防治措施，可减少影响：</w:t>
            </w:r>
          </w:p>
          <w:p>
            <w:pPr>
              <w:spacing w:line="500" w:lineRule="exact"/>
              <w:ind w:firstLine="480" w:firstLineChars="200"/>
              <w:rPr>
                <w:rFonts w:hAnsi="宋体"/>
                <w:szCs w:val="21"/>
              </w:rPr>
            </w:pPr>
            <w:r>
              <w:rPr>
                <w:sz w:val="24"/>
              </w:rPr>
              <w:t>(1)废水：</w:t>
            </w:r>
            <w:r>
              <w:rPr>
                <w:rFonts w:hint="eastAsia" w:hAnsi="宋体"/>
                <w:sz w:val="24"/>
              </w:rPr>
              <w:t>施工废水经沉淀后回用于混凝土养护，不外排；施工场地设置临时旱厕，产生的污物定期外运，其余施工人员洗漱废水及</w:t>
            </w:r>
            <w:r>
              <w:rPr>
                <w:rFonts w:hAnsi="宋体"/>
                <w:sz w:val="24"/>
              </w:rPr>
              <w:t>沙石料冲洗废水和机械冲洗废水</w:t>
            </w:r>
            <w:r>
              <w:rPr>
                <w:rFonts w:hint="eastAsia" w:hAnsi="宋体"/>
                <w:sz w:val="24"/>
              </w:rPr>
              <w:t>排入施工废水沉淀池，经沉淀后回用于混凝土养护不外排。</w:t>
            </w:r>
          </w:p>
          <w:p>
            <w:pPr>
              <w:ind w:firstLine="240" w:firstLineChars="100"/>
              <w:rPr>
                <w:sz w:val="24"/>
              </w:rPr>
            </w:pPr>
            <w:r>
              <w:rPr>
                <w:sz w:val="24"/>
              </w:rPr>
              <w:t xml:space="preserve"> </w:t>
            </w:r>
          </w:p>
          <w:p>
            <w:pPr>
              <w:tabs>
                <w:tab w:val="left" w:pos="624"/>
              </w:tabs>
              <w:spacing w:line="360" w:lineRule="auto"/>
              <w:ind w:firstLine="480" w:firstLineChars="200"/>
              <w:rPr>
                <w:rFonts w:ascii="宋体" w:hAnsi="宋体"/>
                <w:sz w:val="24"/>
              </w:rPr>
            </w:pPr>
            <w:r>
              <w:rPr>
                <w:sz w:val="24"/>
              </w:rPr>
              <w:t>(2)废气：</w:t>
            </w:r>
            <w:r>
              <w:rPr>
                <w:rFonts w:hint="eastAsia"/>
                <w:sz w:val="24"/>
              </w:rPr>
              <w:t>施工期</w:t>
            </w:r>
            <w:r>
              <w:rPr>
                <w:rFonts w:hint="eastAsia" w:hAnsi="宋体"/>
                <w:sz w:val="24"/>
              </w:rPr>
              <w:t>产生的</w:t>
            </w:r>
            <w:r>
              <w:rPr>
                <w:rFonts w:hAnsi="宋体"/>
                <w:sz w:val="24"/>
              </w:rPr>
              <w:t>扬尘</w:t>
            </w:r>
            <w:r>
              <w:rPr>
                <w:rFonts w:hint="eastAsia"/>
                <w:sz w:val="24"/>
              </w:rPr>
              <w:t>通过采取施工场地每天定时洒水、对场地内运输通道及时清扫、冲洗；运输车辆进入施工场地低速行驶；在施工场周围设置防护栏等相应</w:t>
            </w:r>
            <w:r>
              <w:rPr>
                <w:sz w:val="24"/>
              </w:rPr>
              <w:t>的防尘措施后</w:t>
            </w:r>
            <w:r>
              <w:rPr>
                <w:rFonts w:hint="eastAsia"/>
                <w:sz w:val="24"/>
              </w:rPr>
              <w:t>，</w:t>
            </w:r>
            <w:r>
              <w:rPr>
                <w:rFonts w:hint="eastAsia" w:ascii="宋体" w:hAnsi="宋体"/>
                <w:sz w:val="24"/>
              </w:rPr>
              <w:t>能有效减轻扬尘对周围敏感点的影响。</w:t>
            </w:r>
            <w:r>
              <w:rPr>
                <w:sz w:val="24"/>
              </w:rPr>
              <w:t>机动车辆少，尾气排放量较小，区域空气流动性好，对区域大气环境影响较小。</w:t>
            </w:r>
          </w:p>
          <w:p>
            <w:pPr>
              <w:rPr>
                <w:sz w:val="24"/>
              </w:rPr>
            </w:pPr>
          </w:p>
          <w:p>
            <w:pPr>
              <w:spacing w:line="360" w:lineRule="auto"/>
              <w:ind w:firstLine="480" w:firstLineChars="200"/>
              <w:rPr>
                <w:rFonts w:hAnsi="宋体"/>
                <w:bCs/>
                <w:sz w:val="24"/>
              </w:rPr>
            </w:pPr>
            <w:r>
              <w:rPr>
                <w:sz w:val="24"/>
              </w:rPr>
              <w:t xml:space="preserve"> (3)噪声：</w:t>
            </w:r>
            <w:r>
              <w:rPr>
                <w:rFonts w:hint="eastAsia" w:ascii="宋体" w:cs="宋体"/>
                <w:kern w:val="0"/>
                <w:sz w:val="24"/>
              </w:rPr>
              <w:t>施工及交通噪声对周边环境有一定影响，通过采取</w:t>
            </w:r>
            <w:r>
              <w:rPr>
                <w:rFonts w:hint="eastAsia"/>
                <w:sz w:val="24"/>
              </w:rPr>
              <w:t>使用</w:t>
            </w:r>
            <w:r>
              <w:rPr>
                <w:sz w:val="24"/>
              </w:rPr>
              <w:t>较低噪声的设备，合理布局施工现场</w:t>
            </w:r>
            <w:r>
              <w:rPr>
                <w:rFonts w:hint="eastAsia"/>
                <w:sz w:val="24"/>
              </w:rPr>
              <w:t>，</w:t>
            </w:r>
            <w:r>
              <w:rPr>
                <w:sz w:val="24"/>
              </w:rPr>
              <w:t>合理安排作业时间</w:t>
            </w:r>
            <w:r>
              <w:rPr>
                <w:rFonts w:hint="eastAsia"/>
                <w:sz w:val="24"/>
              </w:rPr>
              <w:t>等措施，可将施工期产生的噪声对周围环境的影响降至最低，本项目最近居民点位于南面110m处的种家井居民，项目采取以上后，施工可以做到不扰民。</w:t>
            </w:r>
            <w:r>
              <w:rPr>
                <w:sz w:val="24"/>
              </w:rPr>
              <w:t xml:space="preserve"> </w:t>
            </w:r>
          </w:p>
          <w:p>
            <w:pPr>
              <w:spacing w:line="360" w:lineRule="auto"/>
              <w:ind w:firstLine="482"/>
              <w:rPr>
                <w:rFonts w:ascii="Times New Roman" w:hAnsi="Times New Roman" w:cs="Times New Roman"/>
                <w:sz w:val="24"/>
              </w:rPr>
            </w:pPr>
            <w:r>
              <w:rPr>
                <w:sz w:val="24"/>
              </w:rPr>
              <w:t>(4)固体废物：</w:t>
            </w:r>
            <w:r>
              <w:rPr>
                <w:rFonts w:hint="eastAsia"/>
                <w:sz w:val="24"/>
              </w:rPr>
              <w:t>施工期产生的土方用作后期绿化培植用土及场地回填土，不外排；施工人员的生活垃圾用加盖垃圾桶收集后，委托环卫部门统一清运处理。</w:t>
            </w:r>
          </w:p>
          <w:p>
            <w:pPr>
              <w:spacing w:line="360" w:lineRule="auto"/>
              <w:ind w:firstLine="720" w:firstLineChars="300"/>
            </w:pPr>
            <w:r>
              <w:rPr>
                <w:rFonts w:hint="eastAsia" w:ascii="Times New Roman" w:hAnsi="Times New Roman" w:cs="Times New Roman"/>
                <w:sz w:val="24"/>
              </w:rPr>
              <w:t>采取上述措施后，施工期对环境的影响较小。</w:t>
            </w:r>
          </w:p>
          <w:p>
            <w:pPr>
              <w:spacing w:line="348" w:lineRule="auto"/>
              <w:rPr>
                <w:rFonts w:ascii="Times New Roman" w:hAnsi="Times New Roman" w:cs="Times New Roman"/>
                <w:b w:val="0"/>
                <w:bCs/>
                <w:color w:val="auto"/>
                <w:sz w:val="24"/>
              </w:rPr>
            </w:pPr>
            <w:r>
              <w:rPr>
                <w:rFonts w:hint="eastAsia" w:ascii="Times New Roman" w:hAnsi="Times New Roman" w:cs="Times New Roman"/>
                <w:b w:val="0"/>
                <w:bCs/>
                <w:color w:val="auto"/>
                <w:sz w:val="24"/>
              </w:rPr>
              <w:t>7、营运期环境影响及防治措施</w:t>
            </w:r>
          </w:p>
          <w:p>
            <w:pPr>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(1)废水：项目营运过程产生的污、废水经</w:t>
            </w:r>
            <w:r>
              <w:rPr>
                <w:rFonts w:hint="eastAsia"/>
                <w:sz w:val="24"/>
              </w:rPr>
              <w:t>站区污水站（采用“化粪池＋地沟式土</w:t>
            </w:r>
          </w:p>
          <w:p>
            <w:pPr>
              <w:rPr>
                <w:sz w:val="24"/>
              </w:rPr>
            </w:pPr>
          </w:p>
          <w:p>
            <w:pPr>
              <w:rPr>
                <w:rFonts w:hAnsi="宋体"/>
                <w:sz w:val="24"/>
              </w:rPr>
            </w:pPr>
            <w:r>
              <w:rPr>
                <w:rFonts w:hint="eastAsia"/>
                <w:sz w:val="24"/>
              </w:rPr>
              <w:t>地处理系统”工艺）处理后，</w:t>
            </w:r>
            <w:r>
              <w:rPr>
                <w:rFonts w:hint="eastAsia"/>
                <w:bCs/>
                <w:sz w:val="24"/>
              </w:rPr>
              <w:t>能够</w:t>
            </w:r>
            <w:r>
              <w:rPr>
                <w:rFonts w:hint="eastAsia" w:hAnsi="宋体"/>
                <w:bCs/>
                <w:sz w:val="24"/>
              </w:rPr>
              <w:t>达到</w:t>
            </w:r>
            <w:r>
              <w:rPr>
                <w:rFonts w:hAnsi="宋体"/>
                <w:sz w:val="24"/>
              </w:rPr>
              <w:t>《城市污水再生利用</w:t>
            </w:r>
            <w:r>
              <w:rPr>
                <w:sz w:val="24"/>
              </w:rPr>
              <w:t xml:space="preserve"> </w:t>
            </w:r>
            <w:r>
              <w:rPr>
                <w:rFonts w:hAnsi="宋体"/>
                <w:sz w:val="24"/>
              </w:rPr>
              <w:t>城市杂用水水质》</w:t>
            </w:r>
          </w:p>
          <w:p>
            <w:pPr>
              <w:rPr>
                <w:rFonts w:hAnsi="宋体"/>
                <w:sz w:val="24"/>
              </w:rPr>
            </w:pPr>
          </w:p>
          <w:p>
            <w:pPr>
              <w:rPr>
                <w:sz w:val="24"/>
              </w:rPr>
            </w:pPr>
            <w:r>
              <w:rPr>
                <w:rFonts w:hint="eastAsia" w:hAnsi="宋体"/>
                <w:sz w:val="24"/>
              </w:rPr>
              <w:t>（</w:t>
            </w:r>
            <w:r>
              <w:rPr>
                <w:sz w:val="24"/>
              </w:rPr>
              <w:t>GB/T18920-2002</w:t>
            </w:r>
            <w:r>
              <w:rPr>
                <w:rFonts w:hint="eastAsia"/>
                <w:sz w:val="24"/>
              </w:rPr>
              <w:t>）</w:t>
            </w:r>
            <w:r>
              <w:rPr>
                <w:rFonts w:hAnsi="宋体"/>
                <w:sz w:val="24"/>
              </w:rPr>
              <w:t>标准</w:t>
            </w:r>
            <w:r>
              <w:rPr>
                <w:rFonts w:hint="eastAsia"/>
                <w:bCs/>
                <w:sz w:val="24"/>
              </w:rPr>
              <w:t>要求</w:t>
            </w:r>
            <w:r>
              <w:rPr>
                <w:rFonts w:hint="eastAsia" w:hAnsi="宋体"/>
                <w:bCs/>
                <w:sz w:val="24"/>
              </w:rPr>
              <w:t>，再用于道路洒水将尘和站区绿化</w:t>
            </w:r>
            <w:r>
              <w:rPr>
                <w:rFonts w:hint="eastAsia"/>
                <w:sz w:val="24"/>
              </w:rPr>
              <w:t>，对地表水水环境影响</w:t>
            </w:r>
          </w:p>
          <w:p>
            <w:pPr>
              <w:rPr>
                <w:sz w:val="24"/>
              </w:rPr>
            </w:pPr>
          </w:p>
          <w:p>
            <w:pPr>
              <w:rPr>
                <w:rFonts w:hint="eastAsia"/>
                <w:sz w:val="24"/>
              </w:rPr>
            </w:pPr>
            <w:r>
              <w:rPr>
                <w:rFonts w:hint="eastAsia"/>
                <w:sz w:val="24"/>
              </w:rPr>
              <w:t>较小。</w:t>
            </w:r>
          </w:p>
          <w:p>
            <w:pPr>
              <w:spacing w:line="348" w:lineRule="auto"/>
              <w:rPr>
                <w:sz w:val="24"/>
              </w:rPr>
            </w:pPr>
            <w:r>
              <w:rPr>
                <w:sz w:val="24"/>
              </w:rPr>
              <w:t xml:space="preserve">     (2)废气：项目设置油气回收装置，非甲烷总烃排放量较小，无组织排放监控浓度限值周</w:t>
            </w:r>
            <w:r>
              <w:rPr>
                <w:rFonts w:hint="eastAsia"/>
                <w:sz w:val="24"/>
              </w:rPr>
              <w:t>界</w:t>
            </w:r>
            <w:r>
              <w:rPr>
                <w:sz w:val="24"/>
              </w:rPr>
              <w:t>外最高浓度点：非甲烷总烃≤4.0mg/m3。</w:t>
            </w:r>
            <w:r>
              <w:rPr>
                <w:rFonts w:hint="eastAsia"/>
                <w:sz w:val="24"/>
              </w:rPr>
              <w:t>油气回收措施符合《加油站大气污染物排放标准》（GB20952-2007）中要求</w:t>
            </w:r>
            <w:r>
              <w:rPr>
                <w:rFonts w:hint="eastAsia"/>
                <w:szCs w:val="21"/>
              </w:rPr>
              <w:t>。</w:t>
            </w:r>
            <w:r>
              <w:rPr>
                <w:sz w:val="24"/>
              </w:rPr>
              <w:t xml:space="preserve">加油车辆、备用发电机废气对环境的影响较小。 </w:t>
            </w:r>
          </w:p>
          <w:p>
            <w:pPr>
              <w:adjustRightInd w:val="0"/>
              <w:snapToGrid w:val="0"/>
              <w:spacing w:line="360" w:lineRule="auto"/>
              <w:ind w:firstLine="480" w:firstLineChars="200"/>
              <w:rPr>
                <w:rFonts w:hint="eastAsia"/>
                <w:sz w:val="24"/>
              </w:rPr>
            </w:pPr>
            <w:r>
              <w:rPr>
                <w:sz w:val="24"/>
              </w:rPr>
              <w:t>(3)噪声：营运期噪声</w:t>
            </w:r>
            <w:r>
              <w:rPr>
                <w:rFonts w:hint="eastAsia"/>
                <w:sz w:val="24"/>
              </w:rPr>
              <w:t>主要为设备噪声和车辆运输噪声，</w:t>
            </w:r>
            <w:r>
              <w:rPr>
                <w:sz w:val="24"/>
              </w:rPr>
              <w:t>通过</w:t>
            </w:r>
            <w:r>
              <w:rPr>
                <w:rFonts w:hint="eastAsia"/>
                <w:sz w:val="24"/>
              </w:rPr>
              <w:t>优先选用低噪声设备、</w:t>
            </w:r>
            <w:r>
              <w:rPr>
                <w:sz w:val="24"/>
              </w:rPr>
              <w:t>对主要产噪设备</w:t>
            </w:r>
            <w:r>
              <w:rPr>
                <w:rFonts w:hint="eastAsia"/>
                <w:sz w:val="24"/>
              </w:rPr>
              <w:t>加装减振基座</w:t>
            </w:r>
            <w:r>
              <w:rPr>
                <w:sz w:val="24"/>
              </w:rPr>
              <w:t>，</w:t>
            </w:r>
            <w:r>
              <w:rPr>
                <w:rFonts w:hint="eastAsia"/>
                <w:sz w:val="24"/>
              </w:rPr>
              <w:t>配电室采用隔声门窗、加强进出场地车辆的管理等措施后，经预测厂界四周噪声预测值能够达到</w:t>
            </w:r>
            <w:r>
              <w:rPr>
                <w:snapToGrid w:val="0"/>
                <w:kern w:val="0"/>
                <w:sz w:val="24"/>
              </w:rPr>
              <w:t>《工业企业厂界环境噪声排放标准》（GB12348-2008）</w:t>
            </w:r>
            <w:r>
              <w:rPr>
                <w:rFonts w:hint="eastAsia"/>
                <w:snapToGrid w:val="0"/>
                <w:kern w:val="0"/>
                <w:sz w:val="24"/>
              </w:rPr>
              <w:t>2</w:t>
            </w:r>
            <w:r>
              <w:rPr>
                <w:snapToGrid w:val="0"/>
                <w:kern w:val="0"/>
                <w:sz w:val="24"/>
              </w:rPr>
              <w:t>类</w:t>
            </w:r>
            <w:r>
              <w:rPr>
                <w:sz w:val="24"/>
              </w:rPr>
              <w:t>标准</w:t>
            </w:r>
            <w:r>
              <w:rPr>
                <w:rFonts w:hint="eastAsia"/>
                <w:sz w:val="24"/>
              </w:rPr>
              <w:t>，本项目最近居民点位于南面110m处的种家井居民，在采取以上措施后，项目营运可以做到不扰民。</w:t>
            </w:r>
          </w:p>
          <w:p>
            <w:pPr>
              <w:spacing w:line="348" w:lineRule="auto"/>
              <w:ind w:firstLine="480" w:firstLineChars="200"/>
              <w:rPr>
                <w:rFonts w:ascii="Times New Roman" w:hAnsi="Times New Roman" w:cs="Times New Roman"/>
                <w:sz w:val="24"/>
              </w:rPr>
            </w:pPr>
            <w:r>
              <w:rPr>
                <w:sz w:val="24"/>
              </w:rPr>
              <w:t>(4)固体废物：生活垃圾设置垃圾桶，收集后统一交由环卫部门填埋处理； 隔油池油泥、设备维修产生的废机油等危险废物设置暂存间，交由有资质的单位处理处置。产生的固废均能得到有效控制，对环境的影响较小。</w:t>
            </w:r>
          </w:p>
          <w:p>
            <w:pPr>
              <w:spacing w:line="348" w:lineRule="auto"/>
              <w:rPr>
                <w:rFonts w:ascii="Times New Roman" w:hAnsi="Times New Roman" w:cs="Times New Roman"/>
                <w:b/>
                <w:bCs/>
                <w:sz w:val="24"/>
              </w:rPr>
            </w:pPr>
            <w:r>
              <w:rPr>
                <w:rFonts w:hint="eastAsia" w:ascii="Times New Roman" w:hAnsi="Times New Roman" w:cs="Times New Roman"/>
                <w:b/>
                <w:bCs/>
                <w:sz w:val="24"/>
              </w:rPr>
              <w:t>8、环境风险及防范措施</w:t>
            </w:r>
          </w:p>
          <w:p>
            <w:pPr>
              <w:numPr>
                <w:ilvl w:val="0"/>
                <w:numId w:val="6"/>
              </w:numPr>
              <w:adjustRightInd w:val="0"/>
              <w:snapToGrid w:val="0"/>
              <w:jc w:val="left"/>
              <w:rPr>
                <w:bCs/>
                <w:sz w:val="24"/>
              </w:rPr>
            </w:pPr>
            <w:r>
              <w:rPr>
                <w:rFonts w:hint="eastAsia" w:ascii="Times New Roman" w:hAnsi="Times New Roman" w:cs="Times New Roman"/>
                <w:b/>
                <w:bCs/>
                <w:sz w:val="24"/>
              </w:rPr>
              <w:t xml:space="preserve"> </w:t>
            </w:r>
            <w:r>
              <w:rPr>
                <w:rFonts w:hint="eastAsia"/>
                <w:bCs/>
                <w:sz w:val="24"/>
              </w:rPr>
              <w:t>本项目建设时应严格遵循</w:t>
            </w:r>
            <w:r>
              <w:rPr>
                <w:sz w:val="24"/>
              </w:rPr>
              <w:t>《汽车加油加气站设计与施工规范》（GB50156—2012）</w:t>
            </w:r>
          </w:p>
          <w:p>
            <w:pPr>
              <w:adjustRightInd w:val="0"/>
              <w:snapToGrid w:val="0"/>
              <w:ind w:left="360"/>
              <w:jc w:val="left"/>
              <w:rPr>
                <w:sz w:val="24"/>
              </w:rPr>
            </w:pPr>
          </w:p>
          <w:p>
            <w:pPr>
              <w:adjustRightInd w:val="0"/>
              <w:snapToGrid w:val="0"/>
              <w:ind w:left="360"/>
              <w:jc w:val="left"/>
              <w:rPr>
                <w:bCs/>
                <w:sz w:val="24"/>
              </w:rPr>
            </w:pPr>
            <w:r>
              <w:rPr>
                <w:sz w:val="24"/>
              </w:rPr>
              <w:t>等相关法律、法规和标准</w:t>
            </w:r>
            <w:r>
              <w:rPr>
                <w:rFonts w:hint="eastAsia"/>
                <w:bCs/>
                <w:sz w:val="24"/>
              </w:rPr>
              <w:t>；在火灾爆炸危险场所内的建构筑物的结构形式、建筑材</w:t>
            </w:r>
          </w:p>
          <w:p>
            <w:pPr>
              <w:adjustRightInd w:val="0"/>
              <w:snapToGrid w:val="0"/>
              <w:ind w:left="360"/>
              <w:jc w:val="left"/>
              <w:rPr>
                <w:bCs/>
                <w:sz w:val="24"/>
              </w:rPr>
            </w:pPr>
          </w:p>
          <w:p>
            <w:pPr>
              <w:adjustRightInd w:val="0"/>
              <w:snapToGrid w:val="0"/>
              <w:ind w:left="360"/>
              <w:jc w:val="left"/>
              <w:rPr>
                <w:bCs/>
                <w:sz w:val="24"/>
              </w:rPr>
            </w:pPr>
            <w:r>
              <w:rPr>
                <w:rFonts w:hint="eastAsia"/>
                <w:bCs/>
                <w:sz w:val="24"/>
              </w:rPr>
              <w:t>料及设备符合防火防爆要求，建筑地面均采用防火花地面；各设备、管道和建构筑</w:t>
            </w:r>
          </w:p>
          <w:p>
            <w:pPr>
              <w:adjustRightInd w:val="0"/>
              <w:snapToGrid w:val="0"/>
              <w:ind w:left="360"/>
              <w:jc w:val="left"/>
              <w:rPr>
                <w:bCs/>
                <w:sz w:val="24"/>
              </w:rPr>
            </w:pPr>
          </w:p>
          <w:p>
            <w:pPr>
              <w:adjustRightInd w:val="0"/>
              <w:snapToGrid w:val="0"/>
              <w:ind w:left="360"/>
              <w:jc w:val="left"/>
              <w:rPr>
                <w:bCs/>
                <w:sz w:val="24"/>
              </w:rPr>
            </w:pPr>
            <w:r>
              <w:rPr>
                <w:rFonts w:hint="eastAsia"/>
                <w:bCs/>
                <w:sz w:val="24"/>
              </w:rPr>
              <w:t>物之间保持足够的防火距离；对具有火灾、爆炸危险的生产设备和管道设置安全阀、</w:t>
            </w:r>
          </w:p>
          <w:p>
            <w:pPr>
              <w:adjustRightInd w:val="0"/>
              <w:snapToGrid w:val="0"/>
              <w:ind w:left="360"/>
              <w:jc w:val="left"/>
              <w:rPr>
                <w:bCs/>
                <w:sz w:val="24"/>
              </w:rPr>
            </w:pPr>
          </w:p>
          <w:p>
            <w:pPr>
              <w:adjustRightInd w:val="0"/>
              <w:snapToGrid w:val="0"/>
              <w:ind w:left="360"/>
              <w:jc w:val="left"/>
              <w:rPr>
                <w:bCs/>
                <w:sz w:val="24"/>
              </w:rPr>
            </w:pPr>
            <w:r>
              <w:rPr>
                <w:rFonts w:hint="eastAsia"/>
                <w:bCs/>
                <w:sz w:val="24"/>
              </w:rPr>
              <w:t>阻火器等防爆设施；做好系统安全接地和漏电保护；设置监测报警系统；配置各种</w:t>
            </w:r>
          </w:p>
          <w:p>
            <w:pPr>
              <w:adjustRightInd w:val="0"/>
              <w:snapToGrid w:val="0"/>
              <w:ind w:left="360"/>
              <w:jc w:val="left"/>
              <w:rPr>
                <w:bCs/>
                <w:sz w:val="24"/>
              </w:rPr>
            </w:pPr>
          </w:p>
          <w:p>
            <w:pPr>
              <w:adjustRightInd w:val="0"/>
              <w:snapToGrid w:val="0"/>
              <w:ind w:left="360"/>
              <w:jc w:val="left"/>
              <w:rPr>
                <w:bCs/>
                <w:sz w:val="24"/>
              </w:rPr>
            </w:pPr>
            <w:r>
              <w:rPr>
                <w:rFonts w:hint="eastAsia"/>
                <w:bCs/>
                <w:sz w:val="24"/>
              </w:rPr>
              <w:t>防护用品；严格划分防爆区域；展区内设醒目的“严禁烟火”标志。</w:t>
            </w:r>
          </w:p>
          <w:p>
            <w:pPr>
              <w:adjustRightInd w:val="0"/>
              <w:snapToGrid w:val="0"/>
              <w:jc w:val="left"/>
              <w:rPr>
                <w:b/>
                <w:sz w:val="24"/>
              </w:rPr>
            </w:pPr>
          </w:p>
          <w:p>
            <w:pPr>
              <w:numPr>
                <w:ilvl w:val="0"/>
                <w:numId w:val="0"/>
              </w:numPr>
              <w:adjustRightInd w:val="0"/>
              <w:snapToGrid w:val="0"/>
              <w:ind w:leftChars="0"/>
              <w:jc w:val="left"/>
              <w:rPr>
                <w:b/>
                <w:sz w:val="24"/>
              </w:rPr>
            </w:pPr>
            <w:r>
              <w:rPr>
                <w:rFonts w:hint="eastAsia"/>
                <w:bCs/>
                <w:sz w:val="24"/>
                <w:lang w:val="en-US" w:eastAsia="zh-CN"/>
              </w:rPr>
              <w:t>2、</w:t>
            </w:r>
            <w:r>
              <w:rPr>
                <w:rFonts w:hint="eastAsia"/>
                <w:bCs/>
                <w:sz w:val="24"/>
              </w:rPr>
              <w:t>制定相关的安全管理防范措施和应急救援预案。</w:t>
            </w:r>
          </w:p>
          <w:p>
            <w:pPr>
              <w:spacing w:line="348" w:lineRule="auto"/>
              <w:rPr>
                <w:rFonts w:ascii="Times New Roman" w:hAnsi="Times New Roman" w:cs="Times New Roman"/>
                <w:b/>
                <w:bCs/>
                <w:sz w:val="24"/>
              </w:rPr>
            </w:pPr>
            <w:r>
              <w:rPr>
                <w:rFonts w:hint="eastAsia" w:hAnsi="宋体"/>
                <w:sz w:val="24"/>
              </w:rPr>
              <w:t>3、油罐池做防渗系统，防止油品泄漏污染地下水。</w:t>
            </w:r>
          </w:p>
          <w:p>
            <w:pPr>
              <w:spacing w:line="348" w:lineRule="auto"/>
              <w:rPr>
                <w:rFonts w:ascii="Times New Roman" w:hAnsi="Times New Roman" w:cs="Times New Roman"/>
                <w:b/>
                <w:bCs/>
                <w:sz w:val="24"/>
              </w:rPr>
            </w:pPr>
            <w:r>
              <w:rPr>
                <w:rFonts w:hint="eastAsia" w:ascii="Times New Roman" w:hAnsi="Times New Roman" w:cs="Times New Roman"/>
                <w:b/>
                <w:bCs/>
                <w:sz w:val="24"/>
              </w:rPr>
              <w:t>9、综合结论</w:t>
            </w:r>
          </w:p>
          <w:p>
            <w:pPr>
              <w:spacing w:line="360" w:lineRule="auto"/>
              <w:ind w:firstLine="481"/>
              <w:rPr>
                <w:b w:val="0"/>
                <w:bCs w:val="0"/>
                <w:sz w:val="24"/>
              </w:rPr>
            </w:pPr>
            <w:r>
              <w:rPr>
                <w:rFonts w:hint="eastAsia" w:ascii="Times New Roman" w:hAnsi="Times New Roman" w:cs="Times New Roman"/>
                <w:sz w:val="24"/>
              </w:rPr>
              <w:t>综上所述，</w:t>
            </w:r>
            <w:r>
              <w:rPr>
                <w:rFonts w:hint="eastAsia" w:ascii="宋体" w:hAnsi="宋体"/>
                <w:b w:val="0"/>
                <w:bCs w:val="0"/>
                <w:sz w:val="24"/>
              </w:rPr>
              <w:t>贵州交建国储贸易有限公司拟</w:t>
            </w:r>
            <w:r>
              <w:rPr>
                <w:rFonts w:ascii="宋体" w:hAnsi="宋体"/>
                <w:b w:val="0"/>
                <w:bCs w:val="0"/>
                <w:sz w:val="24"/>
              </w:rPr>
              <w:t>在</w:t>
            </w:r>
            <w:r>
              <w:rPr>
                <w:rFonts w:hint="eastAsia" w:ascii="宋体" w:hAnsi="宋体"/>
                <w:b w:val="0"/>
                <w:bCs w:val="0"/>
                <w:sz w:val="24"/>
              </w:rPr>
              <w:t>花溪至安顺高速公路北侧建设燕楼服务区加油站二站项目，项目建设符合国家产业政策，项目选址合理。项目施工期产生的主要污染物为扬尘、噪声、废水和固体废</w:t>
            </w:r>
            <w:r>
              <w:rPr>
                <w:rFonts w:hint="eastAsia" w:hAnsi="宋体"/>
                <w:b w:val="0"/>
                <w:bCs w:val="0"/>
                <w:sz w:val="24"/>
              </w:rPr>
              <w:t>物。</w:t>
            </w:r>
            <w:r>
              <w:rPr>
                <w:rFonts w:hint="eastAsia"/>
                <w:b w:val="0"/>
                <w:bCs w:val="0"/>
                <w:sz w:val="24"/>
              </w:rPr>
              <w:t>施工期的环境影响是暂时的，采取本报告提出的治理措施后，能有效降低施工期产生的扬尘、噪声、废水和固体废物对周边环境的影响。项目投产</w:t>
            </w:r>
            <w:r>
              <w:rPr>
                <w:b w:val="0"/>
                <w:bCs w:val="0"/>
                <w:sz w:val="24"/>
              </w:rPr>
              <w:t>后</w:t>
            </w:r>
            <w:r>
              <w:rPr>
                <w:rFonts w:hint="eastAsia"/>
                <w:b w:val="0"/>
                <w:bCs w:val="0"/>
                <w:sz w:val="24"/>
              </w:rPr>
              <w:t>产生的废气、废水、噪声经采取本报告提出的环保治理措施后均能达标排放，固体废物均得到妥善处置。项目运行对区域环境的影响较小，</w:t>
            </w:r>
            <w:r>
              <w:rPr>
                <w:b w:val="0"/>
                <w:bCs w:val="0"/>
                <w:sz w:val="24"/>
              </w:rPr>
              <w:t>区域环境能够满足环境保护目标要求。</w:t>
            </w:r>
            <w:r>
              <w:rPr>
                <w:rFonts w:hint="eastAsia"/>
                <w:b w:val="0"/>
                <w:bCs w:val="0"/>
                <w:sz w:val="24"/>
              </w:rPr>
              <w:t>从环境保护的角度分析，</w:t>
            </w:r>
            <w:r>
              <w:rPr>
                <w:b w:val="0"/>
                <w:bCs w:val="0"/>
                <w:sz w:val="24"/>
              </w:rPr>
              <w:t>项目建设可行。</w:t>
            </w:r>
          </w:p>
          <w:p>
            <w:pPr>
              <w:spacing w:line="348" w:lineRule="auto"/>
              <w:ind w:firstLine="480" w:firstLineChars="200"/>
              <w:rPr>
                <w:rFonts w:ascii="Times New Roman" w:hAnsi="Times New Roman" w:cs="Times New Roman"/>
                <w:sz w:val="24"/>
              </w:rPr>
            </w:pPr>
            <w:r>
              <w:rPr>
                <w:sz w:val="24"/>
              </w:rPr>
              <w:t>。</w:t>
            </w:r>
          </w:p>
          <w:p>
            <w:pPr>
              <w:spacing w:line="348" w:lineRule="auto"/>
              <w:rPr>
                <w:rFonts w:ascii="Times New Roman" w:hAnsi="Times New Roman" w:cs="Times New Roman"/>
                <w:b/>
                <w:bCs/>
                <w:sz w:val="24"/>
              </w:rPr>
            </w:pPr>
            <w:r>
              <w:rPr>
                <w:rFonts w:hint="eastAsia" w:ascii="Times New Roman" w:hAnsi="Times New Roman" w:cs="Times New Roman"/>
                <w:b/>
                <w:bCs/>
                <w:sz w:val="24"/>
              </w:rPr>
              <w:t>10、建议及要求</w:t>
            </w:r>
          </w:p>
          <w:p>
            <w:pPr>
              <w:tabs>
                <w:tab w:val="left" w:pos="624"/>
              </w:tabs>
              <w:spacing w:line="360" w:lineRule="auto"/>
              <w:ind w:firstLine="480" w:firstLineChars="200"/>
              <w:rPr>
                <w:sz w:val="24"/>
              </w:rPr>
            </w:pPr>
            <w:r>
              <w:rPr>
                <w:rFonts w:hint="eastAsia"/>
                <w:sz w:val="24"/>
              </w:rPr>
              <w:t>（1）项目投产后，必须严格执行“三同时”制度，即项目防治污染的措施，必须与主题工程</w:t>
            </w:r>
            <w:r>
              <w:rPr>
                <w:sz w:val="24"/>
              </w:rPr>
              <w:t>同时设计、同时施工、同时</w:t>
            </w:r>
            <w:r>
              <w:rPr>
                <w:rFonts w:hint="eastAsia"/>
                <w:sz w:val="24"/>
              </w:rPr>
              <w:t>投产</w:t>
            </w:r>
            <w:r>
              <w:rPr>
                <w:sz w:val="24"/>
              </w:rPr>
              <w:t>使用</w:t>
            </w:r>
            <w:r>
              <w:rPr>
                <w:rFonts w:hint="eastAsia"/>
                <w:sz w:val="24"/>
              </w:rPr>
              <w:t>。</w:t>
            </w:r>
          </w:p>
          <w:p>
            <w:pPr>
              <w:spacing w:line="360" w:lineRule="auto"/>
              <w:ind w:firstLine="480"/>
              <w:rPr>
                <w:sz w:val="24"/>
              </w:rPr>
            </w:pPr>
            <w:r>
              <w:rPr>
                <w:rFonts w:hint="eastAsia"/>
                <w:sz w:val="24"/>
              </w:rPr>
              <w:t>（2）</w:t>
            </w:r>
            <w:r>
              <w:rPr>
                <w:rFonts w:hAnsi="宋体"/>
                <w:sz w:val="24"/>
              </w:rPr>
              <w:t>加强对施工建设的管理，文明施工、安全施工，对环境的影响降低至最低程度。</w:t>
            </w:r>
          </w:p>
          <w:p>
            <w:pPr>
              <w:pStyle w:val="8"/>
              <w:spacing w:line="360" w:lineRule="auto"/>
              <w:ind w:left="0" w:right="0" w:firstLine="480"/>
              <w:rPr>
                <w:rFonts w:ascii="Times New Roman"/>
                <w:sz w:val="24"/>
              </w:rPr>
            </w:pPr>
            <w:r>
              <w:rPr>
                <w:rFonts w:hint="eastAsia" w:ascii="Times New Roman"/>
                <w:sz w:val="24"/>
              </w:rPr>
              <w:t>（3）</w:t>
            </w:r>
            <w:r>
              <w:rPr>
                <w:rFonts w:ascii="Times New Roman"/>
                <w:sz w:val="24"/>
              </w:rPr>
              <w:t>加油站是对社会服务的场所，客流量较大，人员复杂。因此，事故状态下的紧急控制是十分重要的。储罐区与加油区应共设一套紧急切断系统，并要求气动控制卸压点的设置方便操作。无论站内哪个部位出现问题，都能在最短时间内切断气源，将事故危害控制在最小范围。</w:t>
            </w:r>
          </w:p>
          <w:p>
            <w:pPr>
              <w:pStyle w:val="8"/>
              <w:spacing w:line="360" w:lineRule="auto"/>
              <w:ind w:left="0" w:right="0" w:firstLine="480"/>
              <w:rPr>
                <w:rFonts w:ascii="Times New Roman"/>
                <w:sz w:val="24"/>
              </w:rPr>
            </w:pPr>
            <w:r>
              <w:rPr>
                <w:rFonts w:hint="eastAsia" w:ascii="Times New Roman"/>
                <w:sz w:val="24"/>
              </w:rPr>
              <w:t>（4）</w:t>
            </w:r>
            <w:r>
              <w:rPr>
                <w:rFonts w:ascii="Times New Roman"/>
                <w:sz w:val="24"/>
              </w:rPr>
              <w:t>由于油品泄漏对地下水和纳污水体的水质影响较大，影响的范围也较大，特别是埋在地下的油罐泄漏不容易发现，建议埋在地下的油罐应设置防漏槽，把油罐放置在防漏槽内，防漏槽的容积应大于油罐容积之和。</w:t>
            </w:r>
          </w:p>
          <w:p>
            <w:pPr>
              <w:pStyle w:val="8"/>
              <w:spacing w:line="360" w:lineRule="auto"/>
              <w:ind w:left="0" w:right="0" w:firstLine="480"/>
              <w:rPr>
                <w:rFonts w:ascii="Times New Roman"/>
                <w:sz w:val="24"/>
              </w:rPr>
            </w:pPr>
            <w:r>
              <w:rPr>
                <w:rFonts w:hint="eastAsia" w:ascii="Times New Roman"/>
                <w:sz w:val="24"/>
              </w:rPr>
              <w:t>（5）</w:t>
            </w:r>
            <w:r>
              <w:rPr>
                <w:rFonts w:ascii="Times New Roman"/>
                <w:sz w:val="24"/>
              </w:rPr>
              <w:t>加油站内可种植草坪、设置花坛，但不得种植油性植物。</w:t>
            </w:r>
          </w:p>
          <w:p>
            <w:pPr>
              <w:spacing w:line="348" w:lineRule="auto"/>
              <w:ind w:firstLine="480" w:firstLineChars="200"/>
              <w:rPr>
                <w:rFonts w:ascii="Times New Roman" w:hAnsi="Times New Roman" w:cs="Times New Roman"/>
                <w:sz w:val="24"/>
              </w:rPr>
            </w:pPr>
            <w:r>
              <w:rPr>
                <w:rFonts w:hint="eastAsia"/>
                <w:sz w:val="24"/>
              </w:rPr>
              <w:t>（6）</w:t>
            </w:r>
            <w:r>
              <w:rPr>
                <w:sz w:val="24"/>
              </w:rPr>
              <w:t>进一步加强对职工环境保护和消防的宣传教育工作，提高全体员工的环保意识，做到环境保护、安全生产人人有责，并落实到每个员工身上。</w:t>
            </w:r>
          </w:p>
          <w:p>
            <w:pPr>
              <w:rPr>
                <w:rFonts w:ascii="Times New Roman" w:hAnsi="Times New Roman" w:cs="Times New Roman"/>
                <w:b/>
                <w:bCs/>
                <w:sz w:val="28"/>
                <w:szCs w:val="28"/>
              </w:rPr>
            </w:pPr>
          </w:p>
          <w:p>
            <w:pPr>
              <w:rPr>
                <w:rFonts w:ascii="Times New Roman" w:hAnsi="Times New Roman" w:cs="Times New Roman"/>
                <w:b/>
                <w:bCs/>
                <w:sz w:val="28"/>
                <w:szCs w:val="28"/>
              </w:rPr>
            </w:pPr>
          </w:p>
          <w:p>
            <w:pPr>
              <w:pStyle w:val="20"/>
              <w:ind w:firstLine="0" w:firstLineChars="0"/>
              <w:jc w:val="both"/>
            </w:pPr>
          </w:p>
          <w:p>
            <w:pPr>
              <w:pStyle w:val="20"/>
              <w:ind w:firstLine="480"/>
              <w:jc w:val="both"/>
            </w:pPr>
          </w:p>
          <w:p>
            <w:pPr>
              <w:pStyle w:val="20"/>
              <w:ind w:firstLine="480"/>
              <w:jc w:val="both"/>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hint="eastAsia" w:ascii="Times New Roman" w:hAnsi="Times New Roman" w:cs="Times New Roman"/>
                <w:b/>
                <w:bCs/>
                <w:sz w:val="28"/>
                <w:szCs w:val="28"/>
              </w:rPr>
            </w:pPr>
          </w:p>
          <w:p>
            <w:pPr>
              <w:rPr>
                <w:rFonts w:ascii="Times New Roman" w:hAnsi="Times New Roman" w:eastAsia="宋体" w:cs="Times New Roman"/>
                <w:b/>
                <w:bCs/>
                <w:sz w:val="28"/>
                <w:szCs w:val="28"/>
              </w:rPr>
            </w:pPr>
            <w:r>
              <w:rPr>
                <w:rFonts w:ascii="Times New Roman" w:hAnsi="Times New Roman" w:cs="Times New Roman"/>
                <w:b/>
                <w:bCs/>
                <w:sz w:val="28"/>
                <w:szCs w:val="28"/>
              </w:rPr>
              <w:t>3.2</w:t>
            </w:r>
            <w:r>
              <w:rPr>
                <w:rFonts w:ascii="Times New Roman" w:hAnsi="Times New Roman" w:eastAsia="宋体" w:cs="Times New Roman"/>
                <w:b/>
                <w:bCs/>
                <w:sz w:val="28"/>
                <w:szCs w:val="28"/>
              </w:rPr>
              <w:t>审批部门审批决定</w:t>
            </w:r>
          </w:p>
          <w:p>
            <w:pPr>
              <w:tabs>
                <w:tab w:val="left" w:pos="780"/>
              </w:tabs>
              <w:snapToGrid w:val="0"/>
              <w:spacing w:line="520" w:lineRule="exact"/>
              <w:rPr>
                <w:rFonts w:ascii="Times New Roman" w:hAnsi="Times New Roman" w:cs="Times New Roman"/>
                <w:b/>
                <w:sz w:val="24"/>
              </w:rPr>
            </w:pPr>
            <w:r>
              <w:rPr>
                <w:rFonts w:hint="eastAsia" w:ascii="Times New Roman" w:hAnsi="Times New Roman" w:cs="Times New Roman"/>
                <w:b/>
                <w:sz w:val="24"/>
              </w:rPr>
              <w:t>环境保护部门审查意见</w:t>
            </w:r>
            <w:r>
              <w:rPr>
                <w:rFonts w:ascii="Times New Roman" w:hAnsi="Times New Roman" w:cs="Times New Roman"/>
                <w:b/>
                <w:sz w:val="24"/>
              </w:rPr>
              <w:t>：</w:t>
            </w:r>
          </w:p>
          <w:p>
            <w:pPr>
              <w:pStyle w:val="20"/>
              <w:ind w:firstLine="480"/>
              <w:jc w:val="both"/>
            </w:pPr>
            <w:r>
              <w:drawing>
                <wp:anchor distT="0" distB="0" distL="114300" distR="114300" simplePos="0" relativeHeight="251657216" behindDoc="0" locked="0" layoutInCell="1" allowOverlap="1">
                  <wp:simplePos x="0" y="0"/>
                  <wp:positionH relativeFrom="column">
                    <wp:posOffset>821690</wp:posOffset>
                  </wp:positionH>
                  <wp:positionV relativeFrom="paragraph">
                    <wp:posOffset>451485</wp:posOffset>
                  </wp:positionV>
                  <wp:extent cx="4322445" cy="639381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rcRect l="4695" t="2204" r="6525" b="5279"/>
                          <a:stretch>
                            <a:fillRect/>
                          </a:stretch>
                        </pic:blipFill>
                        <pic:spPr>
                          <a:xfrm>
                            <a:off x="0" y="0"/>
                            <a:ext cx="4322156" cy="6393872"/>
                          </a:xfrm>
                          <a:prstGeom prst="rect">
                            <a:avLst/>
                          </a:prstGeom>
                          <a:ln>
                            <a:noFill/>
                          </a:ln>
                        </pic:spPr>
                      </pic:pic>
                    </a:graphicData>
                  </a:graphic>
                </wp:anchor>
              </w:drawing>
            </w:r>
          </w:p>
          <w:p>
            <w:pPr>
              <w:pStyle w:val="20"/>
              <w:ind w:firstLine="480"/>
              <w:jc w:val="both"/>
            </w:pPr>
          </w:p>
          <w:p>
            <w:pPr>
              <w:pStyle w:val="20"/>
              <w:ind w:firstLine="0" w:firstLineChars="0"/>
              <w:jc w:val="both"/>
            </w:pPr>
          </w:p>
        </w:tc>
      </w:tr>
    </w:tbl>
    <w:p>
      <w:pPr>
        <w:pageBreakBefore/>
        <w:spacing w:line="360" w:lineRule="auto"/>
        <w:outlineLvl w:val="0"/>
        <w:rPr>
          <w:rFonts w:ascii="Times New Roman" w:hAnsi="Times New Roman" w:eastAsia="宋体" w:cs="Times New Roman"/>
          <w:b/>
          <w:sz w:val="28"/>
          <w:szCs w:val="28"/>
        </w:rPr>
      </w:pPr>
      <w:bookmarkStart w:id="13" w:name="_Toc22230"/>
      <w:r>
        <w:rPr>
          <w:rFonts w:ascii="Times New Roman" w:hAnsi="Times New Roman" w:cs="Times New Roman"/>
          <w:b/>
          <w:sz w:val="28"/>
          <w:szCs w:val="28"/>
        </w:rPr>
        <w:t>表四  验收监测标准</w:t>
      </w:r>
      <w:bookmarkEnd w:id="13"/>
    </w:p>
    <w:tbl>
      <w:tblPr>
        <w:tblStyle w:val="1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2" w:hRule="atLeast"/>
        </w:trPr>
        <w:tc>
          <w:tcPr>
            <w:tcW w:w="9962"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4.1执行标准</w:t>
            </w:r>
          </w:p>
          <w:p>
            <w:pPr>
              <w:spacing w:line="360" w:lineRule="auto"/>
              <w:jc w:val="center"/>
              <w:rPr>
                <w:rFonts w:ascii="Times New Roman" w:hAnsi="Times New Roman" w:cs="Times New Roman"/>
                <w:b/>
                <w:sz w:val="24"/>
              </w:rPr>
            </w:pPr>
            <w:r>
              <w:rPr>
                <w:rFonts w:ascii="Times New Roman" w:hAnsi="Times New Roman" w:cs="Times New Roman"/>
                <w:b/>
                <w:sz w:val="24"/>
              </w:rPr>
              <w:t>表4-1 验收执行标准</w:t>
            </w:r>
          </w:p>
          <w:tbl>
            <w:tblPr>
              <w:tblStyle w:val="17"/>
              <w:tblW w:w="9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274"/>
              <w:gridCol w:w="1425"/>
              <w:gridCol w:w="1425"/>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类别</w:t>
                  </w:r>
                </w:p>
              </w:tc>
              <w:tc>
                <w:tcPr>
                  <w:tcW w:w="8550"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验收监测标准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废气</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《大气污染物综合排放标准》（GB16297-1996）无组织排放监控浓度限值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限值（mg/m</w:t>
                  </w:r>
                  <w:r>
                    <w:rPr>
                      <w:rFonts w:ascii="Times New Roman" w:hAnsi="Times New Roman" w:cs="Times New Roman"/>
                      <w:bCs/>
                      <w:szCs w:val="21"/>
                      <w:vertAlign w:val="superscript"/>
                    </w:rPr>
                    <w:t>3</w:t>
                  </w: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非甲烷总烃</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噪声</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《工业企业厂界环境噪声排放标准》（GB12348</w:t>
                  </w:r>
                  <w:r>
                    <w:rPr>
                      <w:rFonts w:hint="eastAsia" w:ascii="Times New Roman" w:hAnsi="Times New Roman" w:cs="Times New Roman"/>
                      <w:bCs/>
                      <w:szCs w:val="21"/>
                    </w:rPr>
                    <w:t>-</w:t>
                  </w:r>
                  <w:r>
                    <w:rPr>
                      <w:rFonts w:ascii="Times New Roman" w:hAnsi="Times New Roman" w:cs="Times New Roman"/>
                      <w:bCs/>
                      <w:szCs w:val="21"/>
                    </w:rPr>
                    <w:t>2008）</w:t>
                  </w:r>
                  <w:r>
                    <w:rPr>
                      <w:rFonts w:hint="eastAsia" w:ascii="Times New Roman" w:hAnsi="Times New Roman" w:cs="Times New Roman"/>
                      <w:bCs/>
                      <w:szCs w:val="21"/>
                    </w:rPr>
                    <w:t>2类及4a</w:t>
                  </w:r>
                  <w:r>
                    <w:rPr>
                      <w:rFonts w:ascii="Times New Roman" w:hAnsi="Times New Roman" w:cs="Times New Roman"/>
                      <w:bCs/>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昼间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夜间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bCs/>
                      <w:szCs w:val="21"/>
                    </w:rPr>
                    <w:t>50/55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废水</w:t>
                  </w:r>
                </w:p>
              </w:tc>
              <w:tc>
                <w:tcPr>
                  <w:tcW w:w="8550" w:type="dxa"/>
                  <w:gridSpan w:val="4"/>
                  <w:tcBorders>
                    <w:tl2br w:val="nil"/>
                    <w:tr2bl w:val="nil"/>
                  </w:tcBorders>
                  <w:vAlign w:val="center"/>
                </w:tcPr>
                <w:p>
                  <w:pPr>
                    <w:jc w:val="center"/>
                    <w:rPr>
                      <w:rFonts w:ascii="Times New Roman" w:hAnsi="Times New Roman" w:cs="Times New Roman"/>
                      <w:bCs/>
                      <w:szCs w:val="21"/>
                    </w:rPr>
                  </w:pPr>
                  <w:r>
                    <w:t>《</w:t>
                  </w:r>
                  <w:r>
                    <w:rPr>
                      <w:rFonts w:hint="eastAsia"/>
                    </w:rPr>
                    <w:t xml:space="preserve">城市污水再生利用 </w:t>
                  </w:r>
                  <w:r>
                    <w:t xml:space="preserve"> </w:t>
                  </w:r>
                  <w:r>
                    <w:rPr>
                      <w:rFonts w:hint="eastAsia"/>
                    </w:rPr>
                    <w:t>城市杂用水</w:t>
                  </w:r>
                  <w:r>
                    <w:t>》</w:t>
                  </w:r>
                  <w:r>
                    <w:rPr>
                      <w:rFonts w:hint="eastAsia"/>
                    </w:rPr>
                    <w:t xml:space="preserve"> </w:t>
                  </w:r>
                  <w:r>
                    <w:t>(GB</w:t>
                  </w:r>
                  <w:r>
                    <w:rPr>
                      <w:rFonts w:hint="eastAsia"/>
                    </w:rPr>
                    <w:t>/</w:t>
                  </w:r>
                  <w:r>
                    <w:t>T18920-2002) 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限值（mg/</w:t>
                  </w:r>
                  <w:r>
                    <w:rPr>
                      <w:rFonts w:ascii="Times New Roman" w:hAnsi="Times New Roman" w:cs="Times New Roman"/>
                      <w:bCs/>
                      <w:szCs w:val="21"/>
                    </w:rPr>
                    <w:t>L</w:t>
                  </w:r>
                  <w:r>
                    <w:rPr>
                      <w:rFonts w:hint="eastAsia"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p</w:t>
                  </w:r>
                  <w:r>
                    <w:rPr>
                      <w:rFonts w:ascii="Times New Roman" w:hAnsi="Times New Roman" w:cs="Times New Roman"/>
                      <w:bCs/>
                      <w:szCs w:val="21"/>
                    </w:rPr>
                    <w:t>H</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6</w:t>
                  </w:r>
                  <w:r>
                    <w:rPr>
                      <w:rFonts w:ascii="Times New Roman" w:hAnsi="Times New Roman" w:cs="Times New Roman"/>
                      <w:bCs/>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化学需氧量</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B</w:t>
                  </w:r>
                  <w:r>
                    <w:rPr>
                      <w:rFonts w:ascii="Times New Roman" w:hAnsi="Times New Roman" w:cs="Times New Roman"/>
                      <w:bCs/>
                      <w:szCs w:val="21"/>
                    </w:rPr>
                    <w:t>OD</w:t>
                  </w:r>
                  <w:r>
                    <w:rPr>
                      <w:rFonts w:ascii="Times New Roman" w:hAnsi="Times New Roman" w:cs="Times New Roman"/>
                      <w:bCs/>
                      <w:szCs w:val="21"/>
                      <w:vertAlign w:val="subscript"/>
                    </w:rPr>
                    <w:t>5</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氨氮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悬浮物</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石油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动植物油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油汽回收</w:t>
                  </w:r>
                </w:p>
              </w:tc>
              <w:tc>
                <w:tcPr>
                  <w:tcW w:w="8550" w:type="dxa"/>
                  <w:gridSpan w:val="4"/>
                  <w:tcBorders>
                    <w:tl2br w:val="nil"/>
                    <w:tr2bl w:val="nil"/>
                  </w:tcBorders>
                  <w:vAlign w:val="center"/>
                </w:tcPr>
                <w:p>
                  <w:pPr>
                    <w:jc w:val="center"/>
                    <w:rPr>
                      <w:rFonts w:ascii="Times New Roman" w:hAnsi="Times New Roman"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restart"/>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液阻压力</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18.0</w:t>
                  </w:r>
                  <w:r>
                    <w:rPr>
                      <w:rFonts w:ascii="Times New Roman" w:hAnsi="Times New Roman" w:cs="Times New Roman"/>
                      <w:bCs/>
                      <w:szCs w:val="21"/>
                    </w:rPr>
                    <w:t>L/</w:t>
                  </w:r>
                  <w:r>
                    <w:rPr>
                      <w:rFonts w:hint="eastAsia" w:ascii="Times New Roman" w:hAnsi="Times New Roman" w:cs="Times New Roman"/>
                      <w:bCs/>
                      <w:szCs w:val="21"/>
                    </w:rPr>
                    <w:t>min</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28.0</w:t>
                  </w:r>
                  <w:r>
                    <w:rPr>
                      <w:rFonts w:ascii="Times New Roman" w:hAnsi="Times New Roman" w:cs="Times New Roman"/>
                      <w:bCs/>
                      <w:szCs w:val="21"/>
                    </w:rPr>
                    <w:t>L/</w:t>
                  </w:r>
                  <w:r>
                    <w:rPr>
                      <w:rFonts w:hint="eastAsia" w:ascii="Times New Roman" w:hAnsi="Times New Roman" w:cs="Times New Roman"/>
                      <w:bCs/>
                      <w:szCs w:val="21"/>
                    </w:rPr>
                    <w:t>min</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38.0</w:t>
                  </w:r>
                  <w:r>
                    <w:rPr>
                      <w:rFonts w:ascii="Times New Roman" w:hAnsi="Times New Roman" w:cs="Times New Roman"/>
                      <w:bCs/>
                      <w:szCs w:val="21"/>
                    </w:rPr>
                    <w:t>L/</w:t>
                  </w:r>
                  <w:r>
                    <w:rPr>
                      <w:rFonts w:hint="eastAsia" w:ascii="Times New Roman" w:hAnsi="Times New Roman" w:cs="Times New Roman"/>
                      <w:bCs/>
                      <w:szCs w:val="21"/>
                    </w:rPr>
                    <w:t>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continue"/>
                  <w:tcBorders>
                    <w:tl2br w:val="nil"/>
                    <w:tr2bl w:val="nil"/>
                  </w:tcBorders>
                  <w:vAlign w:val="center"/>
                </w:tcPr>
                <w:p>
                  <w:pPr>
                    <w:jc w:val="center"/>
                    <w:rPr>
                      <w:rFonts w:ascii="Times New Roman" w:hAnsi="Times New Roman" w:cs="Times New Roman"/>
                      <w:bCs/>
                      <w:szCs w:val="21"/>
                    </w:rPr>
                  </w:pP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40</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90</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密闭性</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5min后压力</w:t>
                  </w:r>
                  <w:r>
                    <w:rPr>
                      <w:rFonts w:hint="eastAsia" w:cs="Times New Roman" w:asciiTheme="minorEastAsia" w:hAnsiTheme="minorEastAsia"/>
                      <w:bCs/>
                      <w:szCs w:val="21"/>
                    </w:rPr>
                    <w:t>＞</w:t>
                  </w:r>
                  <w:r>
                    <w:rPr>
                      <w:rFonts w:hint="eastAsia" w:ascii="Times New Roman" w:hAnsi="Times New Roman" w:cs="Times New Roman"/>
                      <w:bCs/>
                      <w:szCs w:val="21"/>
                    </w:rPr>
                    <w:t>最小剩余压力标准限值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汽液比</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1.0~1.2</w:t>
                  </w:r>
                </w:p>
              </w:tc>
            </w:tr>
          </w:tbl>
          <w:p>
            <w:pPr>
              <w:spacing w:line="360" w:lineRule="auto"/>
              <w:rPr>
                <w:rFonts w:ascii="Times New Roman" w:hAnsi="Times New Roman" w:eastAsia="宋体" w:cs="Times New Roman"/>
                <w:b/>
                <w:sz w:val="28"/>
                <w:szCs w:val="28"/>
              </w:rPr>
            </w:pPr>
          </w:p>
        </w:tc>
      </w:tr>
    </w:tbl>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pageBreakBefore/>
        <w:spacing w:before="156" w:beforeLines="50" w:line="360" w:lineRule="auto"/>
        <w:outlineLvl w:val="0"/>
        <w:rPr>
          <w:rFonts w:ascii="Times New Roman" w:hAnsi="Times New Roman" w:cs="Times New Roman"/>
          <w:b/>
          <w:sz w:val="30"/>
          <w:szCs w:val="30"/>
        </w:rPr>
      </w:pPr>
      <w:bookmarkStart w:id="14" w:name="_Toc22536"/>
      <w:bookmarkStart w:id="15" w:name="_Toc26604"/>
      <w:r>
        <w:rPr>
          <w:rFonts w:ascii="Times New Roman" w:hAnsi="Times New Roman" w:cs="Times New Roman"/>
          <w:b/>
          <w:sz w:val="30"/>
          <w:szCs w:val="30"/>
        </w:rPr>
        <w:t xml:space="preserve">表五  </w:t>
      </w:r>
      <w:r>
        <w:rPr>
          <w:rFonts w:ascii="Times New Roman" w:hAnsi="Times New Roman" w:eastAsia="宋体" w:cs="Times New Roman"/>
          <w:b/>
          <w:sz w:val="30"/>
          <w:szCs w:val="30"/>
        </w:rPr>
        <w:t>验收监测</w:t>
      </w:r>
      <w:r>
        <w:rPr>
          <w:rFonts w:ascii="Times New Roman" w:hAnsi="Times New Roman" w:cs="Times New Roman"/>
          <w:b/>
          <w:sz w:val="30"/>
          <w:szCs w:val="30"/>
        </w:rPr>
        <w:t>质量控制、</w:t>
      </w:r>
      <w:r>
        <w:rPr>
          <w:rFonts w:ascii="Times New Roman" w:hAnsi="Times New Roman" w:eastAsia="宋体" w:cs="Times New Roman"/>
          <w:b/>
          <w:sz w:val="30"/>
          <w:szCs w:val="30"/>
        </w:rPr>
        <w:t>监测内容</w:t>
      </w:r>
      <w:r>
        <w:rPr>
          <w:rFonts w:ascii="Times New Roman" w:hAnsi="Times New Roman" w:cs="Times New Roman"/>
          <w:b/>
          <w:sz w:val="30"/>
          <w:szCs w:val="30"/>
        </w:rPr>
        <w:t>及监测结果分析</w:t>
      </w:r>
      <w:bookmarkEnd w:id="14"/>
      <w:bookmarkEnd w:id="15"/>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5" w:hRule="atLeast"/>
          <w:jc w:val="center"/>
        </w:trPr>
        <w:tc>
          <w:tcPr>
            <w:tcW w:w="9288" w:type="dxa"/>
          </w:tcPr>
          <w:p>
            <w:pPr>
              <w:spacing w:line="360" w:lineRule="auto"/>
              <w:outlineLvl w:val="1"/>
              <w:rPr>
                <w:rFonts w:ascii="Times New Roman" w:hAnsi="Times New Roman" w:eastAsia="宋体" w:cs="Times New Roman"/>
                <w:sz w:val="28"/>
                <w:szCs w:val="28"/>
              </w:rPr>
            </w:pPr>
            <w:bookmarkStart w:id="16" w:name="_Toc3687"/>
            <w:r>
              <w:rPr>
                <w:rFonts w:ascii="Times New Roman" w:hAnsi="Times New Roman" w:cs="Times New Roman"/>
                <w:b/>
                <w:sz w:val="28"/>
                <w:szCs w:val="28"/>
              </w:rPr>
              <w:t>5.1</w:t>
            </w:r>
            <w:bookmarkStart w:id="17" w:name="_Toc352244157"/>
            <w:bookmarkStart w:id="18" w:name="_Toc346805210"/>
            <w:bookmarkStart w:id="19" w:name="_Toc338171815"/>
            <w:bookmarkStart w:id="20" w:name="_Toc338170898"/>
            <w:r>
              <w:rPr>
                <w:rFonts w:ascii="Times New Roman" w:hAnsi="Times New Roman" w:eastAsia="宋体" w:cs="Times New Roman"/>
                <w:b/>
                <w:bCs/>
                <w:sz w:val="28"/>
                <w:szCs w:val="28"/>
              </w:rPr>
              <w:t>监测质量保证</w:t>
            </w:r>
            <w:bookmarkEnd w:id="17"/>
            <w:bookmarkEnd w:id="18"/>
            <w:bookmarkEnd w:id="19"/>
            <w:bookmarkEnd w:id="20"/>
            <w:r>
              <w:rPr>
                <w:rFonts w:ascii="Times New Roman" w:hAnsi="Times New Roman" w:cs="Times New Roman"/>
                <w:b/>
                <w:bCs/>
                <w:kern w:val="0"/>
                <w:sz w:val="28"/>
                <w:szCs w:val="28"/>
              </w:rPr>
              <w:t>及质量控制措施</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1、</w:t>
            </w:r>
            <w:r>
              <w:rPr>
                <w:rFonts w:ascii="Times New Roman" w:hAnsi="Times New Roman" w:eastAsia="宋体" w:cs="Times New Roman"/>
                <w:sz w:val="24"/>
              </w:rPr>
              <w:t>验收监测期间，及时了解生产工况，保证工况负荷达到额定负荷的75%以上。</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2、合理布设监测点，保证各监测点位布设的科学性和可比性。</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3、采样人员必须遵守采样操作规程，认真填写采样记录，按规定保存、运输样品。现场携带全程序空白样、采集平行样。</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kern w:val="0"/>
                <w:sz w:val="24"/>
              </w:rPr>
              <w:t>4、监测分析方法均采用国家标准或国家环保部颁布的分析方法，实验室分析人员均持证上岗。分析采取空白样、明码平行样、质控样品测定等措施对检测全过程进行质量控制。所有检测仪器、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5、噪声测定前</w:t>
            </w:r>
            <w:r>
              <w:rPr>
                <w:rFonts w:hint="eastAsia" w:ascii="Times New Roman" w:hAnsi="Times New Roman" w:eastAsia="宋体" w:cs="Times New Roman"/>
                <w:sz w:val="24"/>
              </w:rPr>
              <w:t>后</w:t>
            </w:r>
            <w:r>
              <w:rPr>
                <w:rFonts w:ascii="Times New Roman" w:hAnsi="Times New Roman" w:eastAsia="宋体" w:cs="Times New Roman"/>
                <w:sz w:val="24"/>
              </w:rPr>
              <w:t>需校正仪器。</w:t>
            </w:r>
          </w:p>
          <w:p>
            <w:pPr>
              <w:adjustRightInd w:val="0"/>
              <w:snapToGrid w:val="0"/>
              <w:spacing w:line="360" w:lineRule="auto"/>
              <w:ind w:firstLine="480" w:firstLineChars="200"/>
              <w:rPr>
                <w:rFonts w:ascii="Times New Roman" w:hAnsi="Times New Roman" w:cs="Times New Roman"/>
              </w:rPr>
            </w:pPr>
            <w:r>
              <w:rPr>
                <w:rFonts w:ascii="Times New Roman" w:hAnsi="Times New Roman" w:eastAsia="宋体" w:cs="Times New Roman"/>
                <w:sz w:val="24"/>
              </w:rPr>
              <w:t>6、监测数据严格</w:t>
            </w:r>
            <w:r>
              <w:rPr>
                <w:rFonts w:ascii="Times New Roman" w:hAnsi="Times New Roman" w:cs="Times New Roman"/>
                <w:sz w:val="24"/>
              </w:rPr>
              <w:t>执</w:t>
            </w:r>
            <w:r>
              <w:rPr>
                <w:rFonts w:ascii="Times New Roman" w:hAnsi="Times New Roman" w:eastAsia="宋体" w:cs="Times New Roman"/>
                <w:sz w:val="24"/>
              </w:rPr>
              <w:t>行三级审核制度，</w:t>
            </w:r>
            <w:r>
              <w:rPr>
                <w:rFonts w:ascii="Times New Roman" w:hAnsi="Times New Roman" w:cs="Times New Roman"/>
                <w:sz w:val="24"/>
              </w:rPr>
              <w:t>保证数据的</w:t>
            </w:r>
            <w:r>
              <w:rPr>
                <w:rFonts w:hint="eastAsia" w:ascii="Times New Roman" w:hAnsi="Times New Roman" w:cs="Times New Roman"/>
                <w:sz w:val="24"/>
              </w:rPr>
              <w:t>可靠</w:t>
            </w:r>
            <w:r>
              <w:rPr>
                <w:rFonts w:ascii="Times New Roman" w:hAnsi="Times New Roman" w:cs="Times New Roman"/>
                <w:sz w:val="24"/>
              </w:rPr>
              <w:t>、有效</w:t>
            </w:r>
            <w:r>
              <w:rPr>
                <w:rFonts w:ascii="Times New Roman" w:hAnsi="Times New Roman" w:eastAsia="宋体" w:cs="Times New Roman"/>
                <w:sz w:val="24"/>
              </w:rPr>
              <w:t>。</w:t>
            </w:r>
            <w:bookmarkEnd w:id="16"/>
          </w:p>
        </w:tc>
      </w:tr>
    </w:tbl>
    <w:p>
      <w:pPr>
        <w:rPr>
          <w:rFonts w:ascii="Times New Roman" w:hAnsi="Times New Roman" w:cs="Times New Roman"/>
        </w:rPr>
      </w:pPr>
    </w:p>
    <w:p>
      <w:pPr>
        <w:pStyle w:val="2"/>
        <w:rPr>
          <w:rFonts w:ascii="Times New Roman" w:hAnsi="Times New Roman"/>
        </w:rPr>
      </w:pPr>
      <w:bookmarkStart w:id="21" w:name="_Toc8246"/>
      <w:bookmarkStart w:id="22" w:name="_Toc10699"/>
      <w:r>
        <w:rPr>
          <w:rFonts w:ascii="Times New Roman" w:hAnsi="Times New Roman"/>
        </w:rPr>
        <w:t>表六  验收监测内容</w:t>
      </w:r>
      <w:bookmarkEnd w:id="21"/>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8" w:hRule="atLeast"/>
          <w:jc w:val="center"/>
        </w:trPr>
        <w:tc>
          <w:tcPr>
            <w:tcW w:w="9288" w:type="dxa"/>
          </w:tcPr>
          <w:p>
            <w:pPr>
              <w:pStyle w:val="3"/>
              <w:outlineLvl w:val="1"/>
              <w:rPr>
                <w:rFonts w:ascii="Times New Roman" w:hAnsi="Times New Roman" w:eastAsia="宋体"/>
              </w:rPr>
            </w:pPr>
            <w:bookmarkStart w:id="23" w:name="_Toc23272"/>
            <w:bookmarkStart w:id="24" w:name="_Toc9364"/>
            <w:bookmarkStart w:id="25" w:name="_Toc29098"/>
            <w:bookmarkStart w:id="26" w:name="_Toc32648"/>
            <w:bookmarkStart w:id="27" w:name="_Toc32652"/>
            <w:bookmarkStart w:id="28" w:name="_Toc7635"/>
            <w:bookmarkStart w:id="29" w:name="_Toc8191"/>
            <w:bookmarkStart w:id="30" w:name="_Toc3050"/>
            <w:bookmarkStart w:id="31" w:name="_Toc20884"/>
            <w:bookmarkStart w:id="32" w:name="_Toc1076"/>
            <w:bookmarkStart w:id="33" w:name="_Toc6960"/>
            <w:bookmarkStart w:id="34" w:name="_Toc12471"/>
            <w:r>
              <w:rPr>
                <w:rFonts w:ascii="Times New Roman" w:hAnsi="Times New Roman"/>
              </w:rPr>
              <w:t>6</w:t>
            </w:r>
            <w:r>
              <w:rPr>
                <w:rFonts w:ascii="Times New Roman" w:hAnsi="Times New Roman" w:eastAsia="宋体"/>
              </w:rPr>
              <w:t>.1 环境保护设施调试效果</w:t>
            </w:r>
            <w:bookmarkEnd w:id="23"/>
            <w:bookmarkEnd w:id="24"/>
            <w:bookmarkEnd w:id="25"/>
            <w:bookmarkEnd w:id="26"/>
            <w:bookmarkEnd w:id="27"/>
            <w:bookmarkEnd w:id="28"/>
            <w:bookmarkEnd w:id="29"/>
            <w:bookmarkEnd w:id="30"/>
            <w:bookmarkEnd w:id="31"/>
            <w:bookmarkEnd w:id="32"/>
            <w:bookmarkEnd w:id="33"/>
            <w:bookmarkEnd w:id="34"/>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通过对各类污染物达标排放，来说明环境保护设施调试效果，具体监测内容如下：</w:t>
            </w:r>
          </w:p>
          <w:p>
            <w:pPr>
              <w:spacing w:line="360" w:lineRule="auto"/>
              <w:rPr>
                <w:rFonts w:ascii="Times New Roman" w:hAnsi="Times New Roman" w:cs="Times New Roman"/>
                <w:b/>
                <w:bCs/>
                <w:sz w:val="24"/>
              </w:rPr>
            </w:pPr>
            <w:bookmarkStart w:id="35" w:name="_Toc21542"/>
            <w:bookmarkStart w:id="36" w:name="_Toc9704"/>
            <w:bookmarkStart w:id="37" w:name="_Toc23731"/>
            <w:bookmarkStart w:id="38" w:name="_Toc8385"/>
            <w:r>
              <w:rPr>
                <w:rFonts w:ascii="Times New Roman" w:hAnsi="Times New Roman" w:cs="Times New Roman"/>
                <w:b/>
                <w:bCs/>
                <w:sz w:val="24"/>
              </w:rPr>
              <w:t>6.1.1废水</w:t>
            </w:r>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1、废水监测内容</w:t>
            </w:r>
          </w:p>
          <w:p>
            <w:pPr>
              <w:pStyle w:val="20"/>
              <w:ind w:firstLine="480"/>
              <w:jc w:val="both"/>
            </w:pPr>
            <w:r>
              <w:rPr>
                <w:rFonts w:hint="eastAsia"/>
              </w:rPr>
              <w:t xml:space="preserve"> 本次废水监测在废水处理设施进出口各设一个监测点，监测项目见表6-1；</w:t>
            </w:r>
          </w:p>
          <w:p>
            <w:pPr>
              <w:pStyle w:val="20"/>
              <w:ind w:firstLine="480"/>
              <w:jc w:val="both"/>
            </w:pPr>
            <w:r>
              <w:rPr>
                <w:rFonts w:hint="eastAsia"/>
              </w:rPr>
              <w:t xml:space="preserve"> </w:t>
            </w:r>
            <w:r>
              <w:t xml:space="preserve">                </w:t>
            </w:r>
            <w:r>
              <w:rPr>
                <w:rFonts w:hint="eastAsia"/>
              </w:rPr>
              <w:t>表6-1废水监测点位和监测项目</w:t>
            </w:r>
          </w:p>
          <w:tbl>
            <w:tblPr>
              <w:tblStyle w:val="17"/>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left"/>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污水处理设施进口</w:t>
                  </w:r>
                </w:p>
              </w:tc>
              <w:tc>
                <w:tcPr>
                  <w:tcW w:w="275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pH、</w:t>
                  </w:r>
                  <w:r>
                    <w:rPr>
                      <w:rFonts w:ascii="Times New Roman" w:hAnsi="Times New Roman" w:eastAsia="宋体" w:cs="Times New Roman"/>
                      <w:szCs w:val="21"/>
                    </w:rPr>
                    <w:t>SS</w:t>
                  </w:r>
                  <w:r>
                    <w:rPr>
                      <w:rFonts w:hint="eastAsia" w:ascii="Times New Roman" w:hAnsi="Times New Roman" w:eastAsia="宋体" w:cs="Times New Roman"/>
                      <w:szCs w:val="21"/>
                    </w:rPr>
                    <w:t>、</w:t>
                  </w:r>
                  <w:r>
                    <w:rPr>
                      <w:rFonts w:ascii="Times New Roman" w:hAnsi="Times New Roman" w:eastAsia="宋体" w:cs="Times New Roman"/>
                      <w:szCs w:val="21"/>
                    </w:rPr>
                    <w:t>COD</w:t>
                  </w:r>
                  <w:r>
                    <w:rPr>
                      <w:rFonts w:hint="eastAsia" w:ascii="Times New Roman" w:hAnsi="Times New Roman" w:eastAsia="宋体" w:cs="Times New Roman"/>
                      <w:szCs w:val="21"/>
                    </w:rPr>
                    <w:t>cr、</w:t>
                  </w:r>
                  <w:r>
                    <w:rPr>
                      <w:rFonts w:ascii="Times New Roman" w:hAnsi="Times New Roman" w:eastAsia="宋体" w:cs="Times New Roman"/>
                      <w:szCs w:val="21"/>
                    </w:rPr>
                    <w:t>BOD</w:t>
                  </w:r>
                  <w:r>
                    <w:rPr>
                      <w:rFonts w:hint="eastAsia" w:ascii="Times New Roman" w:hAnsi="Times New Roman" w:eastAsia="宋体" w:cs="Times New Roman"/>
                      <w:szCs w:val="21"/>
                    </w:rPr>
                    <w:t>、氨氮、石油、动植物油</w:t>
                  </w:r>
                </w:p>
              </w:tc>
              <w:tc>
                <w:tcPr>
                  <w:tcW w:w="2448"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监测两天，每天4次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污水处理设施出口</w:t>
                  </w:r>
                </w:p>
              </w:tc>
              <w:tc>
                <w:tcPr>
                  <w:tcW w:w="275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448"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20"/>
              <w:ind w:firstLine="480"/>
              <w:jc w:val="both"/>
            </w:pPr>
            <w:r>
              <w:rPr>
                <w:rFonts w:hint="eastAsia"/>
              </w:rPr>
              <w:t>2、废水监测分析方法</w:t>
            </w:r>
          </w:p>
          <w:p>
            <w:pPr>
              <w:pStyle w:val="20"/>
              <w:ind w:firstLine="480"/>
              <w:jc w:val="both"/>
            </w:pPr>
            <w:r>
              <w:rPr>
                <w:rFonts w:hint="eastAsia"/>
              </w:rPr>
              <w:t>废水监测分析方法见表6-2</w:t>
            </w:r>
          </w:p>
          <w:p>
            <w:pPr>
              <w:pStyle w:val="20"/>
              <w:ind w:firstLine="480"/>
              <w:jc w:val="both"/>
            </w:pPr>
            <w:r>
              <w:rPr>
                <w:rFonts w:hint="eastAsia"/>
              </w:rPr>
              <w:t xml:space="preserve"> </w:t>
            </w:r>
            <w:r>
              <w:t xml:space="preserve">                </w:t>
            </w:r>
            <w:r>
              <w:rPr>
                <w:rFonts w:hint="eastAsia"/>
              </w:rPr>
              <w:t>表6-2废水监测分析方法</w:t>
            </w:r>
          </w:p>
          <w:tbl>
            <w:tblPr>
              <w:tblStyle w:val="17"/>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402"/>
              <w:gridCol w:w="2268"/>
              <w:gridCol w:w="2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
                      <w:szCs w:val="21"/>
                    </w:rPr>
                  </w:pPr>
                  <w:r>
                    <w:rPr>
                      <w:rFonts w:hint="eastAsia" w:ascii="Times New Roman" w:hAnsi="Times New Roman" w:eastAsia="宋体" w:cs="Times New Roman"/>
                      <w:b/>
                      <w:szCs w:val="21"/>
                    </w:rPr>
                    <w:t>项目</w:t>
                  </w:r>
                </w:p>
              </w:tc>
              <w:tc>
                <w:tcPr>
                  <w:tcW w:w="3402"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方法依据</w:t>
                  </w:r>
                </w:p>
              </w:tc>
              <w:tc>
                <w:tcPr>
                  <w:tcW w:w="2268"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设备</w:t>
                  </w:r>
                </w:p>
              </w:tc>
              <w:tc>
                <w:tcPr>
                  <w:tcW w:w="2254"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p</w:t>
                  </w:r>
                  <w:r>
                    <w:rPr>
                      <w:rFonts w:ascii="Times New Roman" w:hAnsi="Times New Roman" w:eastAsia="宋体" w:cs="Times New Roman"/>
                      <w:bCs/>
                      <w:szCs w:val="21"/>
                    </w:rPr>
                    <w:t>H</w:t>
                  </w:r>
                </w:p>
              </w:tc>
              <w:tc>
                <w:tcPr>
                  <w:tcW w:w="3402" w:type="dxa"/>
                  <w:tcBorders>
                    <w:tl2br w:val="nil"/>
                    <w:tr2bl w:val="nil"/>
                  </w:tcBorders>
                  <w:vAlign w:val="center"/>
                </w:tcPr>
                <w:p>
                  <w:pPr>
                    <w:ind w:left="630" w:hanging="630" w:hangingChars="300"/>
                    <w:rPr>
                      <w:rFonts w:ascii="Times New Roman" w:hAnsi="Times New Roman" w:eastAsia="宋体" w:cs="Times New Roman"/>
                      <w:bCs/>
                      <w:szCs w:val="21"/>
                    </w:rPr>
                  </w:pPr>
                  <w:r>
                    <w:rPr>
                      <w:rFonts w:hint="eastAsia" w:ascii="Times New Roman" w:hAnsi="Times New Roman" w:eastAsia="宋体" w:cs="Times New Roman"/>
                      <w:bCs/>
                      <w:szCs w:val="21"/>
                    </w:rPr>
                    <w:t xml:space="preserve"> </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笔式酸度计</w:t>
                  </w:r>
                </w:p>
              </w:tc>
              <w:tc>
                <w:tcPr>
                  <w:tcW w:w="2268" w:type="dxa"/>
                  <w:tcBorders>
                    <w:tl2br w:val="nil"/>
                    <w:tr2bl w:val="nil"/>
                  </w:tcBorders>
                  <w:vAlign w:val="center"/>
                </w:tcPr>
                <w:p>
                  <w:pPr>
                    <w:ind w:firstLine="480"/>
                    <w:jc w:val="center"/>
                    <w:rPr>
                      <w:rFonts w:ascii="Times New Roman" w:hAnsi="Times New Roman" w:eastAsia="宋体" w:cs="Times New Roman"/>
                      <w:bCs/>
                      <w:szCs w:val="21"/>
                    </w:rPr>
                  </w:pPr>
                  <w:r>
                    <w:rPr>
                      <w:rFonts w:hint="eastAsia" w:ascii="Times New Roman" w:hAnsi="Times New Roman" w:eastAsia="宋体" w:cs="Times New Roman"/>
                      <w:bCs/>
                      <w:szCs w:val="21"/>
                    </w:rPr>
                    <w:t>笔式酸度计</w:t>
                  </w:r>
                </w:p>
                <w:p>
                  <w:pPr>
                    <w:ind w:firstLine="480"/>
                    <w:jc w:val="center"/>
                    <w:rPr>
                      <w:rFonts w:hint="eastAsia" w:ascii="Times New Roman" w:hAnsi="Times New Roman" w:eastAsia="宋体" w:cs="Times New Roman"/>
                      <w:szCs w:val="21"/>
                    </w:rPr>
                  </w:pPr>
                  <w:r>
                    <w:rPr>
                      <w:rFonts w:ascii="Times New Roman" w:hAnsi="Times New Roman" w:eastAsia="宋体" w:cs="Times New Roman"/>
                      <w:bCs/>
                      <w:szCs w:val="21"/>
                    </w:rPr>
                    <w:t>MD-105-02</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悬浮物</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悬浮物的测定 重量法</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11901-89）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电子天平</w:t>
                  </w:r>
                </w:p>
                <w:p>
                  <w:pPr>
                    <w:ind w:firstLine="480"/>
                    <w:jc w:val="center"/>
                    <w:rPr>
                      <w:rFonts w:ascii="Times New Roman" w:hAnsi="Times New Roman" w:eastAsia="宋体" w:cs="Times New Roman"/>
                      <w:szCs w:val="21"/>
                    </w:rPr>
                  </w:pPr>
                  <w:r>
                    <w:rPr>
                      <w:rFonts w:ascii="Times New Roman" w:hAnsi="Times New Roman" w:eastAsia="宋体" w:cs="Times New Roman"/>
                      <w:szCs w:val="21"/>
                    </w:rPr>
                    <w:t>MD-114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化学需氧量</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化学需氧量 重铬酸盐法</w:t>
                  </w:r>
                  <w:r>
                    <w:rPr>
                      <w:rFonts w:ascii="Times New Roman" w:hAnsi="Times New Roman" w:eastAsia="宋体" w:cs="Times New Roman"/>
                      <w:bCs/>
                      <w:szCs w:val="21"/>
                    </w:rPr>
                    <w:t>》</w:t>
                  </w:r>
                  <w:r>
                    <w:rPr>
                      <w:rFonts w:hint="eastAsia" w:ascii="Times New Roman" w:hAnsi="Times New Roman" w:eastAsia="宋体" w:cs="Times New Roman"/>
                      <w:bCs/>
                      <w:szCs w:val="21"/>
                    </w:rPr>
                    <w:t>（</w:t>
                  </w:r>
                  <w:r>
                    <w:rPr>
                      <w:rFonts w:ascii="Times New Roman" w:hAnsi="Times New Roman" w:eastAsia="宋体" w:cs="Times New Roman"/>
                      <w:bCs/>
                      <w:szCs w:val="21"/>
                    </w:rPr>
                    <w:t>HJ828-2017</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酸式滴定管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018110102</w:t>
                  </w:r>
                  <w:r>
                    <w:rPr>
                      <w:rFonts w:hint="eastAsia" w:ascii="Times New Roman" w:hAnsi="Times New Roman" w:eastAsia="宋体" w:cs="Times New Roman"/>
                      <w:szCs w:val="21"/>
                    </w:rPr>
                    <w:t>1</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4mg/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五日生化需氧量（B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r>
                    <w:rPr>
                      <w:rFonts w:hint="eastAsia" w:ascii="Times New Roman" w:hAnsi="Times New Roman" w:eastAsia="宋体" w:cs="Times New Roman"/>
                      <w:bCs/>
                      <w:szCs w:val="21"/>
                    </w:rPr>
                    <w:t>的测定 稀释与接种法》（</w:t>
                  </w:r>
                  <w:r>
                    <w:rPr>
                      <w:rFonts w:ascii="Times New Roman" w:hAnsi="Times New Roman" w:eastAsia="宋体" w:cs="Times New Roman"/>
                      <w:bCs/>
                      <w:szCs w:val="21"/>
                    </w:rPr>
                    <w:t>HJ505-2009</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生化培养箱</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D-082</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 5mg/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氨氮</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氨氮的测定 纳氏试剂分光光度法》（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535-2009）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D-004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0.025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石油</w:t>
                  </w:r>
                </w:p>
              </w:tc>
              <w:tc>
                <w:tcPr>
                  <w:tcW w:w="3402"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石油类和动植物油类的测定 红外分光光度法》（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637-2018）</w:t>
                  </w:r>
                </w:p>
              </w:tc>
              <w:tc>
                <w:tcPr>
                  <w:tcW w:w="226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红外分光光度测油仪</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D-089</w:t>
                  </w:r>
                </w:p>
              </w:tc>
              <w:tc>
                <w:tcPr>
                  <w:tcW w:w="2254"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0.06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动植物油</w:t>
                  </w:r>
                </w:p>
              </w:tc>
              <w:tc>
                <w:tcPr>
                  <w:tcW w:w="3402"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6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54"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20"/>
              <w:ind w:firstLine="480"/>
              <w:jc w:val="both"/>
            </w:pPr>
          </w:p>
          <w:p>
            <w:pPr>
              <w:spacing w:line="360" w:lineRule="auto"/>
              <w:outlineLvl w:val="0"/>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废气</w:t>
            </w:r>
            <w:bookmarkEnd w:id="35"/>
            <w:bookmarkEnd w:id="36"/>
            <w:bookmarkEnd w:id="37"/>
            <w:bookmarkEnd w:id="38"/>
            <w:r>
              <w:rPr>
                <w:rFonts w:ascii="Times New Roman" w:hAnsi="Times New Roman" w:eastAsia="宋体" w:cs="Times New Roman"/>
                <w:b/>
                <w:sz w:val="24"/>
              </w:rPr>
              <w:t xml:space="preserve"> </w:t>
            </w:r>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1、废气监测内容</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本次无组织废气监测共设置4个监测点，监测点位和监测项目见表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3</w:t>
            </w:r>
            <w:r>
              <w:rPr>
                <w:rFonts w:ascii="Times New Roman" w:hAnsi="Times New Roman" w:eastAsia="宋体" w:cs="Times New Roman"/>
                <w:bCs/>
                <w:sz w:val="24"/>
              </w:rPr>
              <w:t>。监测布点图见图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Cs w:val="21"/>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3</w:t>
            </w:r>
            <w:r>
              <w:rPr>
                <w:rFonts w:ascii="Times New Roman" w:hAnsi="Times New Roman" w:eastAsia="宋体" w:cs="Times New Roman"/>
                <w:b/>
                <w:sz w:val="24"/>
              </w:rPr>
              <w:t>无组织废气监测点位和监测项目</w:t>
            </w:r>
          </w:p>
          <w:tbl>
            <w:tblPr>
              <w:tblStyle w:val="17"/>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上风向参照点</w:t>
                  </w:r>
                  <w:r>
                    <w:rPr>
                      <w:rFonts w:hint="eastAsia" w:ascii="Times New Roman" w:hAnsi="Times New Roman" w:eastAsia="宋体" w:cs="Times New Roman"/>
                      <w:szCs w:val="21"/>
                    </w:rPr>
                    <w:t>H1</w:t>
                  </w:r>
                </w:p>
              </w:tc>
              <w:tc>
                <w:tcPr>
                  <w:tcW w:w="2758"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448" w:type="dxa"/>
                  <w:vMerge w:val="restart"/>
                  <w:tcBorders>
                    <w:tl2br w:val="nil"/>
                    <w:tr2bl w:val="nil"/>
                  </w:tcBorders>
                  <w:vAlign w:val="center"/>
                </w:tcPr>
                <w:p>
                  <w:pPr>
                    <w:jc w:val="center"/>
                    <w:rPr>
                      <w:rFonts w:ascii="Times New Roman" w:hAnsi="Times New Roman" w:eastAsia="宋体" w:cs="Times New Roman"/>
                      <w:bCs/>
                    </w:rPr>
                  </w:pPr>
                  <w:r>
                    <w:rPr>
                      <w:rFonts w:ascii="Times New Roman" w:hAnsi="Times New Roman" w:eastAsia="宋体" w:cs="Times New Roman"/>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H2</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H3</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H4</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bl>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2、废气监测分析方法</w:t>
            </w:r>
          </w:p>
          <w:p>
            <w:pPr>
              <w:spacing w:line="360" w:lineRule="auto"/>
              <w:rPr>
                <w:rFonts w:ascii="Times New Roman" w:hAnsi="Times New Roman" w:eastAsia="宋体" w:cs="Times New Roman"/>
                <w:bCs/>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废气监测分析方法见表</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4</w:t>
            </w:r>
            <w:r>
              <w:rPr>
                <w:rFonts w:ascii="Times New Roman" w:hAnsi="Times New Roman" w:eastAsia="宋体" w:cs="Times New Roman"/>
                <w:bCs/>
                <w:sz w:val="24"/>
              </w:rPr>
              <w:t>。</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4</w:t>
            </w:r>
            <w:r>
              <w:rPr>
                <w:rFonts w:ascii="Times New Roman" w:hAnsi="Times New Roman" w:eastAsia="宋体" w:cs="Times New Roman"/>
                <w:b/>
                <w:sz w:val="24"/>
              </w:rPr>
              <w:t xml:space="preserve"> 废气监测分析方法</w:t>
            </w:r>
          </w:p>
          <w:tbl>
            <w:tblPr>
              <w:tblStyle w:val="17"/>
              <w:tblW w:w="87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1312"/>
              <w:gridCol w:w="3160"/>
              <w:gridCol w:w="1657"/>
              <w:gridCol w:w="1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2435" w:type="dxa"/>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160"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1657"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cs="Times New Roman"/>
                      <w:b/>
                      <w:bCs/>
                      <w:szCs w:val="21"/>
                    </w:rPr>
                    <w:t>设备</w:t>
                  </w:r>
                </w:p>
              </w:tc>
              <w:tc>
                <w:tcPr>
                  <w:tcW w:w="1448"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5" w:hRule="atLeast"/>
                <w:jc w:val="center"/>
              </w:trPr>
              <w:tc>
                <w:tcPr>
                  <w:tcW w:w="1123" w:type="dxa"/>
                  <w:tcBorders>
                    <w:tl2br w:val="nil"/>
                    <w:tr2bl w:val="nil"/>
                  </w:tcBorders>
                  <w:vAlign w:val="center"/>
                </w:tcPr>
                <w:p>
                  <w:pPr>
                    <w:spacing w:line="288" w:lineRule="auto"/>
                    <w:jc w:val="center"/>
                    <w:rPr>
                      <w:rFonts w:ascii="Times New Roman" w:hAnsi="Times New Roman" w:eastAsia="宋体" w:cs="Times New Roman"/>
                      <w:szCs w:val="21"/>
                    </w:rPr>
                  </w:pPr>
                  <w:r>
                    <w:rPr>
                      <w:rFonts w:hint="eastAsia" w:ascii="Times New Roman" w:hAnsi="Times New Roman" w:eastAsia="宋体" w:cs="Times New Roman"/>
                      <w:szCs w:val="21"/>
                    </w:rPr>
                    <w:t>无组织</w:t>
                  </w:r>
                </w:p>
              </w:tc>
              <w:tc>
                <w:tcPr>
                  <w:tcW w:w="1312"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非甲烷总烃</w:t>
                  </w:r>
                </w:p>
              </w:tc>
              <w:tc>
                <w:tcPr>
                  <w:tcW w:w="316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环境空气 总烃、甲烷和非      甲烷总烃的测定直接进样-气相色谱法法 HJ 604-2017</w:t>
                  </w:r>
                </w:p>
              </w:tc>
              <w:tc>
                <w:tcPr>
                  <w:tcW w:w="16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气相色谱</w:t>
                  </w:r>
                </w:p>
                <w:p>
                  <w:pPr>
                    <w:jc w:val="center"/>
                    <w:rPr>
                      <w:rFonts w:ascii="Times New Roman" w:hAnsi="Times New Roman" w:cs="Times New Roman"/>
                      <w:bCs/>
                      <w:szCs w:val="21"/>
                    </w:rPr>
                  </w:pPr>
                  <w:r>
                    <w:rPr>
                      <w:rFonts w:ascii="Times New Roman" w:hAnsi="Times New Roman" w:cs="Times New Roman"/>
                      <w:szCs w:val="21"/>
                    </w:rPr>
                    <w:t>MD-</w:t>
                  </w:r>
                  <w:r>
                    <w:rPr>
                      <w:rFonts w:hint="eastAsia" w:ascii="Times New Roman" w:hAnsi="Times New Roman" w:cs="Times New Roman"/>
                      <w:szCs w:val="21"/>
                    </w:rPr>
                    <w:t>088</w:t>
                  </w:r>
                </w:p>
              </w:tc>
              <w:tc>
                <w:tcPr>
                  <w:tcW w:w="1448"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0.07mg/m</w:t>
                  </w:r>
                  <w:r>
                    <w:rPr>
                      <w:rFonts w:ascii="Times New Roman" w:hAnsi="Times New Roman" w:eastAsia="宋体" w:cs="Times New Roman"/>
                      <w:szCs w:val="21"/>
                      <w:vertAlign w:val="superscript"/>
                    </w:rPr>
                    <w:t>3</w:t>
                  </w:r>
                </w:p>
              </w:tc>
            </w:tr>
          </w:tbl>
          <w:p>
            <w:pPr>
              <w:adjustRightInd w:val="0"/>
              <w:snapToGrid w:val="0"/>
              <w:spacing w:line="360" w:lineRule="auto"/>
              <w:outlineLvl w:val="0"/>
              <w:rPr>
                <w:rFonts w:ascii="Times New Roman" w:hAnsi="Times New Roman" w:eastAsia="宋体" w:cs="Times New Roman"/>
                <w:b/>
                <w:sz w:val="24"/>
              </w:rPr>
            </w:pPr>
            <w:bookmarkStart w:id="39" w:name="_Toc20647"/>
            <w:bookmarkStart w:id="40" w:name="_Toc30098"/>
            <w:bookmarkStart w:id="41" w:name="_Toc13649"/>
            <w:bookmarkStart w:id="42" w:name="_Toc22872"/>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eastAsia="宋体" w:cs="Times New Roman"/>
                <w:b/>
                <w:sz w:val="24"/>
                <w:lang w:val="en-US" w:eastAsia="zh-CN"/>
              </w:rPr>
              <w:t>3</w:t>
            </w:r>
            <w:r>
              <w:rPr>
                <w:rFonts w:ascii="Times New Roman" w:hAnsi="Times New Roman" w:eastAsia="宋体" w:cs="Times New Roman"/>
                <w:b/>
                <w:sz w:val="24"/>
              </w:rPr>
              <w:t>噪声</w:t>
            </w:r>
            <w:bookmarkEnd w:id="39"/>
            <w:bookmarkEnd w:id="40"/>
            <w:bookmarkEnd w:id="41"/>
            <w:bookmarkEnd w:id="42"/>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w:t>
            </w:r>
            <w:r>
              <w:rPr>
                <w:rFonts w:ascii="Times New Roman" w:hAnsi="Times New Roman" w:cs="Times New Roman"/>
                <w:bCs/>
                <w:sz w:val="24"/>
              </w:rPr>
              <w:t>噪声</w:t>
            </w:r>
            <w:r>
              <w:rPr>
                <w:rFonts w:ascii="Times New Roman" w:hAnsi="Times New Roman" w:eastAsia="宋体" w:cs="Times New Roman"/>
                <w:bCs/>
                <w:sz w:val="24"/>
              </w:rPr>
              <w:t>监测内容</w:t>
            </w:r>
          </w:p>
          <w:p>
            <w:pPr>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bCs/>
                <w:sz w:val="24"/>
              </w:rPr>
              <w:t>本次噪声监测共设置4个监测点，监测点位和监测项目见表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-5。监测布点图见图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-5</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噪声监测点位和监测项目</w:t>
            </w:r>
          </w:p>
          <w:tbl>
            <w:tblPr>
              <w:tblStyle w:val="17"/>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厂界东侧外1m</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等效连续A声级</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连续</w:t>
                  </w:r>
                  <w:r>
                    <w:rPr>
                      <w:rFonts w:ascii="Times New Roman" w:hAnsi="Times New Roman" w:eastAsia="宋体" w:cs="Times New Roman"/>
                      <w:szCs w:val="21"/>
                    </w:rPr>
                    <w:t>监测2天，</w:t>
                  </w:r>
                  <w:r>
                    <w:rPr>
                      <w:rFonts w:ascii="Times New Roman" w:hAnsi="Times New Roman" w:eastAsia="宋体" w:cs="Times New Roman"/>
                      <w:bCs/>
                      <w:szCs w:val="21"/>
                    </w:rPr>
                    <w:t>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厂界西侧外1m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bl>
          <w:p>
            <w:pPr>
              <w:numPr>
                <w:ilvl w:val="0"/>
                <w:numId w:val="7"/>
              </w:num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噪声监测分析方法</w:t>
            </w:r>
          </w:p>
          <w:p>
            <w:pPr>
              <w:spacing w:line="360" w:lineRule="auto"/>
              <w:rPr>
                <w:rFonts w:ascii="Times New Roman" w:hAnsi="Times New Roman" w:eastAsia="宋体" w:cs="Times New Roman"/>
                <w:b/>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 xml:space="preserve"> 噪声监测分析方法见表</w:t>
            </w:r>
            <w:r>
              <w:rPr>
                <w:rFonts w:ascii="Times New Roman" w:hAnsi="Times New Roman" w:cs="Times New Roman"/>
                <w:bCs/>
                <w:sz w:val="24"/>
              </w:rPr>
              <w:t>6</w:t>
            </w:r>
            <w:r>
              <w:rPr>
                <w:rFonts w:ascii="Times New Roman" w:hAnsi="Times New Roman" w:eastAsia="宋体" w:cs="Times New Roman"/>
                <w:bCs/>
                <w:sz w:val="24"/>
              </w:rPr>
              <w:t>-6</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 xml:space="preserve">-6 </w:t>
            </w:r>
            <w:r>
              <w:rPr>
                <w:rFonts w:hint="eastAsia" w:ascii="Times New Roman" w:hAnsi="Times New Roman" w:eastAsia="宋体" w:cs="Times New Roman"/>
                <w:b/>
                <w:sz w:val="24"/>
              </w:rPr>
              <w:t xml:space="preserve">  </w:t>
            </w:r>
            <w:r>
              <w:rPr>
                <w:rFonts w:ascii="Times New Roman" w:hAnsi="Times New Roman" w:eastAsia="宋体" w:cs="Times New Roman"/>
                <w:b/>
                <w:sz w:val="24"/>
              </w:rPr>
              <w:t>噪声监测分析方法</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963"/>
              <w:gridCol w:w="2126"/>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2963"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126"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18" w:type="dxa"/>
                  <w:tcBorders>
                    <w:left w:val="nil"/>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厂界噪声</w:t>
                  </w:r>
                </w:p>
              </w:tc>
              <w:tc>
                <w:tcPr>
                  <w:tcW w:w="2963" w:type="dxa"/>
                  <w:tcBorders>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w:t>
                  </w:r>
                </w:p>
              </w:tc>
              <w:tc>
                <w:tcPr>
                  <w:tcW w:w="2126" w:type="dxa"/>
                  <w:tcBorders>
                    <w:bottom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多功能声级计</w:t>
                  </w:r>
                </w:p>
                <w:p>
                  <w:pPr>
                    <w:jc w:val="center"/>
                    <w:rPr>
                      <w:rFonts w:ascii="Times New Roman" w:hAnsi="Times New Roman" w:eastAsia="宋体" w:cs="Times New Roman"/>
                      <w:szCs w:val="21"/>
                    </w:rPr>
                  </w:pPr>
                  <w:r>
                    <w:rPr>
                      <w:rFonts w:ascii="Times New Roman" w:hAnsi="Times New Roman" w:eastAsia="宋体" w:cs="Times New Roman"/>
                      <w:szCs w:val="21"/>
                    </w:rPr>
                    <w:t>MD-</w:t>
                  </w:r>
                  <w:r>
                    <w:rPr>
                      <w:rFonts w:hint="eastAsia" w:ascii="Times New Roman" w:hAnsi="Times New Roman" w:eastAsia="宋体" w:cs="Times New Roman"/>
                      <w:szCs w:val="21"/>
                    </w:rPr>
                    <w:t>095-04</w:t>
                  </w:r>
                </w:p>
              </w:tc>
              <w:tc>
                <w:tcPr>
                  <w:tcW w:w="2253" w:type="dxa"/>
                  <w:tcBorders>
                    <w:bottom w:val="single" w:color="auto" w:sz="12"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line="360" w:lineRule="auto"/>
              <w:rPr>
                <w:rFonts w:ascii="Times New Roman" w:hAnsi="Times New Roman" w:cs="Times New Roman"/>
                <w:b/>
                <w:sz w:val="24"/>
              </w:rPr>
            </w:pPr>
            <w:r>
              <w:rPr>
                <w:rFonts w:hint="eastAsia" w:ascii="Times New Roman" w:hAnsi="Times New Roman" w:cs="Times New Roman"/>
                <w:b/>
                <w:sz w:val="24"/>
              </w:rPr>
              <w:t>6.1.</w:t>
            </w:r>
            <w:r>
              <w:rPr>
                <w:rFonts w:hint="eastAsia" w:ascii="Times New Roman" w:hAnsi="Times New Roman" w:cs="Times New Roman"/>
                <w:b/>
                <w:sz w:val="24"/>
                <w:lang w:val="en-US" w:eastAsia="zh-CN"/>
              </w:rPr>
              <w:t>4</w:t>
            </w:r>
            <w:r>
              <w:rPr>
                <w:rFonts w:hint="eastAsia" w:ascii="Times New Roman" w:hAnsi="Times New Roman" w:cs="Times New Roman"/>
                <w:b/>
                <w:sz w:val="24"/>
              </w:rPr>
              <w:t>油汽回收</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1、油汽回收监测内容</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本次油汽回收对加油站油汽系统进行监测；监测点位和监测项目见表6-7；</w:t>
            </w:r>
          </w:p>
          <w:p>
            <w:pPr>
              <w:spacing w:line="360" w:lineRule="auto"/>
              <w:ind w:firstLine="480"/>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 xml:space="preserve">7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7"/>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号加油机</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946" w:type="dxa"/>
                  <w:tcBorders>
                    <w:tl2br w:val="nil"/>
                    <w:tr2bl w:val="nil"/>
                  </w:tcBorders>
                </w:tcPr>
                <w:p>
                  <w:pPr>
                    <w:jc w:val="center"/>
                    <w:rPr>
                      <w:rFonts w:ascii="Times New Roman" w:hAnsi="Times New Roman" w:eastAsia="宋体" w:cs="Times New Roman"/>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2946" w:type="dxa"/>
                  <w:tcBorders>
                    <w:tl2br w:val="nil"/>
                    <w:tr2bl w:val="nil"/>
                  </w:tcBorders>
                </w:tcPr>
                <w:p>
                  <w:pPr>
                    <w:jc w:val="center"/>
                    <w:rPr>
                      <w:rFonts w:ascii="Times New Roman" w:hAnsi="Times New Roman" w:eastAsia="宋体" w:cs="Times New Roman"/>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2783"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2417"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278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2417"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11</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bl>
          <w:p>
            <w:pPr>
              <w:spacing w:line="360" w:lineRule="auto"/>
              <w:ind w:firstLine="480"/>
              <w:rPr>
                <w:rFonts w:ascii="Times New Roman" w:hAnsi="Times New Roman" w:cs="Times New Roman"/>
                <w:bCs/>
                <w:sz w:val="24"/>
              </w:rPr>
            </w:pPr>
            <w:r>
              <w:rPr>
                <w:rFonts w:hint="eastAsia" w:ascii="Times New Roman" w:hAnsi="Times New Roman" w:cs="Times New Roman"/>
                <w:bCs/>
                <w:sz w:val="24"/>
              </w:rPr>
              <w:t>2、油气回收监测分析方法</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 xml:space="preserve"> </w:t>
            </w:r>
            <w:r>
              <w:rPr>
                <w:rFonts w:ascii="Times New Roman" w:hAnsi="Times New Roman" w:cs="Times New Roman"/>
                <w:bCs/>
                <w:sz w:val="24"/>
              </w:rPr>
              <w:t xml:space="preserve">  </w:t>
            </w:r>
            <w:r>
              <w:rPr>
                <w:rFonts w:hint="eastAsia" w:ascii="Times New Roman" w:hAnsi="Times New Roman" w:cs="Times New Roman"/>
                <w:bCs/>
                <w:sz w:val="24"/>
              </w:rPr>
              <w:t>油汽回收监测分析方法见表6-8</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8  油汽回收</w:t>
            </w:r>
            <w:r>
              <w:rPr>
                <w:rFonts w:ascii="Times New Roman" w:hAnsi="Times New Roman" w:eastAsia="宋体" w:cs="Times New Roman"/>
                <w:b/>
                <w:sz w:val="24"/>
              </w:rPr>
              <w:t>监测分析方法</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3084"/>
              <w:gridCol w:w="2005"/>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084"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005"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规范性附录A（G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崂应7003型油汽回收多参数检测仪M</w:t>
                  </w:r>
                  <w:r>
                    <w:rPr>
                      <w:rFonts w:ascii="Times New Roman" w:hAnsi="Times New Roman" w:cs="Times New Roman"/>
                      <w:szCs w:val="21"/>
                    </w:rPr>
                    <w:t>D-117</w:t>
                  </w:r>
                </w:p>
              </w:tc>
              <w:tc>
                <w:tcPr>
                  <w:tcW w:w="225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718" w:type="dxa"/>
                  <w:tcBorders>
                    <w:left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密闭性</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w:t>
                  </w:r>
                  <w:r>
                    <w:rPr>
                      <w:rFonts w:ascii="Times New Roman" w:hAnsi="Times New Roman" w:eastAsia="宋体" w:cs="Times New Roman"/>
                      <w:bCs/>
                      <w:szCs w:val="21"/>
                    </w:rPr>
                    <w:t>B</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continue"/>
                  <w:vAlign w:val="center"/>
                </w:tcPr>
                <w:p>
                  <w:pPr>
                    <w:jc w:val="cente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汽液比</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w:t>
                  </w:r>
                  <w:r>
                    <w:rPr>
                      <w:rFonts w:ascii="Times New Roman" w:hAnsi="Times New Roman" w:eastAsia="宋体" w:cs="Times New Roman"/>
                      <w:bCs/>
                      <w:szCs w:val="21"/>
                    </w:rPr>
                    <w:t>C</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continue"/>
                  <w:vAlign w:val="center"/>
                </w:tcPr>
                <w:p>
                  <w:pP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eastAsia="宋体" w:cs="Times New Roman"/>
                <w:b/>
                <w:sz w:val="24"/>
                <w:lang w:val="en-US" w:eastAsia="zh-CN"/>
              </w:rPr>
              <w:t>5</w:t>
            </w:r>
            <w:r>
              <w:rPr>
                <w:rFonts w:ascii="Times New Roman" w:hAnsi="Times New Roman" w:eastAsia="宋体" w:cs="Times New Roman"/>
                <w:b/>
                <w:sz w:val="24"/>
              </w:rPr>
              <w:t>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加油站运营期间产生的生活垃圾，经垃圾桶集中收集后，由环卫部门处理。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油泥与废机油、棉纱等危险废物由加油站委托有资质单位对产生的危废进行处理，不在加油站场区内贮存。</w:t>
            </w: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eastAsia="宋体" w:cs="Times New Roman"/>
                <w:b/>
                <w:bCs/>
                <w:sz w:val="24"/>
              </w:rPr>
            </w:pPr>
            <w:r>
              <w:pict>
                <v:shape id="_x0000_s1090" o:spid="_x0000_s1090" o:spt="32" type="#_x0000_t32" style="position:absolute;left:0pt;margin-left:83.55pt;margin-top:334.05pt;height:0pt;width:279.6pt;z-index:251664384;mso-width-relative:page;mso-height-relative:page;" o:connectortype="straight" filled="f" coordsize="21600,21600">
                  <v:path arrowok="t"/>
                  <v:fill on="f" focussize="0,0"/>
                  <v:stroke/>
                  <v:imagedata o:title=""/>
                  <o:lock v:ext="edit"/>
                </v:shape>
              </w:pict>
            </w:r>
            <w:r>
              <w:rPr>
                <w:rFonts w:ascii="Times New Roman" w:hAnsi="Times New Roman" w:cs="Times New Roman"/>
                <w:b/>
                <w:bCs/>
                <w:sz w:val="24"/>
              </w:rPr>
              <w:t>6</w:t>
            </w:r>
            <w:r>
              <w:rPr>
                <w:rFonts w:ascii="Times New Roman" w:hAnsi="Times New Roman" w:eastAsia="宋体" w:cs="Times New Roman"/>
                <w:b/>
                <w:bCs/>
                <w:sz w:val="24"/>
              </w:rPr>
              <w:t>.1.</w:t>
            </w:r>
            <w:r>
              <w:rPr>
                <w:rFonts w:hint="eastAsia" w:ascii="Times New Roman" w:hAnsi="Times New Roman" w:eastAsia="宋体" w:cs="Times New Roman"/>
                <w:b/>
                <w:bCs/>
                <w:sz w:val="24"/>
                <w:lang w:val="en-US" w:eastAsia="zh-CN"/>
              </w:rPr>
              <w:t>6</w:t>
            </w:r>
            <w:r>
              <w:rPr>
                <w:rFonts w:ascii="Times New Roman" w:hAnsi="Times New Roman" w:eastAsia="宋体" w:cs="Times New Roman"/>
                <w:b/>
                <w:bCs/>
                <w:sz w:val="24"/>
              </w:rPr>
              <w:t>监测布点图及现场监测图</w:t>
            </w:r>
          </w:p>
          <w:p>
            <w:pPr>
              <w:widowControl/>
              <w:jc w:val="left"/>
              <w:rPr>
                <w:rFonts w:ascii="宋体" w:hAnsi="宋体" w:eastAsia="宋体" w:cs="宋体"/>
                <w:kern w:val="0"/>
                <w:sz w:val="24"/>
              </w:rPr>
            </w:pPr>
          </w:p>
          <w:p>
            <w:pPr>
              <w:spacing w:line="360" w:lineRule="auto"/>
              <w:rPr>
                <w:rFonts w:ascii="Times New Roman" w:hAnsi="Times New Roman" w:cs="Times New Roman"/>
                <w:b/>
                <w:bCs/>
                <w:sz w:val="24"/>
              </w:rPr>
            </w:pPr>
          </w:p>
          <w:p>
            <w:pPr>
              <w:spacing w:line="360" w:lineRule="auto"/>
              <w:jc w:val="center"/>
              <w:rPr>
                <w:rFonts w:ascii="Times New Roman" w:hAnsi="Times New Roman" w:cs="Times New Roman"/>
                <w:b/>
                <w:bCs/>
                <w:sz w:val="24"/>
              </w:rPr>
            </w:pPr>
            <w:r>
              <w:pict>
                <v:rect id="_x0000_s1086" o:spid="_x0000_s1086" o:spt="1" style="position:absolute;left:0pt;margin-left:369.6pt;margin-top:149.6pt;height:20.3pt;width:49.25pt;z-index:251661312;mso-width-relative:page;mso-height-relative:page;" stroked="t" coordsize="21600,21600">
                  <v:path/>
                  <v:fill focussize="0,0"/>
                  <v:stroke color="#FFFFFF"/>
                  <v:imagedata o:title=""/>
                  <o:lock v:ext="edit"/>
                  <v:textbox>
                    <w:txbxContent>
                      <w:p>
                        <w:r>
                          <w:t xml:space="preserve">  </w:t>
                        </w:r>
                        <w:r>
                          <w:rPr>
                            <w:rFonts w:hint="eastAsia"/>
                          </w:rPr>
                          <w:t>风向</w:t>
                        </w:r>
                        <w:r>
                          <w:t xml:space="preserve">  </w:t>
                        </w:r>
                      </w:p>
                    </w:txbxContent>
                  </v:textbox>
                </v:rect>
              </w:pict>
            </w:r>
            <w:r>
              <w:pict>
                <v:shape id="_x0000_s1087" o:spid="_x0000_s1087" o:spt="32" type="#_x0000_t32" style="position:absolute;left:0pt;flip:x y;margin-left:355.75pt;margin-top:164.8pt;height:18.6pt;width:40.2pt;z-index:251662336;mso-width-relative:page;mso-height-relative:page;" o:connectortype="straight" filled="f" coordsize="21600,21600">
                  <v:path arrowok="t"/>
                  <v:fill on="f" focussize="0,0"/>
                  <v:stroke endarrow="block"/>
                  <v:imagedata o:title=""/>
                  <o:lock v:ext="edit"/>
                </v:shape>
              </w:pict>
            </w:r>
            <w:r>
              <w:drawing>
                <wp:inline distT="0" distB="0" distL="0" distR="0">
                  <wp:extent cx="5760720" cy="34817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60720" cy="3481705"/>
                          </a:xfrm>
                          <a:prstGeom prst="rect">
                            <a:avLst/>
                          </a:prstGeom>
                        </pic:spPr>
                      </pic:pic>
                    </a:graphicData>
                  </a:graphic>
                </wp:inline>
              </w:drawing>
            </w:r>
            <w:r>
              <w:pict>
                <v:rect id="_x0000_s1088" o:spid="_x0000_s1088" o:spt="1" style="position:absolute;left:0pt;margin-left:69pt;margin-top:247.45pt;height:22.95pt;width:33.6pt;z-index:251663360;mso-width-relative:page;mso-height-relative:page;" stroked="t" coordsize="21600,21600">
                  <v:path/>
                  <v:fill focussize="0,0"/>
                  <v:stroke color="#FFFFFF"/>
                  <v:imagedata o:title=""/>
                  <o:lock v:ext="edit"/>
                  <v:textbox>
                    <w:txbxContent>
                      <w:p>
                        <w:pPr>
                          <w:rPr>
                            <w:sz w:val="24"/>
                          </w:rPr>
                        </w:pPr>
                        <w:r>
                          <w:rPr>
                            <w:rFonts w:hint="eastAsia"/>
                            <w:sz w:val="24"/>
                          </w:rPr>
                          <w:t>注：</w:t>
                        </w:r>
                      </w:p>
                    </w:txbxContent>
                  </v:textbox>
                </v:rect>
              </w:pict>
            </w:r>
          </w:p>
          <w:p>
            <w:pPr>
              <w:spacing w:line="360" w:lineRule="auto"/>
              <w:ind w:firstLine="3373" w:firstLineChars="1400"/>
              <w:rPr>
                <w:rFonts w:ascii="Times New Roman" w:hAnsi="Times New Roman" w:cs="Times New Roman"/>
                <w:b/>
                <w:sz w:val="24"/>
              </w:rPr>
            </w:pPr>
            <w:r>
              <w:rPr>
                <w:rFonts w:ascii="Times New Roman" w:hAnsi="Times New Roman" w:cs="Times New Roman"/>
                <w:b/>
                <w:bCs/>
                <w:sz w:val="24"/>
              </w:rPr>
              <w:t>图6-1 监测布点图</w:t>
            </w:r>
            <w:bookmarkStart w:id="43" w:name="_Toc30705"/>
            <w:bookmarkStart w:id="44" w:name="_Toc17845"/>
            <w:bookmarkStart w:id="45" w:name="_Toc24325"/>
            <w:bookmarkStart w:id="46" w:name="_Toc20816"/>
            <w:r>
              <w:rPr>
                <w:rFonts w:ascii="Times New Roman" w:hAnsi="Times New Roman" w:cs="Times New Roman"/>
                <w:b/>
                <w:sz w:val="24"/>
              </w:rPr>
              <w:t xml:space="preserve">   </w:t>
            </w:r>
            <w:bookmarkEnd w:id="43"/>
            <w:bookmarkEnd w:id="44"/>
            <w:bookmarkEnd w:id="45"/>
            <w:bookmarkEnd w:id="46"/>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2940" w:firstLineChars="1400"/>
              <w:rPr>
                <w:rFonts w:ascii="Times New Roman" w:hAnsi="Times New Roman" w:cs="Times New Roman"/>
              </w:rPr>
            </w:pPr>
          </w:p>
        </w:tc>
      </w:tr>
    </w:tbl>
    <w:p>
      <w:pPr>
        <w:rPr>
          <w:rFonts w:ascii="Times New Roman" w:hAnsi="Times New Roman" w:cs="Times New Roman"/>
        </w:rPr>
      </w:pPr>
    </w:p>
    <w:p>
      <w:pPr>
        <w:pageBreakBefore/>
        <w:spacing w:before="156" w:beforeLines="50" w:line="360" w:lineRule="auto"/>
        <w:outlineLvl w:val="0"/>
        <w:rPr>
          <w:rFonts w:ascii="Times New Roman" w:hAnsi="Times New Roman" w:eastAsia="宋体" w:cs="Times New Roman"/>
          <w:b/>
          <w:sz w:val="28"/>
          <w:szCs w:val="28"/>
        </w:rPr>
      </w:pPr>
      <w:bookmarkStart w:id="47" w:name="_Toc9058"/>
      <w:bookmarkStart w:id="48" w:name="_Toc18169"/>
      <w:r>
        <w:rPr>
          <w:rFonts w:ascii="Times New Roman" w:hAnsi="Times New Roman" w:cs="Times New Roman"/>
          <w:b/>
          <w:sz w:val="28"/>
          <w:szCs w:val="28"/>
        </w:rPr>
        <w:t xml:space="preserve">表七  </w:t>
      </w:r>
      <w:bookmarkEnd w:id="22"/>
      <w:bookmarkEnd w:id="47"/>
      <w:r>
        <w:rPr>
          <w:rFonts w:ascii="Times New Roman" w:hAnsi="Times New Roman" w:cs="Times New Roman"/>
          <w:b/>
          <w:sz w:val="28"/>
          <w:szCs w:val="28"/>
        </w:rPr>
        <w:t>验收监测结果</w:t>
      </w:r>
      <w:bookmarkEnd w:id="48"/>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6" w:hRule="atLeast"/>
          <w:jc w:val="center"/>
        </w:trPr>
        <w:tc>
          <w:tcPr>
            <w:tcW w:w="9288"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7.1 验收监测期间工况记录</w:t>
            </w:r>
          </w:p>
          <w:p>
            <w:pPr>
              <w:spacing w:line="360" w:lineRule="auto"/>
              <w:ind w:firstLine="480" w:firstLineChars="200"/>
              <w:rPr>
                <w:rFonts w:ascii="Times New Roman" w:hAnsi="Times New Roman" w:cs="Times New Roman"/>
                <w:b/>
                <w:bCs/>
                <w:sz w:val="24"/>
              </w:rPr>
            </w:pPr>
            <w:r>
              <w:rPr>
                <w:rFonts w:hint="eastAsia" w:ascii="Times New Roman" w:hAnsi="Times New Roman" w:cs="Times New Roman"/>
                <w:kern w:val="0"/>
                <w:sz w:val="24"/>
              </w:rPr>
              <w:t>2020年04月2</w:t>
            </w:r>
            <w:r>
              <w:rPr>
                <w:rFonts w:ascii="Times New Roman" w:hAnsi="Times New Roman" w:cs="Times New Roman"/>
                <w:kern w:val="0"/>
                <w:sz w:val="24"/>
              </w:rPr>
              <w:t>7</w:t>
            </w:r>
            <w:r>
              <w:rPr>
                <w:rFonts w:hint="eastAsia" w:ascii="Times New Roman" w:hAnsi="Times New Roman" w:cs="Times New Roman"/>
                <w:kern w:val="0"/>
                <w:sz w:val="24"/>
              </w:rPr>
              <w:t>日，2020年06月23日至2020年06月24日</w:t>
            </w:r>
            <w:r>
              <w:rPr>
                <w:rFonts w:ascii="Times New Roman" w:hAnsi="Times New Roman" w:cs="Times New Roman"/>
                <w:kern w:val="0"/>
                <w:sz w:val="24"/>
              </w:rPr>
              <w:t>，</w:t>
            </w:r>
            <w:r>
              <w:rPr>
                <w:rFonts w:hint="eastAsia" w:ascii="Times New Roman" w:hAnsi="Times New Roman" w:eastAsia="宋体" w:cs="Times New Roman"/>
                <w:kern w:val="0"/>
                <w:sz w:val="24"/>
              </w:rPr>
              <w:t>贵州明德工程咨询有限公司</w:t>
            </w:r>
            <w:r>
              <w:rPr>
                <w:rFonts w:ascii="Times New Roman" w:hAnsi="Times New Roman" w:eastAsia="宋体" w:cs="Times New Roman"/>
                <w:kern w:val="0"/>
                <w:sz w:val="24"/>
              </w:rPr>
              <w:t>对</w:t>
            </w:r>
            <w:r>
              <w:rPr>
                <w:rFonts w:hint="eastAsia" w:ascii="Times New Roman" w:hAnsi="Times New Roman" w:eastAsia="宋体" w:cs="Times New Roman"/>
                <w:kern w:val="0"/>
                <w:sz w:val="24"/>
              </w:rPr>
              <w:t>花安高速燕楼服务区加油站二站</w:t>
            </w:r>
            <w:r>
              <w:rPr>
                <w:rFonts w:ascii="Times New Roman" w:hAnsi="Times New Roman" w:eastAsia="宋体" w:cs="Times New Roman"/>
                <w:kern w:val="0"/>
                <w:sz w:val="24"/>
              </w:rPr>
              <w:t xml:space="preserve">进行了现场监测。本项目为汽车加油项目，项目工况无定量性。验收监测期间，项目正常运营中，各项环保设施也正常运行，符合验收监测要求。 </w:t>
            </w:r>
          </w:p>
          <w:p>
            <w:pPr>
              <w:adjustRightInd w:val="0"/>
              <w:snapToGrid w:val="0"/>
              <w:rPr>
                <w:rFonts w:ascii="Times New Roman" w:hAnsi="Times New Roman" w:cs="Times New Roman"/>
                <w:b/>
                <w:bCs/>
                <w:sz w:val="28"/>
                <w:szCs w:val="28"/>
              </w:rPr>
            </w:pPr>
            <w:r>
              <w:rPr>
                <w:rFonts w:ascii="Times New Roman" w:hAnsi="Times New Roman" w:cs="Times New Roman"/>
                <w:b/>
                <w:bCs/>
                <w:sz w:val="28"/>
                <w:szCs w:val="28"/>
              </w:rPr>
              <w:t>7.2 验收监测结果</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1</w:t>
            </w:r>
            <w:r>
              <w:rPr>
                <w:rFonts w:ascii="Times New Roman" w:hAnsi="Times New Roman" w:eastAsia="宋体" w:cs="Times New Roman"/>
                <w:b/>
                <w:bCs/>
                <w:sz w:val="24"/>
              </w:rPr>
              <w:t xml:space="preserve"> 废</w:t>
            </w:r>
            <w:r>
              <w:rPr>
                <w:rFonts w:ascii="Times New Roman" w:hAnsi="Times New Roman" w:cs="Times New Roman"/>
                <w:b/>
                <w:bCs/>
                <w:sz w:val="24"/>
              </w:rPr>
              <w:t>水</w:t>
            </w:r>
            <w:r>
              <w:rPr>
                <w:rFonts w:ascii="Times New Roman" w:hAnsi="Times New Roman" w:eastAsia="宋体" w:cs="Times New Roman"/>
                <w:b/>
                <w:bCs/>
                <w:sz w:val="24"/>
              </w:rPr>
              <w:t>监测及评价结果</w:t>
            </w: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废水监测结果见表7-1</w:t>
            </w:r>
          </w:p>
          <w:p>
            <w:pPr>
              <w:tabs>
                <w:tab w:val="left" w:pos="1350"/>
              </w:tabs>
              <w:spacing w:line="360" w:lineRule="auto"/>
              <w:ind w:firstLine="480" w:firstLineChars="200"/>
              <w:rPr>
                <w:rFonts w:ascii="Times New Roman" w:hAnsi="Times New Roman" w:cs="Times New Roman"/>
                <w:sz w:val="24"/>
              </w:rPr>
            </w:pP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rFonts w:hint="eastAsia" w:ascii="Times New Roman" w:hAnsi="Times New Roman" w:cs="Times New Roman"/>
                <w:sz w:val="24"/>
              </w:rPr>
              <w:t>表7-1废水监测结果</w:t>
            </w:r>
          </w:p>
          <w:tbl>
            <w:tblPr>
              <w:tblStyle w:val="16"/>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监测结果（mg/L）</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w:t>
                  </w:r>
                  <w:r>
                    <w:rPr>
                      <w:rFonts w:hint="eastAsia" w:ascii="Times New Roman" w:hAnsi="Times New Roman" w:eastAsia="宋体" w:cs="Times New Roman"/>
                      <w:b/>
                      <w:szCs w:val="21"/>
                    </w:rPr>
                    <w:t>四</w:t>
                  </w:r>
                  <w:r>
                    <w:rPr>
                      <w:rFonts w:ascii="Times New Roman" w:hAnsi="Times New Roman" w:eastAsia="宋体" w:cs="Times New Roman"/>
                      <w:b/>
                      <w:szCs w:val="21"/>
                    </w:rPr>
                    <w:t>频次</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污水处理设施进水口</w:t>
                  </w: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2020.06.23</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widowControl/>
                    <w:jc w:val="center"/>
                    <w:textAlignment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7</w:t>
                  </w:r>
                  <w:r>
                    <w:rPr>
                      <w:rFonts w:hint="eastAsia" w:ascii="Times New Roman" w:hAnsi="Times New Roman" w:eastAsia="宋体" w:cs="Times New Roman"/>
                      <w:bCs/>
                      <w:szCs w:val="21"/>
                      <w:lang w:val="en-US" w:eastAsia="zh-CN"/>
                    </w:rPr>
                    <w:t>.25</w:t>
                  </w:r>
                </w:p>
              </w:tc>
              <w:tc>
                <w:tcPr>
                  <w:tcW w:w="933"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7.</w:t>
                  </w:r>
                  <w:r>
                    <w:rPr>
                      <w:rFonts w:hint="eastAsia" w:ascii="Times New Roman" w:hAnsi="Times New Roman" w:cs="Times New Roman"/>
                      <w:szCs w:val="21"/>
                    </w:rPr>
                    <w:t>45</w:t>
                  </w:r>
                </w:p>
              </w:tc>
              <w:tc>
                <w:tcPr>
                  <w:tcW w:w="933" w:type="dxa"/>
                  <w:vAlign w:val="center"/>
                </w:tcPr>
                <w:p>
                  <w:pPr>
                    <w:widowControl/>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rPr>
                    <w:t xml:space="preserve"> </w:t>
                  </w:r>
                  <w:r>
                    <w:rPr>
                      <w:rFonts w:ascii="Times New Roman" w:hAnsi="Times New Roman" w:cs="Times New Roman"/>
                      <w:szCs w:val="21"/>
                    </w:rPr>
                    <w:t>7.</w:t>
                  </w:r>
                  <w:r>
                    <w:rPr>
                      <w:rFonts w:hint="eastAsia" w:ascii="Times New Roman" w:hAnsi="Times New Roman" w:cs="Times New Roman"/>
                      <w:szCs w:val="21"/>
                      <w:lang w:val="en-US" w:eastAsia="zh-CN"/>
                    </w:rPr>
                    <w:t>10</w:t>
                  </w:r>
                </w:p>
              </w:tc>
              <w:tc>
                <w:tcPr>
                  <w:tcW w:w="936" w:type="dxa"/>
                  <w:vAlign w:val="center"/>
                </w:tcPr>
                <w:p>
                  <w:pPr>
                    <w:widowControl/>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rPr>
                    <w:t xml:space="preserve"> </w:t>
                  </w:r>
                  <w:r>
                    <w:rPr>
                      <w:rFonts w:ascii="Times New Roman" w:hAnsi="Times New Roman" w:cs="Times New Roman"/>
                      <w:szCs w:val="21"/>
                    </w:rPr>
                    <w:t xml:space="preserve"> 7.</w:t>
                  </w:r>
                  <w:r>
                    <w:rPr>
                      <w:rFonts w:hint="eastAsia" w:ascii="Times New Roman" w:hAnsi="Times New Roman" w:cs="Times New Roman"/>
                      <w:szCs w:val="21"/>
                      <w:lang w:val="en-US" w:eastAsia="zh-CN"/>
                    </w:rPr>
                    <w:t>17</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193</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166</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163</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w:t>
                  </w:r>
                  <w:r>
                    <w:rPr>
                      <w:rFonts w:ascii="Times New Roman" w:hAnsi="Times New Roman" w:eastAsia="等线" w:cs="Times New Roman"/>
                      <w:kern w:val="0"/>
                      <w:szCs w:val="21"/>
                      <w:lang w:bidi="ar"/>
                    </w:rPr>
                    <w:t>71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372</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374</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70</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376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1.65</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1.76</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1.69</w:t>
                  </w:r>
                </w:p>
              </w:tc>
              <w:tc>
                <w:tcPr>
                  <w:tcW w:w="936" w:type="dxa"/>
                  <w:vAlign w:val="center"/>
                </w:tcPr>
                <w:p>
                  <w:pPr>
                    <w:widowControl/>
                    <w:jc w:val="center"/>
                    <w:textAlignment w:val="center"/>
                    <w:rPr>
                      <w:rFonts w:ascii="Times New Roman" w:hAnsi="Times New Roman" w:eastAsia="等线" w:cs="Times New Roman"/>
                      <w:color w:val="000000" w:themeColor="text1"/>
                      <w:kern w:val="0"/>
                      <w:szCs w:val="21"/>
                      <w:lang w:bidi="ar"/>
                    </w:rPr>
                  </w:pPr>
                  <w:r>
                    <w:rPr>
                      <w:rFonts w:ascii="Times New Roman" w:hAnsi="Times New Roman" w:eastAsia="等线" w:cs="Times New Roman"/>
                      <w:color w:val="000000" w:themeColor="text1"/>
                      <w:kern w:val="0"/>
                      <w:szCs w:val="21"/>
                      <w:lang w:bidi="ar"/>
                    </w:rPr>
                    <w:t>1.81</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108</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112</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107</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109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widowControl/>
                    <w:ind w:firstLine="210" w:firstLineChars="10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.22</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.20</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.19</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.11</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.16</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.14</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0.16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2020.06.24</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7</w:t>
                  </w: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43</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w:t>
                  </w:r>
                  <w:r>
                    <w:rPr>
                      <w:rFonts w:hint="eastAsia" w:ascii="Times New Roman" w:hAnsi="Times New Roman" w:eastAsia="宋体" w:cs="Times New Roman"/>
                      <w:kern w:val="0"/>
                      <w:szCs w:val="21"/>
                      <w:lang w:val="en-US" w:eastAsia="zh-CN" w:bidi="ar"/>
                    </w:rPr>
                    <w:t>54</w:t>
                  </w:r>
                </w:p>
              </w:tc>
              <w:tc>
                <w:tcPr>
                  <w:tcW w:w="933" w:type="dxa"/>
                  <w:vAlign w:val="center"/>
                </w:tcPr>
                <w:p>
                  <w:pPr>
                    <w:jc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.6</w:t>
                  </w:r>
                  <w:r>
                    <w:rPr>
                      <w:rFonts w:hint="eastAsia" w:ascii="Times New Roman" w:hAnsi="Times New Roman" w:eastAsia="宋体" w:cs="Times New Roman"/>
                      <w:kern w:val="0"/>
                      <w:szCs w:val="21"/>
                      <w:lang w:val="en-US" w:eastAsia="zh-CN" w:bidi="ar"/>
                    </w:rPr>
                    <w:t>0</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rPr>
                    <w:t>7</w:t>
                  </w:r>
                  <w:r>
                    <w:rPr>
                      <w:rFonts w:ascii="Times New Roman" w:hAnsi="Times New Roman" w:cs="Times New Roman"/>
                      <w:szCs w:val="21"/>
                    </w:rPr>
                    <w:t>.</w:t>
                  </w:r>
                  <w:r>
                    <w:rPr>
                      <w:rFonts w:hint="eastAsia" w:ascii="Times New Roman" w:hAnsi="Times New Roman" w:cs="Times New Roman"/>
                      <w:szCs w:val="21"/>
                      <w:lang w:val="en-US" w:eastAsia="zh-CN"/>
                    </w:rPr>
                    <w:t>33</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59</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154</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181</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156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378</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380</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374</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374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1.58</w:t>
                  </w:r>
                </w:p>
              </w:tc>
              <w:tc>
                <w:tcPr>
                  <w:tcW w:w="933" w:type="dxa"/>
                  <w:vAlign w:val="center"/>
                </w:tcPr>
                <w:p>
                  <w:pPr>
                    <w:jc w:val="center"/>
                    <w:rPr>
                      <w:rFonts w:ascii="Times New Roman" w:hAnsi="Times New Roman" w:eastAsia="宋体" w:cs="Times New Roman"/>
                      <w:color w:val="000000" w:themeColor="text1"/>
                      <w:kern w:val="0"/>
                      <w:szCs w:val="21"/>
                      <w:lang w:bidi="ar"/>
                    </w:rPr>
                  </w:pPr>
                  <w:r>
                    <w:rPr>
                      <w:rFonts w:ascii="Times New Roman" w:hAnsi="Times New Roman" w:eastAsia="宋体" w:cs="Times New Roman"/>
                      <w:color w:val="000000" w:themeColor="text1"/>
                      <w:kern w:val="0"/>
                      <w:szCs w:val="21"/>
                      <w:lang w:bidi="ar"/>
                    </w:rPr>
                    <w:t>1.65</w:t>
                  </w:r>
                </w:p>
              </w:tc>
              <w:tc>
                <w:tcPr>
                  <w:tcW w:w="933" w:type="dxa"/>
                  <w:vAlign w:val="center"/>
                </w:tcPr>
                <w:p>
                  <w:pPr>
                    <w:jc w:val="center"/>
                    <w:rPr>
                      <w:rFonts w:ascii="Times New Roman" w:hAnsi="Times New Roman" w:eastAsia="宋体" w:cs="Times New Roman"/>
                      <w:color w:val="000000" w:themeColor="text1"/>
                      <w:kern w:val="0"/>
                      <w:szCs w:val="21"/>
                      <w:lang w:bidi="ar"/>
                    </w:rPr>
                  </w:pPr>
                  <w:r>
                    <w:rPr>
                      <w:rFonts w:hint="eastAsia" w:ascii="Times New Roman" w:hAnsi="Times New Roman" w:eastAsia="宋体" w:cs="Times New Roman"/>
                      <w:color w:val="000000" w:themeColor="text1"/>
                      <w:kern w:val="0"/>
                      <w:szCs w:val="21"/>
                      <w:lang w:bidi="ar"/>
                    </w:rPr>
                    <w:t>1</w:t>
                  </w:r>
                  <w:r>
                    <w:rPr>
                      <w:rFonts w:ascii="Times New Roman" w:hAnsi="Times New Roman" w:eastAsia="宋体" w:cs="Times New Roman"/>
                      <w:color w:val="000000" w:themeColor="text1"/>
                      <w:kern w:val="0"/>
                      <w:szCs w:val="21"/>
                      <w:lang w:bidi="ar"/>
                    </w:rPr>
                    <w:t>.75</w:t>
                  </w:r>
                </w:p>
              </w:tc>
              <w:tc>
                <w:tcPr>
                  <w:tcW w:w="936" w:type="dxa"/>
                  <w:vAlign w:val="center"/>
                </w:tcPr>
                <w:p>
                  <w:pPr>
                    <w:widowControl/>
                    <w:jc w:val="center"/>
                    <w:textAlignment w:val="center"/>
                    <w:rPr>
                      <w:rFonts w:ascii="Times New Roman" w:hAnsi="Times New Roman" w:eastAsia="等线" w:cs="Times New Roman"/>
                      <w:color w:val="000000" w:themeColor="text1"/>
                      <w:kern w:val="0"/>
                      <w:szCs w:val="21"/>
                      <w:lang w:bidi="ar"/>
                    </w:rPr>
                  </w:pPr>
                  <w:r>
                    <w:rPr>
                      <w:rFonts w:ascii="Times New Roman" w:hAnsi="Times New Roman" w:eastAsia="等线" w:cs="Times New Roman"/>
                      <w:color w:val="000000" w:themeColor="text1"/>
                      <w:kern w:val="0"/>
                      <w:szCs w:val="21"/>
                      <w:lang w:bidi="ar"/>
                    </w:rPr>
                    <w:t>1.71</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18</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116</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116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0.19</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.20</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0.21</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0.22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.20</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.15</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.14</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restart"/>
                  <w:vAlign w:val="center"/>
                </w:tcPr>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污水处理设施出口</w:t>
                  </w: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2020.06.23</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7</w:t>
                  </w: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43</w:t>
                  </w:r>
                </w:p>
              </w:tc>
              <w:tc>
                <w:tcPr>
                  <w:tcW w:w="933" w:type="dxa"/>
                  <w:vAlign w:val="center"/>
                </w:tcPr>
                <w:p>
                  <w:pP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.5</w:t>
                  </w:r>
                  <w:r>
                    <w:rPr>
                      <w:rFonts w:hint="eastAsia" w:ascii="Times New Roman" w:hAnsi="Times New Roman" w:eastAsia="宋体" w:cs="Times New Roman"/>
                      <w:kern w:val="0"/>
                      <w:szCs w:val="21"/>
                      <w:lang w:val="en-US" w:eastAsia="zh-CN" w:bidi="ar"/>
                    </w:rPr>
                    <w:t>1</w:t>
                  </w:r>
                </w:p>
              </w:tc>
              <w:tc>
                <w:tcPr>
                  <w:tcW w:w="933" w:type="dxa"/>
                  <w:vAlign w:val="center"/>
                </w:tcPr>
                <w:p>
                  <w:pP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w:t>
                  </w:r>
                  <w:r>
                    <w:rPr>
                      <w:rFonts w:hint="eastAsia" w:ascii="Times New Roman" w:hAnsi="Times New Roman" w:eastAsia="宋体" w:cs="Times New Roman"/>
                      <w:kern w:val="0"/>
                      <w:szCs w:val="21"/>
                      <w:lang w:val="en-US" w:eastAsia="zh-CN" w:bidi="ar"/>
                    </w:rPr>
                    <w:t>49</w:t>
                  </w:r>
                </w:p>
              </w:tc>
              <w:tc>
                <w:tcPr>
                  <w:tcW w:w="936" w:type="dxa"/>
                  <w:vAlign w:val="center"/>
                </w:tcPr>
                <w:p>
                  <w:pPr>
                    <w:widowControl/>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bidi="ar"/>
                    </w:rPr>
                    <w:t>7</w:t>
                  </w:r>
                  <w:r>
                    <w:rPr>
                      <w:rFonts w:ascii="Times New Roman" w:hAnsi="Times New Roman" w:eastAsia="等线" w:cs="Times New Roman"/>
                      <w:kern w:val="0"/>
                      <w:szCs w:val="21"/>
                      <w:lang w:bidi="ar"/>
                    </w:rPr>
                    <w:t>.</w:t>
                  </w:r>
                  <w:r>
                    <w:rPr>
                      <w:rFonts w:hint="eastAsia" w:ascii="Times New Roman" w:hAnsi="Times New Roman" w:eastAsia="等线" w:cs="Times New Roman"/>
                      <w:kern w:val="0"/>
                      <w:szCs w:val="21"/>
                      <w:lang w:val="en-US" w:eastAsia="zh-CN" w:bidi="ar"/>
                    </w:rPr>
                    <w:t>36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35</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28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33</w:t>
                  </w:r>
                </w:p>
              </w:tc>
              <w:tc>
                <w:tcPr>
                  <w:tcW w:w="936" w:type="dxa"/>
                  <w:vAlign w:val="center"/>
                </w:tcPr>
                <w:p>
                  <w:pPr>
                    <w:widowControl/>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32</w:t>
                  </w:r>
                  <w:r>
                    <w:rPr>
                      <w:rFonts w:hint="eastAsia" w:ascii="Times New Roman" w:hAnsi="Times New Roman" w:eastAsia="等线" w:cs="Times New Roman"/>
                      <w:kern w:val="0"/>
                      <w:szCs w:val="21"/>
                      <w:lang w:bidi="ar"/>
                    </w:rPr>
                    <w:t xml:space="preserve"> </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84</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83</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88</w:t>
                  </w:r>
                </w:p>
              </w:tc>
              <w:tc>
                <w:tcPr>
                  <w:tcW w:w="885" w:type="dxa"/>
                  <w:vAlign w:val="center"/>
                </w:tcPr>
                <w:p>
                  <w:pPr>
                    <w:adjustRightInd w:val="0"/>
                    <w:snapToGrid w:val="0"/>
                    <w:ind w:firstLine="420" w:firstLineChars="200"/>
                    <w:jc w:val="left"/>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1.33</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.36</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.45</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w:t>
                  </w:r>
                  <w:r>
                    <w:rPr>
                      <w:rFonts w:ascii="Times New Roman" w:hAnsi="Times New Roman" w:eastAsia="等线" w:cs="Times New Roman"/>
                      <w:kern w:val="0"/>
                      <w:szCs w:val="21"/>
                      <w:lang w:bidi="ar"/>
                    </w:rPr>
                    <w:t>.41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19.8</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0.0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9.8</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w:t>
                  </w:r>
                  <w:r>
                    <w:rPr>
                      <w:rFonts w:ascii="Times New Roman" w:hAnsi="Times New Roman" w:eastAsia="等线" w:cs="Times New Roman"/>
                      <w:kern w:val="0"/>
                      <w:szCs w:val="21"/>
                      <w:lang w:bidi="ar"/>
                    </w:rPr>
                    <w:t>9.6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.08</w:t>
                  </w:r>
                </w:p>
              </w:tc>
              <w:tc>
                <w:tcPr>
                  <w:tcW w:w="933" w:type="dxa"/>
                  <w:vAlign w:val="center"/>
                </w:tcPr>
                <w:p>
                  <w:pPr>
                    <w:ind w:firstLine="210" w:firstLineChars="100"/>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ND</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ND</w:t>
                  </w:r>
                </w:p>
              </w:tc>
              <w:tc>
                <w:tcPr>
                  <w:tcW w:w="885" w:type="dxa"/>
                  <w:vAlign w:val="center"/>
                </w:tcPr>
                <w:p>
                  <w:pPr>
                    <w:adjustRightInd w:val="0"/>
                    <w:snapToGrid w:val="0"/>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.10</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.15</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.12</w:t>
                  </w:r>
                </w:p>
              </w:tc>
              <w:tc>
                <w:tcPr>
                  <w:tcW w:w="885" w:type="dxa"/>
                  <w:vAlign w:val="center"/>
                </w:tcPr>
                <w:p>
                  <w:pPr>
                    <w:adjustRightInd w:val="0"/>
                    <w:snapToGrid w:val="0"/>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w:t>
                  </w:r>
                </w:p>
              </w:tc>
              <w:tc>
                <w:tcPr>
                  <w:tcW w:w="672" w:type="dxa"/>
                  <w:vAlign w:val="center"/>
                </w:tcPr>
                <w:p>
                  <w:pPr>
                    <w:adjustRightInd w:val="0"/>
                    <w:snapToGrid w:val="0"/>
                    <w:rPr>
                      <w:rFonts w:hint="eastAsia"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6.24</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7</w:t>
                  </w:r>
                  <w:r>
                    <w:rPr>
                      <w:rFonts w:ascii="Times New Roman" w:hAnsi="Times New Roman" w:eastAsia="宋体" w:cs="Times New Roman"/>
                      <w:szCs w:val="21"/>
                    </w:rPr>
                    <w:t>.4</w:t>
                  </w:r>
                  <w:r>
                    <w:rPr>
                      <w:rFonts w:hint="eastAsia" w:ascii="Times New Roman" w:hAnsi="Times New Roman" w:eastAsia="宋体" w:cs="Times New Roman"/>
                      <w:szCs w:val="21"/>
                      <w:lang w:val="en-US" w:eastAsia="zh-CN"/>
                    </w:rPr>
                    <w:t>4</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w:t>
                  </w:r>
                  <w:r>
                    <w:rPr>
                      <w:rFonts w:hint="eastAsia" w:ascii="Times New Roman" w:hAnsi="Times New Roman" w:eastAsia="宋体" w:cs="Times New Roman"/>
                      <w:kern w:val="0"/>
                      <w:szCs w:val="21"/>
                      <w:lang w:val="en-US" w:eastAsia="zh-CN" w:bidi="ar"/>
                    </w:rPr>
                    <w:t>57</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w:t>
                  </w:r>
                  <w:r>
                    <w:rPr>
                      <w:rFonts w:hint="eastAsia" w:ascii="Times New Roman" w:hAnsi="Times New Roman" w:eastAsia="宋体" w:cs="Times New Roman"/>
                      <w:kern w:val="0"/>
                      <w:szCs w:val="21"/>
                      <w:lang w:val="en-US" w:eastAsia="zh-CN" w:bidi="ar"/>
                    </w:rPr>
                    <w:t>31</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bidi="ar"/>
                    </w:rPr>
                    <w:t>7</w:t>
                  </w:r>
                  <w:r>
                    <w:rPr>
                      <w:rFonts w:ascii="Times New Roman" w:hAnsi="Times New Roman" w:eastAsia="等线" w:cs="Times New Roman"/>
                      <w:kern w:val="0"/>
                      <w:szCs w:val="21"/>
                      <w:lang w:bidi="ar"/>
                    </w:rPr>
                    <w:t>.</w:t>
                  </w:r>
                  <w:r>
                    <w:rPr>
                      <w:rFonts w:hint="eastAsia" w:ascii="Times New Roman" w:hAnsi="Times New Roman" w:eastAsia="等线" w:cs="Times New Roman"/>
                      <w:kern w:val="0"/>
                      <w:szCs w:val="21"/>
                      <w:lang w:val="en-US" w:eastAsia="zh-CN" w:bidi="ar"/>
                    </w:rPr>
                    <w:t>37</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37</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w:t>
                  </w:r>
                  <w:r>
                    <w:rPr>
                      <w:rFonts w:ascii="Times New Roman" w:hAnsi="Times New Roman" w:eastAsia="宋体" w:cs="Times New Roman"/>
                      <w:kern w:val="0"/>
                      <w:szCs w:val="21"/>
                      <w:lang w:bidi="ar"/>
                    </w:rPr>
                    <w:t>9</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w:t>
                  </w:r>
                  <w:r>
                    <w:rPr>
                      <w:rFonts w:ascii="Times New Roman" w:hAnsi="Times New Roman" w:eastAsia="宋体" w:cs="Times New Roman"/>
                      <w:kern w:val="0"/>
                      <w:szCs w:val="21"/>
                      <w:lang w:bidi="ar"/>
                    </w:rPr>
                    <w:t>7</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3</w:t>
                  </w:r>
                  <w:r>
                    <w:rPr>
                      <w:rFonts w:ascii="Times New Roman" w:hAnsi="Times New Roman" w:eastAsia="等线" w:cs="Times New Roman"/>
                      <w:kern w:val="0"/>
                      <w:szCs w:val="21"/>
                      <w:lang w:bidi="ar"/>
                    </w:rPr>
                    <w:t>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rPr>
                      <w:rFonts w:ascii="Times New Roman" w:hAnsi="Times New Roman" w:cs="Times New Roman"/>
                      <w:szCs w:val="21"/>
                    </w:rPr>
                  </w:pPr>
                  <w:r>
                    <w:rPr>
                      <w:rFonts w:ascii="Times New Roman" w:hAnsi="Times New Roman" w:cs="Times New Roman"/>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3</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8</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8</w:t>
                  </w:r>
                  <w:r>
                    <w:rPr>
                      <w:rFonts w:ascii="Times New Roman" w:hAnsi="Times New Roman" w:eastAsia="宋体" w:cs="Times New Roman"/>
                      <w:kern w:val="0"/>
                      <w:szCs w:val="21"/>
                      <w:lang w:bidi="ar"/>
                    </w:rPr>
                    <w:t>1</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8</w:t>
                  </w:r>
                  <w:r>
                    <w:rPr>
                      <w:rFonts w:ascii="Times New Roman" w:hAnsi="Times New Roman" w:eastAsia="等线" w:cs="Times New Roman"/>
                      <w:kern w:val="0"/>
                      <w:szCs w:val="21"/>
                      <w:lang w:bidi="ar"/>
                    </w:rPr>
                    <w:t>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.27</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1.29</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.37</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w:t>
                  </w:r>
                  <w:r>
                    <w:rPr>
                      <w:rFonts w:ascii="Times New Roman" w:hAnsi="Times New Roman" w:eastAsia="等线" w:cs="Times New Roman"/>
                      <w:kern w:val="0"/>
                      <w:szCs w:val="21"/>
                      <w:lang w:bidi="ar"/>
                    </w:rPr>
                    <w:t>.34</w:t>
                  </w:r>
                </w:p>
              </w:tc>
              <w:tc>
                <w:tcPr>
                  <w:tcW w:w="885"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9.5</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9.7</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9.4</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w:t>
                  </w:r>
                  <w:r>
                    <w:rPr>
                      <w:rFonts w:ascii="Times New Roman" w:hAnsi="Times New Roman" w:eastAsia="等线" w:cs="Times New Roman"/>
                      <w:kern w:val="0"/>
                      <w:szCs w:val="21"/>
                      <w:lang w:bidi="ar"/>
                    </w:rPr>
                    <w:t>9.8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.06</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N</w:t>
                  </w:r>
                  <w:r>
                    <w:rPr>
                      <w:rFonts w:ascii="Times New Roman" w:hAnsi="Times New Roman" w:eastAsia="宋体" w:cs="Times New Roman"/>
                      <w:kern w:val="0"/>
                      <w:szCs w:val="21"/>
                      <w:lang w:bidi="ar"/>
                    </w:rPr>
                    <w:t>D</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N</w:t>
                  </w:r>
                  <w:r>
                    <w:rPr>
                      <w:rFonts w:ascii="Times New Roman" w:hAnsi="Times New Roman" w:eastAsia="等线" w:cs="Times New Roman"/>
                      <w:kern w:val="0"/>
                      <w:szCs w:val="21"/>
                      <w:lang w:bidi="ar"/>
                    </w:rPr>
                    <w:t>D</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.14</w:t>
                  </w:r>
                </w:p>
              </w:tc>
              <w:tc>
                <w:tcPr>
                  <w:tcW w:w="933" w:type="dxa"/>
                  <w:vAlign w:val="center"/>
                </w:tcPr>
                <w:p>
                  <w:pPr>
                    <w:jc w:val="center"/>
                    <w:rPr>
                      <w:rFonts w:hint="eastAsia"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.14</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.12</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.13</w:t>
                  </w:r>
                </w:p>
              </w:tc>
              <w:tc>
                <w:tcPr>
                  <w:tcW w:w="885" w:type="dxa"/>
                  <w:vAlign w:val="center"/>
                </w:tcPr>
                <w:p>
                  <w:pPr>
                    <w:adjustRightInd w:val="0"/>
                    <w:snapToGrid w:val="0"/>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9072" w:type="dxa"/>
                  <w:gridSpan w:val="9"/>
                  <w:vAlign w:val="center"/>
                </w:tcPr>
                <w:p>
                  <w:pPr>
                    <w:adjustRightInd w:val="0"/>
                    <w:snapToGrid w:val="0"/>
                    <w:rPr>
                      <w:rFonts w:ascii="Times New Roman" w:hAnsi="Times New Roman" w:cs="Times New Roman"/>
                      <w:szCs w:val="21"/>
                    </w:rPr>
                  </w:pPr>
                  <w:r>
                    <w:rPr>
                      <w:rFonts w:hint="eastAsia" w:ascii="Times New Roman" w:hAnsi="Times New Roman" w:cs="Times New Roman"/>
                      <w:szCs w:val="21"/>
                    </w:rPr>
                    <w:t xml:space="preserve">备注： </w:t>
                  </w:r>
                  <w:r>
                    <w:rPr>
                      <w:rFonts w:ascii="Times New Roman" w:hAnsi="Times New Roman" w:cs="Times New Roman"/>
                      <w:szCs w:val="21"/>
                    </w:rPr>
                    <w:t xml:space="preserve">     </w:t>
                  </w:r>
                  <w:r>
                    <w:rPr>
                      <w:rFonts w:hint="eastAsia" w:ascii="Times New Roman" w:hAnsi="Times New Roman" w:cs="Times New Roman"/>
                      <w:szCs w:val="21"/>
                    </w:rPr>
                    <w:t>1</w:t>
                  </w:r>
                  <w:r>
                    <w:rPr>
                      <w:rFonts w:ascii="Times New Roman" w:hAnsi="Times New Roman" w:cs="Times New Roman"/>
                      <w:szCs w:val="21"/>
                    </w:rPr>
                    <w:t>.  ND</w:t>
                  </w:r>
                  <w:r>
                    <w:rPr>
                      <w:rFonts w:hint="eastAsia" w:ascii="Times New Roman" w:hAnsi="Times New Roman" w:cs="Times New Roman"/>
                      <w:szCs w:val="21"/>
                    </w:rPr>
                    <w:t>表示低于方法检出限</w:t>
                  </w:r>
                </w:p>
                <w:p>
                  <w:pPr>
                    <w:adjustRightInd w:val="0"/>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 xml:space="preserve">   </w:t>
                  </w:r>
                  <w:r>
                    <w:rPr>
                      <w:rFonts w:hint="eastAsia" w:ascii="Times New Roman" w:hAnsi="Times New Roman" w:cs="Times New Roman"/>
                      <w:szCs w:val="21"/>
                    </w:rPr>
                    <w:t>2</w:t>
                  </w:r>
                  <w:r>
                    <w:rPr>
                      <w:rFonts w:ascii="Times New Roman" w:hAnsi="Times New Roman" w:cs="Times New Roman"/>
                      <w:szCs w:val="21"/>
                    </w:rPr>
                    <w:t>. 执行</w:t>
                  </w:r>
                  <w:r>
                    <w:t>《</w:t>
                  </w:r>
                  <w:r>
                    <w:rPr>
                      <w:rFonts w:hint="eastAsia"/>
                    </w:rPr>
                    <w:t xml:space="preserve">城市污水再生利用 </w:t>
                  </w:r>
                  <w:r>
                    <w:t xml:space="preserve"> </w:t>
                  </w:r>
                  <w:r>
                    <w:rPr>
                      <w:rFonts w:hint="eastAsia"/>
                    </w:rPr>
                    <w:t>城市杂用水</w:t>
                  </w:r>
                  <w:r>
                    <w:t>》</w:t>
                  </w:r>
                  <w:r>
                    <w:rPr>
                      <w:rFonts w:hint="eastAsia"/>
                    </w:rPr>
                    <w:t xml:space="preserve"> </w:t>
                  </w:r>
                  <w:r>
                    <w:t>(GB</w:t>
                  </w:r>
                  <w:r>
                    <w:rPr>
                      <w:rFonts w:hint="eastAsia"/>
                    </w:rPr>
                    <w:t>/</w:t>
                  </w:r>
                  <w:r>
                    <w:t>T18920-2002) 标准</w:t>
                  </w:r>
                  <w:r>
                    <w:rPr>
                      <w:rFonts w:hint="eastAsia"/>
                      <w:lang w:eastAsia="zh-CN"/>
                    </w:rPr>
                    <w:t>限值</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rPr>
              <w:t>经监测，</w:t>
            </w:r>
            <w:r>
              <w:rPr>
                <w:rFonts w:hint="eastAsia" w:ascii="Times New Roman" w:hAnsi="Times New Roman" w:eastAsia="宋体" w:cs="Times New Roman"/>
                <w:sz w:val="24"/>
                <w:lang w:eastAsia="zh-CN"/>
              </w:rPr>
              <w:t>污水处理设施出水口</w:t>
            </w:r>
            <w:r>
              <w:rPr>
                <w:rFonts w:ascii="Times New Roman" w:hAnsi="Times New Roman" w:eastAsia="宋体" w:cs="Times New Roman"/>
                <w:sz w:val="24"/>
              </w:rPr>
              <w:t>监测点监测结果能满足</w:t>
            </w:r>
            <w:r>
              <w:rPr>
                <w:sz w:val="24"/>
                <w:szCs w:val="24"/>
              </w:rPr>
              <w:t>《</w:t>
            </w:r>
            <w:r>
              <w:rPr>
                <w:rFonts w:hint="eastAsia"/>
                <w:sz w:val="24"/>
                <w:szCs w:val="24"/>
              </w:rPr>
              <w:t xml:space="preserve">城市污水再生利用 </w:t>
            </w:r>
            <w:r>
              <w:rPr>
                <w:sz w:val="24"/>
                <w:szCs w:val="24"/>
              </w:rPr>
              <w:t xml:space="preserve"> </w:t>
            </w:r>
            <w:r>
              <w:rPr>
                <w:rFonts w:hint="eastAsia"/>
                <w:sz w:val="24"/>
                <w:szCs w:val="24"/>
              </w:rPr>
              <w:t>城市杂用水</w:t>
            </w:r>
            <w:r>
              <w:rPr>
                <w:sz w:val="24"/>
                <w:szCs w:val="24"/>
              </w:rPr>
              <w:t>》</w:t>
            </w:r>
            <w:r>
              <w:rPr>
                <w:rFonts w:hint="eastAsia"/>
                <w:sz w:val="24"/>
                <w:szCs w:val="24"/>
              </w:rPr>
              <w:t xml:space="preserve"> </w:t>
            </w:r>
            <w:r>
              <w:rPr>
                <w:sz w:val="24"/>
                <w:szCs w:val="24"/>
              </w:rPr>
              <w:t>(GB</w:t>
            </w:r>
            <w:r>
              <w:rPr>
                <w:rFonts w:hint="eastAsia"/>
                <w:sz w:val="24"/>
                <w:szCs w:val="24"/>
              </w:rPr>
              <w:t>/</w:t>
            </w:r>
            <w:r>
              <w:rPr>
                <w:sz w:val="24"/>
                <w:szCs w:val="24"/>
              </w:rPr>
              <w:t>T18920-2002) 标准</w:t>
            </w:r>
            <w:r>
              <w:rPr>
                <w:rFonts w:ascii="Times New Roman" w:hAnsi="Times New Roman" w:eastAsia="宋体" w:cs="Times New Roman"/>
                <w:sz w:val="24"/>
                <w:szCs w:val="24"/>
              </w:rPr>
              <w:t>限值标准的要求</w:t>
            </w:r>
            <w:r>
              <w:rPr>
                <w:rFonts w:ascii="Times New Roman" w:hAnsi="Times New Roman" w:cs="Times New Roman"/>
                <w:sz w:val="24"/>
                <w:szCs w:val="24"/>
              </w:rPr>
              <w:t>。</w:t>
            </w:r>
          </w:p>
          <w:p>
            <w:pPr>
              <w:tabs>
                <w:tab w:val="left" w:pos="1350"/>
              </w:tabs>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.2.2 废气监测及评价结果</w:t>
            </w:r>
          </w:p>
          <w:p>
            <w:pPr>
              <w:spacing w:line="360" w:lineRule="auto"/>
              <w:ind w:firstLine="564"/>
              <w:rPr>
                <w:rFonts w:ascii="Times New Roman" w:hAnsi="Times New Roman" w:eastAsia="宋体" w:cs="Times New Roman"/>
                <w:sz w:val="24"/>
              </w:rPr>
            </w:pPr>
            <w:r>
              <w:rPr>
                <w:rFonts w:ascii="Times New Roman" w:hAnsi="Times New Roman" w:eastAsia="宋体" w:cs="Times New Roman"/>
                <w:sz w:val="24"/>
              </w:rPr>
              <w:t>无组织废气监测结果见表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2</w:t>
            </w:r>
          </w:p>
          <w:p>
            <w:pPr>
              <w:ind w:firstLine="2891" w:firstLineChars="1200"/>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w:t>
            </w:r>
            <w:r>
              <w:rPr>
                <w:rFonts w:hint="eastAsia" w:ascii="Times New Roman" w:hAnsi="Times New Roman" w:eastAsia="宋体" w:cs="Times New Roman"/>
                <w:b/>
                <w:bCs/>
                <w:sz w:val="24"/>
              </w:rPr>
              <w:t>2</w:t>
            </w:r>
            <w:r>
              <w:rPr>
                <w:rFonts w:ascii="Times New Roman" w:hAnsi="Times New Roman" w:eastAsia="宋体" w:cs="Times New Roman"/>
                <w:b/>
                <w:bCs/>
                <w:sz w:val="24"/>
              </w:rPr>
              <w:t xml:space="preserve"> 无组织废气监测结果</w:t>
            </w:r>
          </w:p>
          <w:tbl>
            <w:tblPr>
              <w:tblStyle w:val="16"/>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监测结果（mg/m</w:t>
                  </w:r>
                  <w:r>
                    <w:rPr>
                      <w:rFonts w:ascii="Times New Roman" w:hAnsi="Times New Roman" w:cs="Times New Roman"/>
                      <w:b/>
                      <w:bCs/>
                      <w:szCs w:val="21"/>
                      <w:vertAlign w:val="superscript"/>
                    </w:rPr>
                    <w:t>3</w:t>
                  </w:r>
                  <w:r>
                    <w:rPr>
                      <w:rFonts w:ascii="Times New Roman" w:hAnsi="Times New Roman" w:cs="Times New Roman"/>
                      <w:b/>
                      <w:bCs/>
                      <w:szCs w:val="21"/>
                    </w:rPr>
                    <w:t>）</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最大值</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H1、厂界上风向1</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6.23</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widowControl/>
                    <w:ind w:firstLine="210" w:firstLineChars="100"/>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ND</w:t>
                  </w:r>
                </w:p>
              </w:tc>
              <w:tc>
                <w:tcPr>
                  <w:tcW w:w="933"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ND</w:t>
                  </w:r>
                </w:p>
              </w:tc>
              <w:tc>
                <w:tcPr>
                  <w:tcW w:w="933" w:type="dxa"/>
                  <w:vAlign w:val="center"/>
                </w:tcPr>
                <w:p>
                  <w:pPr>
                    <w:widowControl/>
                    <w:ind w:firstLine="210" w:firstLineChars="100"/>
                    <w:jc w:val="center"/>
                    <w:textAlignment w:val="center"/>
                    <w:rPr>
                      <w:rFonts w:ascii="Times New Roman" w:hAnsi="Times New Roman" w:cs="Times New Roman"/>
                      <w:szCs w:val="21"/>
                    </w:rPr>
                  </w:pPr>
                  <w:r>
                    <w:rPr>
                      <w:rFonts w:hint="eastAsia" w:ascii="Times New Roman" w:hAnsi="Times New Roman" w:cs="Times New Roman"/>
                      <w:szCs w:val="21"/>
                    </w:rPr>
                    <w:t>N</w:t>
                  </w:r>
                  <w:r>
                    <w:rPr>
                      <w:rFonts w:ascii="Times New Roman" w:hAnsi="Times New Roman" w:cs="Times New Roman"/>
                      <w:szCs w:val="21"/>
                    </w:rPr>
                    <w:t>D</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w:t>
                  </w:r>
                  <w:r>
                    <w:rPr>
                      <w:rFonts w:ascii="Times New Roman" w:hAnsi="Times New Roman" w:cs="Times New Roman"/>
                      <w:szCs w:val="21"/>
                    </w:rPr>
                    <w:t>.08</w:t>
                  </w:r>
                </w:p>
              </w:tc>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6.24</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ND</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ND</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ND</w:t>
                  </w:r>
                </w:p>
              </w:tc>
              <w:tc>
                <w:tcPr>
                  <w:tcW w:w="885" w:type="dxa"/>
                  <w:vMerge w:val="continue"/>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H2、厂界下风向2</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6.23</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cs="Times New Roman"/>
                      <w:szCs w:val="21"/>
                    </w:rPr>
                  </w:pPr>
                  <w:r>
                    <w:rPr>
                      <w:rFonts w:ascii="Times New Roman" w:hAnsi="Times New Roman" w:cs="Times New Roman"/>
                      <w:szCs w:val="21"/>
                    </w:rPr>
                    <w:t>0.11</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0.11</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6.24</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0.11</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0.09</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0.11</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H3、厂界下风向3</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6.23</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ND</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6.24</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ND</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H4、厂界下风向4</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6.23</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0.23</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0.23</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6.24</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0.27</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0.27</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exact"/>
                <w:jc w:val="center"/>
              </w:trPr>
              <w:tc>
                <w:tcPr>
                  <w:tcW w:w="9072" w:type="dxa"/>
                  <w:gridSpan w:val="9"/>
                  <w:vAlign w:val="center"/>
                </w:tcPr>
                <w:p>
                  <w:pPr>
                    <w:adjustRightInd w:val="0"/>
                    <w:snapToGrid w:val="0"/>
                    <w:rPr>
                      <w:rFonts w:ascii="Times New Roman" w:hAnsi="Times New Roman" w:cs="Times New Roman"/>
                      <w:szCs w:val="21"/>
                    </w:rPr>
                  </w:pPr>
                  <w:r>
                    <w:rPr>
                      <w:rFonts w:ascii="Times New Roman" w:hAnsi="Times New Roman" w:cs="Times New Roman"/>
                      <w:szCs w:val="21"/>
                    </w:rPr>
                    <w:t>备注：</w:t>
                  </w:r>
                  <w:r>
                    <w:rPr>
                      <w:rFonts w:hint="eastAsia" w:ascii="Times New Roman" w:hAnsi="Times New Roman" w:cs="Times New Roman"/>
                      <w:szCs w:val="21"/>
                    </w:rPr>
                    <w:t>1.</w:t>
                  </w:r>
                  <w:r>
                    <w:rPr>
                      <w:rFonts w:ascii="Times New Roman" w:hAnsi="Times New Roman" w:cs="Times New Roman"/>
                      <w:szCs w:val="21"/>
                    </w:rPr>
                    <w:t>ND</w:t>
                  </w:r>
                  <w:r>
                    <w:rPr>
                      <w:rFonts w:hint="eastAsia" w:ascii="Times New Roman" w:hAnsi="Times New Roman" w:cs="Times New Roman"/>
                      <w:szCs w:val="21"/>
                    </w:rPr>
                    <w:t>表示低于方法检出限</w:t>
                  </w:r>
                </w:p>
                <w:p>
                  <w:pPr>
                    <w:adjustRightInd w:val="0"/>
                    <w:snapToGrid w:val="0"/>
                    <w:ind w:firstLine="630" w:firstLineChars="300"/>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执行标准：《大气污染物综合排放标准》（GB16297-1996）表2无组织排放标准限值</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经监测，无组织废气</w:t>
            </w:r>
            <w:r>
              <w:rPr>
                <w:rFonts w:ascii="Times New Roman" w:hAnsi="Times New Roman" w:cs="Times New Roman"/>
                <w:sz w:val="24"/>
              </w:rPr>
              <w:t>非甲烷总烃</w:t>
            </w:r>
            <w:r>
              <w:rPr>
                <w:rFonts w:ascii="Times New Roman" w:hAnsi="Times New Roman" w:eastAsia="宋体" w:cs="Times New Roman"/>
                <w:sz w:val="24"/>
              </w:rPr>
              <w:t>监测因子的</w:t>
            </w:r>
            <w:r>
              <w:rPr>
                <w:rFonts w:ascii="Times New Roman" w:hAnsi="Times New Roman" w:cs="Times New Roman"/>
                <w:sz w:val="24"/>
              </w:rPr>
              <w:t>4个</w:t>
            </w:r>
            <w:r>
              <w:rPr>
                <w:rFonts w:ascii="Times New Roman" w:hAnsi="Times New Roman" w:eastAsia="宋体" w:cs="Times New Roman"/>
                <w:sz w:val="24"/>
              </w:rPr>
              <w:t>监测点监测结果均能满足《大气污染物综合排放标准》（GBl6297-1996）表2无组织排放监控浓度限值标准的要求</w:t>
            </w:r>
            <w:r>
              <w:rPr>
                <w:rFonts w:ascii="Times New Roman" w:hAnsi="Times New Roman" w:cs="Times New Roman"/>
                <w:sz w:val="24"/>
              </w:rPr>
              <w:t>。</w:t>
            </w:r>
          </w:p>
          <w:p>
            <w:pPr>
              <w:spacing w:line="360" w:lineRule="auto"/>
              <w:rPr>
                <w:rFonts w:ascii="Times New Roman" w:hAnsi="Times New Roman" w:eastAsia="宋体" w:cs="Times New Roman"/>
                <w:b/>
                <w:bCs/>
                <w:sz w:val="24"/>
              </w:rPr>
            </w:pPr>
            <w:bookmarkStart w:id="49" w:name="_Toc32477"/>
            <w:bookmarkStart w:id="50" w:name="_Toc15557"/>
            <w:bookmarkStart w:id="51" w:name="_Toc20321"/>
            <w:bookmarkStart w:id="52" w:name="_Toc25309"/>
            <w:bookmarkStart w:id="53" w:name="_Toc9250"/>
            <w:bookmarkStart w:id="54" w:name="_Toc13103"/>
            <w:r>
              <w:rPr>
                <w:rFonts w:ascii="Times New Roman" w:hAnsi="Times New Roman" w:cs="Times New Roman"/>
                <w:b/>
                <w:sz w:val="24"/>
              </w:rPr>
              <w:t>7</w:t>
            </w:r>
            <w:r>
              <w:rPr>
                <w:rFonts w:ascii="Times New Roman" w:hAnsi="Times New Roman" w:eastAsia="宋体" w:cs="Times New Roman"/>
                <w:b/>
                <w:sz w:val="24"/>
              </w:rPr>
              <w:t>.2.</w:t>
            </w:r>
            <w:r>
              <w:rPr>
                <w:rFonts w:ascii="Times New Roman" w:hAnsi="Times New Roman" w:cs="Times New Roman"/>
                <w:b/>
                <w:sz w:val="24"/>
              </w:rPr>
              <w:t>3</w:t>
            </w:r>
            <w:r>
              <w:rPr>
                <w:rFonts w:ascii="Times New Roman" w:hAnsi="Times New Roman" w:eastAsia="宋体" w:cs="Times New Roman"/>
                <w:b/>
                <w:sz w:val="24"/>
              </w:rPr>
              <w:t>噪声监测结果</w:t>
            </w:r>
            <w:r>
              <w:rPr>
                <w:rFonts w:ascii="Times New Roman" w:hAnsi="Times New Roman" w:eastAsia="宋体" w:cs="Times New Roman"/>
                <w:b/>
                <w:bCs/>
                <w:sz w:val="24"/>
              </w:rPr>
              <w:t>与评价</w:t>
            </w:r>
            <w:bookmarkEnd w:id="49"/>
            <w:bookmarkEnd w:id="50"/>
            <w:bookmarkEnd w:id="51"/>
            <w:bookmarkEnd w:id="52"/>
            <w:bookmarkEnd w:id="53"/>
            <w:bookmarkEnd w:id="54"/>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sz w:val="24"/>
              </w:rPr>
              <w:t>噪声监测结果见表</w:t>
            </w:r>
            <w:r>
              <w:rPr>
                <w:rFonts w:ascii="Times New Roman" w:hAnsi="Times New Roman" w:cs="Times New Roman"/>
                <w:sz w:val="24"/>
              </w:rPr>
              <w:t>7</w:t>
            </w:r>
            <w:r>
              <w:rPr>
                <w:rFonts w:ascii="Times New Roman" w:hAnsi="Times New Roman" w:eastAsia="宋体" w:cs="Times New Roman"/>
                <w:sz w:val="24"/>
              </w:rPr>
              <w:t>-3</w:t>
            </w:r>
          </w:p>
          <w:p>
            <w:pPr>
              <w:jc w:val="center"/>
              <w:rPr>
                <w:rFonts w:ascii="Times New Roman" w:hAnsi="Times New Roman" w:eastAsia="宋体" w:cs="Times New Roman"/>
                <w:b/>
                <w:bCs/>
                <w:sz w:val="24"/>
              </w:rPr>
            </w:pPr>
          </w:p>
          <w:p>
            <w:pPr>
              <w:jc w:val="center"/>
              <w:rPr>
                <w:rFonts w:ascii="Times New Roman" w:hAnsi="Times New Roman" w:eastAsia="宋体" w:cs="Times New Roman"/>
                <w:b/>
                <w:bCs/>
                <w:sz w:val="24"/>
              </w:rPr>
            </w:pPr>
          </w:p>
          <w:p>
            <w:pPr>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-3</w:t>
            </w:r>
            <w:r>
              <w:rPr>
                <w:rFonts w:hint="eastAsia" w:ascii="Times New Roman" w:hAnsi="Times New Roman" w:cs="Times New Roman"/>
                <w:b/>
                <w:bCs/>
                <w:sz w:val="24"/>
              </w:rPr>
              <w:t xml:space="preserve"> </w:t>
            </w:r>
            <w:r>
              <w:rPr>
                <w:rFonts w:ascii="Times New Roman" w:hAnsi="Times New Roman" w:eastAsia="宋体" w:cs="Times New Roman"/>
                <w:b/>
                <w:bCs/>
                <w:sz w:val="24"/>
              </w:rPr>
              <w:t>噪声监测结果</w:t>
            </w:r>
          </w:p>
          <w:tbl>
            <w:tblPr>
              <w:tblStyle w:val="16"/>
              <w:tblW w:w="89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466"/>
              <w:gridCol w:w="1417"/>
              <w:gridCol w:w="2027"/>
              <w:gridCol w:w="1517"/>
              <w:gridCol w:w="10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blHeader/>
              </w:trPr>
              <w:tc>
                <w:tcPr>
                  <w:tcW w:w="1448"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w:t>
                  </w:r>
                </w:p>
              </w:tc>
              <w:tc>
                <w:tcPr>
                  <w:tcW w:w="1466"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监测日期</w:t>
                  </w:r>
                </w:p>
              </w:tc>
              <w:tc>
                <w:tcPr>
                  <w:tcW w:w="14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监测时间</w:t>
                  </w:r>
                </w:p>
              </w:tc>
              <w:tc>
                <w:tcPr>
                  <w:tcW w:w="2027" w:type="dxa"/>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监测结果</w:t>
                  </w:r>
                </w:p>
              </w:tc>
              <w:tc>
                <w:tcPr>
                  <w:tcW w:w="15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评价标准</w:t>
                  </w:r>
                  <w:r>
                    <w:rPr>
                      <w:rFonts w:ascii="Times New Roman" w:hAnsi="Times New Roman" w:cs="Times New Roman"/>
                      <w:b/>
                      <w:bCs/>
                      <w:szCs w:val="21"/>
                    </w:rPr>
                    <w:t>限值</w:t>
                  </w:r>
                </w:p>
              </w:tc>
              <w:tc>
                <w:tcPr>
                  <w:tcW w:w="1045" w:type="dxa"/>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w:t>
                  </w:r>
                </w:p>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blHeader/>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02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
                      <w:bCs/>
                      <w:szCs w:val="21"/>
                    </w:rPr>
                    <w:t xml:space="preserve">Leq[dB(A)] </w:t>
                  </w:r>
                </w:p>
              </w:tc>
              <w:tc>
                <w:tcPr>
                  <w:tcW w:w="15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045"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N1、厂界东侧外1m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6.23</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hint="eastAsia" w:ascii="Times New Roman" w:hAnsi="Times New Roman" w:cs="Times New Roman"/>
                      <w:color w:val="000000" w:themeColor="text1"/>
                      <w:szCs w:val="21"/>
                    </w:rPr>
                  </w:pPr>
                  <w:r>
                    <w:rPr>
                      <w:rFonts w:ascii="Times New Roman" w:hAnsi="Times New Roman" w:cs="Times New Roman"/>
                      <w:color w:val="000000" w:themeColor="text1"/>
                      <w:szCs w:val="21"/>
                    </w:rPr>
                    <w:t>58.5</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44.9</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r>
                    <w:rPr>
                      <w:rFonts w:ascii="Times New Roman" w:hAnsi="Times New Roman" w:cs="Times New Roman"/>
                      <w:color w:val="000000" w:themeColor="text1"/>
                      <w:szCs w:val="21"/>
                    </w:rPr>
                    <w:t>0.0</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w:t>
                  </w:r>
                  <w:r>
                    <w:rPr>
                      <w:rFonts w:ascii="Times New Roman" w:hAnsi="Times New Roman" w:cs="Times New Roman"/>
                      <w:color w:val="000000" w:themeColor="text1"/>
                      <w:szCs w:val="21"/>
                    </w:rPr>
                    <w:t>7.5</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N2、厂界南侧外1m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6.23</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8.3</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3.0</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0.4</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8.8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N3、厂界西侧外1m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6.23</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1.6</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9.5</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3.5</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1.1</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N4、厂界北侧外1m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6.23</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4.1</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0.4</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0.6</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0.4</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8920" w:type="dxa"/>
                  <w:gridSpan w:val="6"/>
                  <w:tcBorders>
                    <w:tl2br w:val="nil"/>
                    <w:tr2bl w:val="nil"/>
                  </w:tcBorders>
                  <w:vAlign w:val="center"/>
                </w:tcPr>
                <w:p>
                  <w:pPr>
                    <w:widowControl/>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 w:val="21"/>
                      <w:szCs w:val="21"/>
                      <w:lang w:val="en-US" w:eastAsia="zh-CN"/>
                    </w:rPr>
                    <w:t>备注：执行标准</w:t>
                  </w:r>
                  <w:r>
                    <w:rPr>
                      <w:rFonts w:ascii="Times New Roman" w:hAnsi="Times New Roman" w:eastAsia="宋体" w:cs="Times New Roman"/>
                      <w:sz w:val="21"/>
                      <w:szCs w:val="21"/>
                    </w:rPr>
                    <w:t>《工业企业厂界环境噪声排放标准》（GB 12348-2008）中</w:t>
                  </w:r>
                  <w:r>
                    <w:rPr>
                      <w:rFonts w:hint="eastAsia" w:ascii="Times New Roman" w:hAnsi="Times New Roman" w:eastAsia="宋体" w:cs="Times New Roman"/>
                      <w:sz w:val="21"/>
                      <w:szCs w:val="21"/>
                    </w:rPr>
                    <w:t>2</w:t>
                  </w:r>
                  <w:r>
                    <w:rPr>
                      <w:rFonts w:ascii="Times New Roman" w:hAnsi="Times New Roman" w:eastAsia="宋体" w:cs="Times New Roman"/>
                      <w:sz w:val="21"/>
                      <w:szCs w:val="21"/>
                    </w:rPr>
                    <w:t>类</w:t>
                  </w:r>
                  <w:r>
                    <w:rPr>
                      <w:rFonts w:hint="eastAsia" w:ascii="Times New Roman" w:hAnsi="Times New Roman" w:eastAsia="宋体" w:cs="Times New Roman"/>
                      <w:sz w:val="21"/>
                      <w:szCs w:val="21"/>
                    </w:rPr>
                    <w:t>及4a</w:t>
                  </w:r>
                  <w:r>
                    <w:rPr>
                      <w:rFonts w:hint="eastAsia" w:ascii="Times New Roman" w:hAnsi="Times New Roman" w:eastAsia="宋体" w:cs="Times New Roman"/>
                      <w:sz w:val="21"/>
                      <w:szCs w:val="21"/>
                      <w:lang w:eastAsia="zh-CN"/>
                    </w:rPr>
                    <w:t>要求</w:t>
                  </w:r>
                </w:p>
              </w:tc>
            </w:tr>
          </w:tbl>
          <w:p>
            <w:pPr>
              <w:spacing w:line="360" w:lineRule="auto"/>
              <w:ind w:firstLine="480" w:firstLineChars="200"/>
              <w:jc w:val="left"/>
              <w:rPr>
                <w:rFonts w:ascii="Times New Roman" w:hAnsi="Times New Roman" w:eastAsia="宋体" w:cs="Times New Roman"/>
                <w:b/>
                <w:bCs/>
                <w:sz w:val="24"/>
              </w:rPr>
            </w:pPr>
            <w:r>
              <w:rPr>
                <w:rFonts w:ascii="Times New Roman" w:hAnsi="Times New Roman" w:eastAsia="宋体" w:cs="Times New Roman"/>
                <w:sz w:val="24"/>
              </w:rPr>
              <w:t>监测结果表明：现场监测期间，项目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4</w:t>
            </w:r>
            <w:r>
              <w:rPr>
                <w:rFonts w:ascii="Times New Roman" w:hAnsi="Times New Roman" w:eastAsia="宋体" w:cs="Times New Roman"/>
                <w:b/>
                <w:bCs/>
                <w:sz w:val="24"/>
              </w:rPr>
              <w:t xml:space="preserve"> 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加油站运营后产生的生活垃圾，经垃圾桶集中收集后，日产日清，交由环卫部门处理。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pStyle w:val="9"/>
              <w:spacing w:line="360" w:lineRule="auto"/>
              <w:rPr>
                <w:rFonts w:ascii="Times New Roman" w:hAnsi="Times New Roman" w:cs="Times New Roman"/>
                <w:b/>
                <w:bCs/>
              </w:rPr>
            </w:pPr>
            <w:r>
              <w:rPr>
                <w:rFonts w:hint="eastAsia" w:ascii="Times New Roman" w:hAnsi="Times New Roman" w:cs="Times New Roman"/>
                <w:b/>
                <w:bCs/>
              </w:rPr>
              <w:t>7.2.5</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油汽回收监测结果见表7-4</w:t>
            </w:r>
          </w:p>
          <w:p>
            <w:pPr>
              <w:spacing w:line="360" w:lineRule="auto"/>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7</w:t>
            </w:r>
            <w:r>
              <w:rPr>
                <w:rFonts w:ascii="Times New Roman" w:hAnsi="Times New Roman" w:eastAsia="宋体" w:cs="Times New Roman"/>
                <w:b/>
                <w:sz w:val="24"/>
              </w:rPr>
              <w:t>-4</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7"/>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336"/>
              <w:gridCol w:w="852"/>
              <w:gridCol w:w="979"/>
              <w:gridCol w:w="582"/>
              <w:gridCol w:w="564"/>
              <w:gridCol w:w="997"/>
              <w:gridCol w:w="1701"/>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监测点位</w:t>
                  </w:r>
                </w:p>
              </w:tc>
              <w:tc>
                <w:tcPr>
                  <w:tcW w:w="1336"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监测日期</w:t>
                  </w:r>
                </w:p>
              </w:tc>
              <w:tc>
                <w:tcPr>
                  <w:tcW w:w="852"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122" w:type="dxa"/>
                  <w:gridSpan w:val="4"/>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监测结果（</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标准限值</w:t>
                  </w:r>
                </w:p>
              </w:tc>
              <w:tc>
                <w:tcPr>
                  <w:tcW w:w="715"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1336"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020.04.27</w:t>
                  </w:r>
                </w:p>
              </w:tc>
              <w:tc>
                <w:tcPr>
                  <w:tcW w:w="852"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979"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146"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997"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701" w:type="dxa"/>
                  <w:vMerge w:val="restart"/>
                  <w:tcBorders>
                    <w:tl2br w:val="nil"/>
                    <w:tr2bl w:val="nil"/>
                  </w:tcBorders>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40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90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﹤1</w:t>
                  </w:r>
                  <w:r>
                    <w:rPr>
                      <w:rFonts w:hint="eastAsia" w:ascii="Times New Roman" w:hAnsi="Times New Roman" w:eastAsia="宋体" w:cs="Times New Roman"/>
                      <w:bCs/>
                      <w:szCs w:val="21"/>
                    </w:rPr>
                    <w:t>55</w:t>
                  </w:r>
                  <w:r>
                    <w:rPr>
                      <w:rFonts w:ascii="Times New Roman" w:hAnsi="Times New Roman" w:eastAsia="宋体" w:cs="Times New Roman"/>
                      <w:bCs/>
                      <w:szCs w:val="21"/>
                    </w:rPr>
                    <w:t>P</w:t>
                  </w:r>
                  <w:r>
                    <w:rPr>
                      <w:rFonts w:hint="eastAsia" w:ascii="Times New Roman" w:hAnsi="Times New Roman" w:eastAsia="宋体" w:cs="Times New Roman"/>
                      <w:bCs/>
                      <w:szCs w:val="21"/>
                    </w:rPr>
                    <w:t>a</w:t>
                  </w: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号加油机</w:t>
                  </w:r>
                </w:p>
              </w:tc>
              <w:tc>
                <w:tcPr>
                  <w:tcW w:w="1336" w:type="dxa"/>
                  <w:vMerge w:val="continue"/>
                  <w:tcBorders>
                    <w:tl2br w:val="nil"/>
                    <w:tr2bl w:val="nil"/>
                  </w:tcBorders>
                  <w:vAlign w:val="center"/>
                </w:tcPr>
                <w:p>
                  <w:pPr>
                    <w:jc w:val="center"/>
                    <w:rPr>
                      <w:rFonts w:ascii="Times New Roman" w:hAnsi="Times New Roman" w:eastAsia="宋体" w:cs="Times New Roman"/>
                      <w:bCs/>
                      <w:szCs w:val="21"/>
                    </w:rPr>
                  </w:pPr>
                </w:p>
              </w:tc>
              <w:tc>
                <w:tcPr>
                  <w:tcW w:w="852" w:type="dxa"/>
                  <w:vMerge w:val="continue"/>
                  <w:tcBorders>
                    <w:tl2br w:val="nil"/>
                    <w:tr2bl w:val="nil"/>
                  </w:tcBorders>
                  <w:vAlign w:val="center"/>
                </w:tcPr>
                <w:p>
                  <w:pPr>
                    <w:jc w:val="center"/>
                    <w:rPr>
                      <w:rFonts w:ascii="Times New Roman" w:hAnsi="Times New Roman" w:eastAsia="宋体" w:cs="Times New Roman"/>
                      <w:szCs w:val="21"/>
                    </w:rPr>
                  </w:pPr>
                </w:p>
              </w:tc>
              <w:tc>
                <w:tcPr>
                  <w:tcW w:w="979"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31</w:t>
                  </w:r>
                </w:p>
              </w:tc>
              <w:tc>
                <w:tcPr>
                  <w:tcW w:w="1146" w:type="dxa"/>
                  <w:gridSpan w:val="2"/>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42</w:t>
                  </w:r>
                </w:p>
              </w:tc>
              <w:tc>
                <w:tcPr>
                  <w:tcW w:w="99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51</w:t>
                  </w:r>
                </w:p>
              </w:tc>
              <w:tc>
                <w:tcPr>
                  <w:tcW w:w="1701" w:type="dxa"/>
                  <w:vMerge w:val="continue"/>
                  <w:tcBorders>
                    <w:tl2br w:val="nil"/>
                    <w:tr2bl w:val="nil"/>
                  </w:tcBorders>
                  <w:vAlign w:val="center"/>
                </w:tcPr>
                <w:p>
                  <w:pPr>
                    <w:jc w:val="center"/>
                    <w:rPr>
                      <w:rFonts w:ascii="Times New Roman" w:hAnsi="Times New Roman" w:eastAsia="宋体" w:cs="Times New Roman"/>
                      <w:bCs/>
                      <w:szCs w:val="21"/>
                    </w:rPr>
                  </w:pP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号加油机</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97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1146"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99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号加油机</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97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1146"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w:t>
                  </w:r>
                </w:p>
              </w:tc>
              <w:tc>
                <w:tcPr>
                  <w:tcW w:w="99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最小剩余压力限值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5min后压力值大于最小剩余压力限值</w:t>
                  </w:r>
                </w:p>
              </w:tc>
              <w:tc>
                <w:tcPr>
                  <w:tcW w:w="715"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1561" w:type="dxa"/>
                  <w:gridSpan w:val="2"/>
                  <w:tcBorders>
                    <w:tl2br w:val="nil"/>
                    <w:tr2bl w:val="nil"/>
                  </w:tcBorders>
                  <w:vAlign w:val="center"/>
                </w:tcPr>
                <w:p>
                  <w:pPr>
                    <w:ind w:firstLine="420" w:firstLineChars="200"/>
                    <w:rPr>
                      <w:rFonts w:ascii="Times New Roman" w:hAnsi="Times New Roman" w:eastAsia="宋体" w:cs="Times New Roman"/>
                      <w:szCs w:val="21"/>
                    </w:rPr>
                  </w:pPr>
                  <w:r>
                    <w:rPr>
                      <w:rFonts w:ascii="Times New Roman" w:hAnsi="Times New Roman" w:eastAsia="宋体" w:cs="Times New Roman"/>
                      <w:szCs w:val="21"/>
                    </w:rPr>
                    <w:t>497</w:t>
                  </w:r>
                </w:p>
              </w:tc>
              <w:tc>
                <w:tcPr>
                  <w:tcW w:w="1561" w:type="dxa"/>
                  <w:gridSpan w:val="2"/>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481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1.18</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加油站油汽回收系统汽液比均应在1.0~1.2之间</w:t>
                  </w: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1.15</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1.16</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1.19</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1.20</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1.09</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2" w:type="dxa"/>
                  <w:gridSpan w:val="9"/>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备注：液阻、密闭性、汽液比</w:t>
                  </w:r>
                  <w:r>
                    <w:rPr>
                      <w:rFonts w:hint="eastAsia" w:ascii="Times New Roman" w:hAnsi="Times New Roman" w:eastAsia="宋体" w:cs="Times New Roman"/>
                      <w:szCs w:val="21"/>
                      <w:lang w:eastAsia="zh-CN"/>
                    </w:rPr>
                    <w:t>执行标准</w:t>
                  </w:r>
                  <w:r>
                    <w:t>《加油站大气污染物排放标准》(GB20952-2007)</w:t>
                  </w:r>
                  <w:r>
                    <w:rPr>
                      <w:rFonts w:hint="eastAsia"/>
                    </w:rPr>
                    <w:t>要求</w:t>
                  </w:r>
                  <w:r>
                    <w:t>。</w:t>
                  </w:r>
                </w:p>
              </w:tc>
            </w:tr>
          </w:tbl>
          <w:p>
            <w:pPr>
              <w:spacing w:line="360" w:lineRule="auto"/>
              <w:ind w:firstLine="480" w:firstLineChars="200"/>
              <w:rPr>
                <w:rFonts w:ascii="Times New Roman" w:hAnsi="Times New Roman" w:cs="Times New Roman"/>
                <w:bCs/>
                <w:sz w:val="24"/>
                <w:szCs w:val="24"/>
              </w:rPr>
            </w:pPr>
            <w:r>
              <w:rPr>
                <w:rFonts w:hint="eastAsia" w:ascii="Times New Roman" w:hAnsi="Times New Roman" w:eastAsia="宋体" w:cs="Times New Roman"/>
                <w:sz w:val="24"/>
                <w:szCs w:val="24"/>
              </w:rPr>
              <w:t>监测结果表明，</w:t>
            </w:r>
            <w:r>
              <w:rPr>
                <w:rFonts w:hint="eastAsia" w:ascii="Times New Roman" w:hAnsi="Times New Roman" w:eastAsia="宋体" w:cs="Times New Roman"/>
                <w:sz w:val="24"/>
                <w:szCs w:val="24"/>
                <w:lang w:eastAsia="zh-CN"/>
              </w:rPr>
              <w:t>验收监测期间</w:t>
            </w:r>
            <w:r>
              <w:rPr>
                <w:rFonts w:hint="eastAsia" w:ascii="Times New Roman" w:hAnsi="Times New Roman" w:eastAsia="宋体" w:cs="Times New Roman"/>
                <w:sz w:val="24"/>
                <w:szCs w:val="24"/>
              </w:rPr>
              <w:t>液阻、密闭性、汽液比均满足</w:t>
            </w:r>
            <w:r>
              <w:rPr>
                <w:sz w:val="24"/>
                <w:szCs w:val="24"/>
              </w:rPr>
              <w:t>《加油站大气污染物排放标准》(GB20952-2007)</w:t>
            </w:r>
            <w:r>
              <w:rPr>
                <w:rFonts w:hint="eastAsia"/>
                <w:sz w:val="24"/>
                <w:szCs w:val="24"/>
              </w:rPr>
              <w:t>要求</w:t>
            </w:r>
          </w:p>
          <w:p>
            <w:pPr>
              <w:spacing w:line="360" w:lineRule="auto"/>
              <w:ind w:firstLine="562" w:firstLineChars="200"/>
              <w:rPr>
                <w:rFonts w:ascii="Times New Roman" w:hAnsi="Times New Roman" w:eastAsia="宋体" w:cs="Times New Roman"/>
                <w:b/>
                <w:sz w:val="28"/>
                <w:szCs w:val="28"/>
              </w:rPr>
            </w:pPr>
          </w:p>
        </w:tc>
      </w:tr>
    </w:tbl>
    <w:p>
      <w:pPr>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ageBreakBefore/>
        <w:kinsoku w:val="0"/>
        <w:overflowPunct w:val="0"/>
        <w:autoSpaceDE w:val="0"/>
        <w:autoSpaceDN w:val="0"/>
        <w:spacing w:before="156" w:beforeLines="50" w:line="360" w:lineRule="auto"/>
        <w:outlineLvl w:val="0"/>
        <w:rPr>
          <w:rFonts w:ascii="Times New Roman" w:hAnsi="Times New Roman" w:cs="Times New Roman"/>
          <w:b/>
          <w:sz w:val="28"/>
          <w:szCs w:val="28"/>
        </w:rPr>
      </w:pPr>
      <w:bookmarkStart w:id="55" w:name="_Toc2044"/>
      <w:bookmarkStart w:id="56" w:name="_Toc27235"/>
      <w:bookmarkStart w:id="57" w:name="_Toc20547"/>
      <w:r>
        <w:rPr>
          <w:rFonts w:ascii="Times New Roman" w:hAnsi="Times New Roman" w:cs="Times New Roman"/>
          <w:b/>
          <w:sz w:val="28"/>
          <w:szCs w:val="28"/>
        </w:rPr>
        <w:t>表八  环境管理检查</w:t>
      </w:r>
      <w:bookmarkEnd w:id="55"/>
    </w:p>
    <w:tbl>
      <w:tblPr>
        <w:tblStyle w:val="17"/>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6" w:type="dxa"/>
          </w:tcPr>
          <w:p>
            <w:pPr>
              <w:rPr>
                <w:rFonts w:ascii="Times New Roman" w:hAnsi="Times New Roman" w:cs="Times New Roman"/>
                <w:b/>
                <w:bCs/>
                <w:sz w:val="28"/>
                <w:szCs w:val="28"/>
              </w:rPr>
            </w:pPr>
            <w:r>
              <w:rPr>
                <w:rFonts w:ascii="Times New Roman" w:hAnsi="Times New Roman" w:cs="Times New Roman"/>
                <w:b/>
                <w:bCs/>
                <w:sz w:val="28"/>
                <w:szCs w:val="28"/>
              </w:rPr>
              <w:t>8.1 环保审批手续及“三同时”执行情况检查</w:t>
            </w:r>
          </w:p>
          <w:p>
            <w:pPr>
              <w:spacing w:line="360" w:lineRule="auto"/>
              <w:ind w:firstLine="480" w:firstLineChars="200"/>
              <w:rPr>
                <w:rFonts w:ascii="Times New Roman" w:hAnsi="Times New Roman" w:cs="Times New Roman"/>
                <w:sz w:val="24"/>
                <w:szCs w:val="20"/>
              </w:rPr>
            </w:pPr>
            <w:r>
              <w:rPr>
                <w:rFonts w:hint="eastAsia" w:ascii="Times New Roman" w:hAnsi="Times New Roman" w:cs="Times New Roman"/>
                <w:sz w:val="24"/>
              </w:rPr>
              <w:t>随着花溪区经济、交通、运输业的发展，不断增加了该地区汽油、柴油的需求。因此，花溪区花安高速燕楼服务区加油站二站的建设可缓解当地对油品的需求。该项目由贵州交建国储贸易有限公司投资建设，拟设4个双层地埋油罐，其中50m</w:t>
            </w:r>
            <w:r>
              <w:rPr>
                <w:rFonts w:hint="eastAsia" w:ascii="Times New Roman" w:hAnsi="Times New Roman" w:cs="Times New Roman"/>
                <w:sz w:val="24"/>
                <w:vertAlign w:val="superscript"/>
              </w:rPr>
              <w:t>3</w:t>
            </w:r>
            <w:r>
              <w:rPr>
                <w:rFonts w:hint="eastAsia" w:ascii="Times New Roman" w:hAnsi="Times New Roman" w:cs="Times New Roman"/>
                <w:sz w:val="24"/>
              </w:rPr>
              <w:t xml:space="preserve"> 92#、95#汽油储罐各1个，50m</w:t>
            </w:r>
            <w:r>
              <w:rPr>
                <w:rFonts w:hint="eastAsia"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sz w:val="24"/>
                <w:vertAlign w:val="superscript"/>
              </w:rPr>
              <w:t xml:space="preserve"> </w:t>
            </w:r>
            <w:r>
              <w:rPr>
                <w:rFonts w:hint="eastAsia" w:ascii="Times New Roman" w:hAnsi="Times New Roman" w:cs="Times New Roman"/>
                <w:sz w:val="24"/>
              </w:rPr>
              <w:t>0#柴油储罐2个，6台潜泵双油双枪加油机，预计年售柴油1200吨，92#汽油1100吨，95汽油600吨。</w:t>
            </w:r>
          </w:p>
          <w:p>
            <w:pPr>
              <w:adjustRightInd w:val="0"/>
              <w:snapToGrid w:val="0"/>
              <w:spacing w:line="360" w:lineRule="auto"/>
              <w:jc w:val="left"/>
              <w:rPr>
                <w:rFonts w:ascii="Times New Roman" w:hAnsi="Times New Roman" w:eastAsia="宋体"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eastAsia="宋体" w:cs="Times New Roman"/>
                <w:sz w:val="24"/>
              </w:rPr>
              <w:t>《</w:t>
            </w:r>
            <w:r>
              <w:rPr>
                <w:rFonts w:hint="eastAsia" w:ascii="宋体" w:hAnsi="宋体" w:cs="宋体"/>
                <w:b w:val="0"/>
                <w:bCs/>
                <w:sz w:val="24"/>
              </w:rPr>
              <w:t>贵州交建国储贸易有限公司花安高速燕楼服务区加油站二站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r>
              <w:rPr>
                <w:rFonts w:ascii="Times New Roman" w:hAnsi="Times New Roman" w:cs="Times New Roman"/>
                <w:sz w:val="24"/>
              </w:rPr>
              <w:t>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03</w:t>
            </w:r>
            <w:r>
              <w:rPr>
                <w:rFonts w:ascii="Times New Roman" w:hAnsi="Times New Roman" w:cs="Times New Roman"/>
                <w:sz w:val="24"/>
              </w:rPr>
              <w:t>月</w:t>
            </w:r>
            <w:r>
              <w:rPr>
                <w:rFonts w:hint="eastAsia" w:ascii="Times New Roman" w:hAnsi="Times New Roman" w:cs="Times New Roman"/>
                <w:sz w:val="24"/>
              </w:rPr>
              <w:t>20</w:t>
            </w:r>
            <w:r>
              <w:rPr>
                <w:rFonts w:ascii="Times New Roman" w:hAnsi="Times New Roman" w:cs="Times New Roman"/>
                <w:sz w:val="24"/>
              </w:rPr>
              <w:t>日取得</w:t>
            </w:r>
            <w:r>
              <w:rPr>
                <w:rFonts w:hint="eastAsia" w:ascii="Times New Roman" w:hAnsi="Times New Roman" w:cs="Times New Roman"/>
                <w:sz w:val="24"/>
              </w:rPr>
              <w:t>贵阳市花溪区环境保护局</w:t>
            </w:r>
            <w:r>
              <w:rPr>
                <w:rFonts w:ascii="Times New Roman" w:hAnsi="Times New Roman" w:cs="Times New Roman"/>
                <w:sz w:val="24"/>
              </w:rPr>
              <w:t>对</w:t>
            </w:r>
            <w:r>
              <w:rPr>
                <w:rFonts w:ascii="Times New Roman" w:hAnsi="Times New Roman" w:eastAsia="宋体" w:cs="Times New Roman"/>
                <w:sz w:val="24"/>
              </w:rPr>
              <w:t>《</w:t>
            </w:r>
            <w:r>
              <w:rPr>
                <w:rFonts w:hint="eastAsia" w:ascii="宋体" w:hAnsi="宋体" w:cs="宋体"/>
                <w:b w:val="0"/>
                <w:bCs/>
                <w:sz w:val="24"/>
              </w:rPr>
              <w:t>贵州交建国储贸易有限公司花安高速燕楼服务区加油站</w:t>
            </w:r>
            <w:r>
              <w:rPr>
                <w:rFonts w:hint="eastAsia" w:ascii="宋体" w:hAnsi="宋体" w:cs="宋体"/>
                <w:b w:val="0"/>
                <w:bCs/>
                <w:sz w:val="24"/>
                <w:lang w:eastAsia="zh-CN"/>
              </w:rPr>
              <w:t>二</w:t>
            </w:r>
            <w:r>
              <w:rPr>
                <w:rFonts w:hint="eastAsia" w:ascii="宋体" w:hAnsi="宋体" w:cs="宋体"/>
                <w:b w:val="0"/>
                <w:bCs/>
                <w:sz w:val="24"/>
              </w:rPr>
              <w:t>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r>
              <w:rPr>
                <w:rFonts w:ascii="Times New Roman" w:hAnsi="Times New Roman" w:cs="Times New Roman"/>
                <w:sz w:val="24"/>
              </w:rPr>
              <w:t>的</w:t>
            </w:r>
            <w:r>
              <w:rPr>
                <w:rFonts w:hint="eastAsia" w:ascii="Times New Roman" w:hAnsi="Times New Roman" w:cs="Times New Roman"/>
                <w:sz w:val="24"/>
              </w:rPr>
              <w:t>批复，批复文号：花环表字</w:t>
            </w:r>
            <w:r>
              <w:rPr>
                <w:rFonts w:ascii="Calibri" w:hAnsi="Calibri" w:cs="Calibri"/>
                <w:sz w:val="24"/>
              </w:rPr>
              <w:t>[</w:t>
            </w:r>
            <w:r>
              <w:rPr>
                <w:rFonts w:hint="eastAsia" w:ascii="Times New Roman" w:hAnsi="Times New Roman" w:eastAsia="宋体" w:cs="Times New Roman"/>
                <w:sz w:val="24"/>
              </w:rPr>
              <w:t>2017</w:t>
            </w:r>
            <w:r>
              <w:rPr>
                <w:rFonts w:ascii="Calibri" w:hAnsi="Calibri" w:eastAsia="宋体" w:cs="Calibri"/>
                <w:sz w:val="24"/>
              </w:rPr>
              <w:t>]</w:t>
            </w:r>
            <w:r>
              <w:rPr>
                <w:rFonts w:hint="eastAsia" w:ascii="Times New Roman" w:hAnsi="Times New Roman" w:eastAsia="宋体" w:cs="Times New Roman"/>
                <w:sz w:val="24"/>
              </w:rPr>
              <w:t>52号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该项目建设过程中，执行了环境影响评价法和</w:t>
            </w:r>
            <w:r>
              <w:rPr>
                <w:rFonts w:cs="Times New Roman" w:asciiTheme="minorEastAsia" w:hAnsiTheme="minorEastAsia"/>
                <w:sz w:val="24"/>
              </w:rPr>
              <w:t>“三同时”制</w:t>
            </w:r>
            <w:r>
              <w:rPr>
                <w:rFonts w:ascii="Times New Roman" w:hAnsi="Times New Roman" w:cs="Times New Roman"/>
                <w:sz w:val="24"/>
              </w:rPr>
              <w:t>度。环评、环保设计、试生产报批手续基本齐全，环保设施与主体工程同时设计、同时施工、同时投入使用。</w:t>
            </w:r>
          </w:p>
          <w:p>
            <w:pPr>
              <w:rPr>
                <w:rFonts w:ascii="Times New Roman" w:hAnsi="Times New Roman" w:cs="Times New Roman"/>
                <w:b/>
                <w:bCs/>
                <w:sz w:val="28"/>
                <w:szCs w:val="28"/>
              </w:rPr>
            </w:pPr>
            <w:r>
              <w:rPr>
                <w:rFonts w:ascii="Times New Roman" w:hAnsi="Times New Roman" w:cs="Times New Roman"/>
                <w:b/>
                <w:bCs/>
                <w:sz w:val="28"/>
                <w:szCs w:val="28"/>
              </w:rPr>
              <w:t>8.2 环保治理设施的完成、运行、维护情况检查</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项目实际总投资为</w:t>
            </w:r>
            <w:r>
              <w:rPr>
                <w:rFonts w:hint="eastAsia" w:ascii="Times New Roman" w:hAnsi="Times New Roman" w:cs="Times New Roman"/>
                <w:sz w:val="24"/>
              </w:rPr>
              <w:t>400</w:t>
            </w:r>
            <w:r>
              <w:rPr>
                <w:rFonts w:ascii="Times New Roman" w:hAnsi="Times New Roman" w:cs="Times New Roman"/>
                <w:sz w:val="24"/>
              </w:rPr>
              <w:t>万元，</w:t>
            </w:r>
            <w:r>
              <w:rPr>
                <w:rFonts w:hint="eastAsia" w:ascii="Times New Roman" w:hAnsi="Times New Roman" w:cs="Times New Roman"/>
                <w:sz w:val="24"/>
              </w:rPr>
              <w:t>其中</w:t>
            </w:r>
            <w:r>
              <w:rPr>
                <w:rFonts w:ascii="Times New Roman" w:hAnsi="Times New Roman" w:cs="Times New Roman"/>
                <w:sz w:val="24"/>
              </w:rPr>
              <w:t>环保投资</w:t>
            </w:r>
            <w:r>
              <w:rPr>
                <w:rFonts w:hint="eastAsia" w:ascii="Times New Roman" w:hAnsi="Times New Roman" w:cs="Times New Roman"/>
                <w:sz w:val="24"/>
              </w:rPr>
              <w:t>56.3万元（施工期13.1）</w:t>
            </w:r>
            <w:r>
              <w:rPr>
                <w:rFonts w:ascii="Times New Roman" w:hAnsi="Times New Roman" w:cs="Times New Roman"/>
                <w:sz w:val="24"/>
              </w:rPr>
              <w:t>万元，占总投资</w:t>
            </w:r>
            <w:r>
              <w:rPr>
                <w:rFonts w:hint="eastAsia" w:ascii="Times New Roman" w:hAnsi="Times New Roman" w:cs="Times New Roman"/>
                <w:sz w:val="24"/>
              </w:rPr>
              <w:t>14.07</w:t>
            </w:r>
            <w:r>
              <w:rPr>
                <w:rFonts w:ascii="Times New Roman" w:hAnsi="Times New Roman" w:cs="Times New Roman"/>
                <w:sz w:val="24"/>
              </w:rPr>
              <w:t>%，环保设施基本按环评要求建设，目前已经落实到位，运行正常，环保治理设施由使用工段负责运行维护。</w:t>
            </w:r>
          </w:p>
          <w:p>
            <w:pPr>
              <w:rPr>
                <w:rFonts w:ascii="Times New Roman" w:hAnsi="Times New Roman" w:cs="Times New Roman"/>
                <w:b/>
                <w:bCs/>
                <w:sz w:val="28"/>
                <w:szCs w:val="28"/>
              </w:rPr>
            </w:pPr>
            <w:r>
              <w:rPr>
                <w:rFonts w:ascii="Times New Roman" w:hAnsi="Times New Roman" w:cs="Times New Roman"/>
                <w:b/>
                <w:bCs/>
                <w:sz w:val="28"/>
                <w:szCs w:val="28"/>
              </w:rPr>
              <w:t>8.3 环境保护管理制度的建立和执行情况检查</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sz w:val="24"/>
              </w:rPr>
              <w:t>为加强环境保护管理，该公司制定了项目环境保护规章制度作为其环境管理规范，明确了环保职责和实施细则，保证环保工作正常有序地展开，为环保设施的正常稳定运行提供保证。</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8.4 是否编制了突发环境事件应急预案</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项目已编制突发事件应急预案</w:t>
            </w:r>
            <w:r>
              <w:rPr>
                <w:rFonts w:hint="eastAsia" w:ascii="Times New Roman" w:hAnsi="Times New Roman" w:cs="Times New Roman"/>
                <w:sz w:val="24"/>
              </w:rPr>
              <w:t>（520111-2019-122-L）</w:t>
            </w:r>
            <w:r>
              <w:rPr>
                <w:rFonts w:ascii="Times New Roman" w:hAnsi="Times New Roman" w:cs="Times New Roman"/>
                <w:sz w:val="24"/>
              </w:rPr>
              <w:t>。</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8.5 绿化情况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项目厂区有绿化</w:t>
            </w:r>
            <w:r>
              <w:rPr>
                <w:rFonts w:hint="eastAsia" w:ascii="Times New Roman" w:hAnsi="Times New Roman" w:cs="Times New Roman"/>
                <w:color w:val="000000" w:themeColor="text1"/>
                <w:sz w:val="24"/>
              </w:rPr>
              <w:t>面积500m</w:t>
            </w:r>
            <w:r>
              <w:rPr>
                <w:rFonts w:hint="eastAsia" w:ascii="Times New Roman" w:hAnsi="Times New Roman" w:cs="Times New Roman"/>
                <w:color w:val="000000" w:themeColor="text1"/>
                <w:sz w:val="24"/>
                <w:vertAlign w:val="superscript"/>
              </w:rPr>
              <w:t>2</w:t>
            </w:r>
            <w:r>
              <w:rPr>
                <w:rFonts w:hint="eastAsia" w:ascii="Times New Roman" w:hAnsi="Times New Roman" w:cs="Times New Roman"/>
                <w:color w:val="000000" w:themeColor="text1"/>
                <w:sz w:val="24"/>
              </w:rPr>
              <w:t>，占总面积的31.25%</w:t>
            </w:r>
            <w:r>
              <w:rPr>
                <w:rFonts w:ascii="Times New Roman" w:hAnsi="Times New Roman" w:cs="Times New Roman"/>
                <w:color w:val="000000" w:themeColor="text1"/>
                <w:sz w:val="24"/>
              </w:rPr>
              <w:t>，项目应加强厂区绿化建设与维护。</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8.6 环评及批复落实情况</w:t>
            </w: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jc w:val="both"/>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cs="Times New Roman"/>
              </w:rPr>
            </w:pPr>
            <w:r>
              <w:rPr>
                <w:rFonts w:ascii="Times New Roman" w:hAnsi="Times New Roman" w:eastAsia="宋体" w:cs="Times New Roman"/>
                <w:b/>
                <w:bCs/>
                <w:sz w:val="24"/>
              </w:rPr>
              <w:t>表</w:t>
            </w:r>
            <w:r>
              <w:rPr>
                <w:rFonts w:ascii="Times New Roman" w:hAnsi="Times New Roman" w:cs="Times New Roman"/>
                <w:b/>
                <w:bCs/>
                <w:sz w:val="24"/>
              </w:rPr>
              <w:t>8</w:t>
            </w:r>
            <w:r>
              <w:rPr>
                <w:rFonts w:ascii="Times New Roman" w:hAnsi="Times New Roman" w:eastAsia="宋体" w:cs="Times New Roman"/>
                <w:b/>
                <w:bCs/>
                <w:sz w:val="24"/>
              </w:rPr>
              <w:t>-1 营运期环评及批复要求落实情况一览表</w:t>
            </w:r>
          </w:p>
          <w:tbl>
            <w:tblPr>
              <w:tblStyle w:val="17"/>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790"/>
              <w:gridCol w:w="2361"/>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50" w:type="dxa"/>
                  <w:tcBorders>
                    <w:top w:val="single" w:color="auto" w:sz="12" w:space="0"/>
                    <w:lef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2790"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环评要求</w:t>
                  </w:r>
                </w:p>
              </w:tc>
              <w:tc>
                <w:tcPr>
                  <w:tcW w:w="2361"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环评批复要求</w:t>
                  </w:r>
                </w:p>
              </w:tc>
              <w:tc>
                <w:tcPr>
                  <w:tcW w:w="3889" w:type="dxa"/>
                  <w:tcBorders>
                    <w:top w:val="single" w:color="auto" w:sz="12" w:space="0"/>
                    <w:righ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2790" w:type="dxa"/>
                  <w:vAlign w:val="center"/>
                </w:tcPr>
                <w:p>
                  <w:pPr>
                    <w:pStyle w:val="38"/>
                    <w:numPr>
                      <w:ilvl w:val="0"/>
                      <w:numId w:val="8"/>
                    </w:numPr>
                    <w:adjustRightInd w:val="0"/>
                    <w:snapToGrid w:val="0"/>
                    <w:ind w:firstLineChars="0"/>
                    <w:rPr>
                      <w:szCs w:val="21"/>
                    </w:rPr>
                  </w:pPr>
                  <w:r>
                    <w:rPr>
                      <w:rFonts w:hint="eastAsia"/>
                      <w:szCs w:val="21"/>
                    </w:rPr>
                    <w:t>场地隔油沉淀池，2.88m</w:t>
                  </w:r>
                  <w:r>
                    <w:rPr>
                      <w:rFonts w:hint="eastAsia"/>
                      <w:szCs w:val="21"/>
                      <w:vertAlign w:val="superscript"/>
                    </w:rPr>
                    <w:t>3</w:t>
                  </w:r>
                  <w:r>
                    <w:rPr>
                      <w:rFonts w:hint="eastAsia"/>
                      <w:szCs w:val="21"/>
                    </w:rPr>
                    <w:t>，规格：2.4m</w:t>
                  </w:r>
                  <w:r>
                    <w:rPr>
                      <w:szCs w:val="21"/>
                    </w:rPr>
                    <w:t>×</w:t>
                  </w:r>
                  <w:r>
                    <w:rPr>
                      <w:rFonts w:hint="eastAsia"/>
                      <w:szCs w:val="21"/>
                    </w:rPr>
                    <w:t>1.2m</w:t>
                  </w:r>
                  <w:r>
                    <w:rPr>
                      <w:szCs w:val="21"/>
                    </w:rPr>
                    <w:t>×</w:t>
                  </w:r>
                  <w:r>
                    <w:rPr>
                      <w:rFonts w:hint="eastAsia"/>
                      <w:szCs w:val="21"/>
                    </w:rPr>
                    <w:t>1.0m</w:t>
                  </w:r>
                </w:p>
                <w:p>
                  <w:pPr>
                    <w:pStyle w:val="38"/>
                    <w:numPr>
                      <w:ilvl w:val="0"/>
                      <w:numId w:val="8"/>
                    </w:numPr>
                    <w:adjustRightInd w:val="0"/>
                    <w:snapToGrid w:val="0"/>
                    <w:ind w:firstLineChars="0"/>
                    <w:rPr>
                      <w:rFonts w:ascii="Times New Roman" w:hAnsi="Times New Roman" w:eastAsia="宋体" w:cs="Times New Roman"/>
                      <w:kern w:val="0"/>
                      <w:szCs w:val="21"/>
                    </w:rPr>
                  </w:pPr>
                  <w:r>
                    <w:rPr>
                      <w:rFonts w:hint="eastAsia"/>
                      <w:szCs w:val="21"/>
                    </w:rPr>
                    <w:t>站区污水处理站，处理规模2m</w:t>
                  </w:r>
                  <w:r>
                    <w:rPr>
                      <w:rFonts w:hint="eastAsia"/>
                      <w:szCs w:val="21"/>
                      <w:vertAlign w:val="superscript"/>
                    </w:rPr>
                    <w:t>3</w:t>
                  </w:r>
                  <w:r>
                    <w:rPr>
                      <w:rFonts w:hint="eastAsia"/>
                      <w:szCs w:val="21"/>
                    </w:rPr>
                    <w:t>/</w:t>
                  </w:r>
                  <w:r>
                    <w:rPr>
                      <w:szCs w:val="21"/>
                    </w:rPr>
                    <w:t>d</w:t>
                  </w:r>
                  <w:r>
                    <w:rPr>
                      <w:rFonts w:hint="eastAsia"/>
                      <w:szCs w:val="21"/>
                    </w:rPr>
                    <w:t>，，采用“化粪池＋地沟式土地处理系统”工艺</w:t>
                  </w:r>
                </w:p>
                <w:p>
                  <w:pPr>
                    <w:pStyle w:val="38"/>
                    <w:adjustRightInd w:val="0"/>
                    <w:snapToGrid w:val="0"/>
                    <w:ind w:left="408" w:firstLine="0" w:firstLineChars="0"/>
                    <w:rPr>
                      <w:rFonts w:ascii="Times New Roman" w:hAnsi="Times New Roman" w:eastAsia="宋体" w:cs="Times New Roman"/>
                      <w:kern w:val="0"/>
                      <w:szCs w:val="21"/>
                    </w:rPr>
                  </w:pPr>
                  <w:r>
                    <w:rPr>
                      <w:rFonts w:hint="eastAsia"/>
                      <w:szCs w:val="21"/>
                    </w:rPr>
                    <w:t>废水处理达</w:t>
                  </w:r>
                  <w:r>
                    <w:t>《</w:t>
                  </w:r>
                  <w:r>
                    <w:rPr>
                      <w:rFonts w:hint="eastAsia"/>
                    </w:rPr>
                    <w:t>城市污水再生利用 城市杂用水</w:t>
                  </w:r>
                  <w:r>
                    <w:t>》</w:t>
                  </w:r>
                  <w:r>
                    <w:rPr>
                      <w:rFonts w:hint="eastAsia"/>
                    </w:rPr>
                    <w:t xml:space="preserve"> </w:t>
                  </w:r>
                  <w:r>
                    <w:t>(GB</w:t>
                  </w:r>
                  <w:r>
                    <w:rPr>
                      <w:rFonts w:hint="eastAsia"/>
                    </w:rPr>
                    <w:t>/</w:t>
                  </w:r>
                  <w:r>
                    <w:t>T18920-2002) 标准</w:t>
                  </w: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采用雨污分离，雨水经雨水沟排出站外，地面冲洗水经隔油池（水封）处理后和生活污水一起经</w:t>
                  </w:r>
                  <w:r>
                    <w:rPr>
                      <w:rFonts w:hint="eastAsia"/>
                      <w:szCs w:val="21"/>
                    </w:rPr>
                    <w:t>污水处理设施</w:t>
                  </w:r>
                  <w:r>
                    <w:rPr>
                      <w:rFonts w:hint="eastAsia" w:ascii="Times New Roman" w:hAnsi="Times New Roman" w:eastAsia="宋体" w:cs="Times New Roman"/>
                      <w:kern w:val="0"/>
                      <w:szCs w:val="21"/>
                    </w:rPr>
                    <w:t>处理达</w:t>
                  </w:r>
                  <w:r>
                    <w:t>《</w:t>
                  </w:r>
                  <w:r>
                    <w:rPr>
                      <w:rFonts w:hint="eastAsia"/>
                    </w:rPr>
                    <w:t>城市污水再生利用 城市杂用水</w:t>
                  </w:r>
                  <w:r>
                    <w:t>》</w:t>
                  </w:r>
                  <w:r>
                    <w:rPr>
                      <w:rFonts w:hint="eastAsia"/>
                    </w:rPr>
                    <w:t xml:space="preserve"> </w:t>
                  </w:r>
                  <w:r>
                    <w:t>(GB</w:t>
                  </w:r>
                  <w:r>
                    <w:rPr>
                      <w:rFonts w:hint="eastAsia"/>
                    </w:rPr>
                    <w:t>/</w:t>
                  </w:r>
                  <w:r>
                    <w:t>T18920-2002) 标准</w:t>
                  </w:r>
                  <w:r>
                    <w:rPr>
                      <w:rFonts w:hint="eastAsia"/>
                    </w:rPr>
                    <w:t>后综合利用</w:t>
                  </w:r>
                </w:p>
              </w:tc>
              <w:tc>
                <w:tcPr>
                  <w:tcW w:w="3889" w:type="dxa"/>
                  <w:tcBorders>
                    <w:right w:val="nil"/>
                  </w:tcBorders>
                  <w:vAlign w:val="center"/>
                </w:tcPr>
                <w:p>
                  <w:pPr>
                    <w:widowControl/>
                    <w:ind w:firstLine="422" w:firstLineChars="200"/>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w:t>
                  </w:r>
                  <w:r>
                    <w:rPr>
                      <w:rFonts w:hint="eastAsia"/>
                      <w:szCs w:val="21"/>
                    </w:rPr>
                    <w:t>加油作业区地面冲洗废水经隔油池处理后与办公废水一并排入站区污水处理系统；处理达</w:t>
                  </w:r>
                  <w:r>
                    <w:t>《</w:t>
                  </w:r>
                  <w:r>
                    <w:rPr>
                      <w:rFonts w:hint="eastAsia"/>
                    </w:rPr>
                    <w:t>城市污水再生利用 城市杂用水</w:t>
                  </w:r>
                  <w:r>
                    <w:t>》(GB</w:t>
                  </w:r>
                  <w:r>
                    <w:rPr>
                      <w:rFonts w:hint="eastAsia"/>
                    </w:rPr>
                    <w:t>/</w:t>
                  </w:r>
                  <w:r>
                    <w:t>T18920-2002) 标准</w:t>
                  </w:r>
                  <w:r>
                    <w:rPr>
                      <w:rFonts w:hint="eastAsia"/>
                    </w:rPr>
                    <w:t>后用于绿化和洒水降尘，不外排。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2790" w:type="dxa"/>
                  <w:vAlign w:val="center"/>
                </w:tcPr>
                <w:p>
                  <w:pPr>
                    <w:jc w:val="center"/>
                    <w:rPr>
                      <w:snapToGrid w:val="0"/>
                      <w:kern w:val="0"/>
                      <w:szCs w:val="21"/>
                    </w:rPr>
                  </w:pPr>
                  <w:r>
                    <w:rPr>
                      <w:rFonts w:hint="eastAsia" w:ascii="Times New Roman" w:hAnsi="Times New Roman" w:eastAsia="宋体" w:cs="Times New Roman"/>
                      <w:kern w:val="0"/>
                      <w:szCs w:val="21"/>
                    </w:rPr>
                    <w:t>运营期大气环境影响主要为油品挥发产生的非甲烷烃类和汽车尾气。储存罐采用地埋式工艺安放储罐，保持油罐的恒温，减少烃类物质的排放；加强加油站的管理减少汽车滞留时间，加油工人的操作规范教育，减少因人为因素而造成的成品油的损失对大气的影响；并设置油气回收装置，严格管理。该套油气回收系统的液阻、气液比、密闭性均需达到《加油站大气污染物排放标准</w:t>
                  </w:r>
                  <w:r>
                    <w:t>》</w:t>
                  </w:r>
                  <w:r>
                    <w:rPr>
                      <w:rFonts w:hint="eastAsia" w:ascii="Times New Roman" w:hAnsi="Times New Roman" w:eastAsia="宋体" w:cs="Times New Roman"/>
                      <w:kern w:val="0"/>
                      <w:szCs w:val="21"/>
                    </w:rPr>
                    <w:t>（GB20952-2007）的要求，油汽排放浓度</w:t>
                  </w:r>
                  <w:r>
                    <w:rPr>
                      <w:rFonts w:ascii="Calibri" w:hAnsi="Calibri" w:eastAsia="宋体" w:cs="Times New Roman"/>
                      <w:kern w:val="0"/>
                      <w:szCs w:val="21"/>
                    </w:rPr>
                    <w:t>≤</w:t>
                  </w:r>
                  <w:r>
                    <w:rPr>
                      <w:rFonts w:hint="eastAsia" w:ascii="Times New Roman" w:hAnsi="Times New Roman" w:eastAsia="宋体" w:cs="Times New Roman"/>
                      <w:kern w:val="0"/>
                      <w:szCs w:val="21"/>
                    </w:rPr>
                    <w:t>25g/m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w:t>
                  </w:r>
                  <w:r>
                    <w:rPr>
                      <w:rFonts w:hint="eastAsia"/>
                      <w:szCs w:val="21"/>
                    </w:rPr>
                    <w:t>非甲烷总烃达到</w:t>
                  </w:r>
                  <w:r>
                    <w:rPr>
                      <w:szCs w:val="21"/>
                    </w:rPr>
                    <w:t>《大气污染物综合排放标准》（GB16297-1996）表2</w:t>
                  </w:r>
                  <w:r>
                    <w:rPr>
                      <w:snapToGrid w:val="0"/>
                      <w:kern w:val="0"/>
                      <w:szCs w:val="21"/>
                    </w:rPr>
                    <w:t>中的排放限值</w:t>
                  </w:r>
                  <w:r>
                    <w:rPr>
                      <w:rFonts w:hint="eastAsia"/>
                      <w:snapToGrid w:val="0"/>
                      <w:kern w:val="0"/>
                      <w:szCs w:val="21"/>
                    </w:rPr>
                    <w:t>；</w:t>
                  </w:r>
                </w:p>
                <w:p>
                  <w:pPr>
                    <w:widowControl/>
                    <w:ind w:firstLine="420" w:firstLineChars="200"/>
                    <w:jc w:val="left"/>
                    <w:rPr>
                      <w:rFonts w:ascii="Times New Roman" w:hAnsi="Times New Roman" w:eastAsia="宋体" w:cs="Times New Roman"/>
                      <w:kern w:val="0"/>
                      <w:szCs w:val="21"/>
                    </w:rPr>
                  </w:pP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设置卸油和加油油汽回收系统，油汽回收系统处理装置达</w:t>
                  </w:r>
                  <w:r>
                    <w:t>《</w:t>
                  </w:r>
                  <w:r>
                    <w:rPr>
                      <w:rFonts w:hint="eastAsia"/>
                    </w:rPr>
                    <w:t>加油站大气污染物排放标准</w:t>
                  </w:r>
                  <w:r>
                    <w:t>》</w:t>
                  </w:r>
                  <w:r>
                    <w:rPr>
                      <w:rFonts w:hint="eastAsia"/>
                    </w:rPr>
                    <w:t>（G</w:t>
                  </w:r>
                  <w:r>
                    <w:t>B20952-2007</w:t>
                  </w:r>
                  <w:r>
                    <w:rPr>
                      <w:rFonts w:hint="eastAsia"/>
                    </w:rPr>
                    <w:t>）要求，油汽排放浓度</w:t>
                  </w:r>
                  <w:r>
                    <w:rPr>
                      <w:rFonts w:ascii="Calibri" w:hAnsi="Calibri" w:eastAsia="宋体" w:cs="Times New Roman"/>
                      <w:kern w:val="0"/>
                      <w:szCs w:val="21"/>
                    </w:rPr>
                    <w:t>≤</w:t>
                  </w:r>
                  <w:r>
                    <w:rPr>
                      <w:rFonts w:hint="eastAsia" w:ascii="Times New Roman" w:hAnsi="Times New Roman" w:eastAsia="宋体" w:cs="Times New Roman"/>
                      <w:kern w:val="0"/>
                      <w:szCs w:val="21"/>
                    </w:rPr>
                    <w:t>25g/m</w:t>
                  </w:r>
                  <w:r>
                    <w:rPr>
                      <w:rFonts w:hint="eastAsia" w:ascii="Times New Roman" w:hAnsi="Times New Roman" w:eastAsia="宋体" w:cs="Times New Roman"/>
                      <w:kern w:val="0"/>
                      <w:szCs w:val="21"/>
                      <w:vertAlign w:val="superscript"/>
                    </w:rPr>
                    <w:t>3</w:t>
                  </w:r>
                  <w:r>
                    <w:rPr>
                      <w:rFonts w:hint="eastAsia"/>
                    </w:rPr>
                    <w:t>。</w:t>
                  </w:r>
                </w:p>
              </w:tc>
              <w:tc>
                <w:tcPr>
                  <w:tcW w:w="3889" w:type="dxa"/>
                  <w:tcBorders>
                    <w:right w:val="nil"/>
                  </w:tcBorders>
                  <w:vAlign w:val="center"/>
                </w:tcPr>
                <w:p>
                  <w:pPr>
                    <w:adjustRightInd w:val="0"/>
                    <w:snapToGrid w:val="0"/>
                    <w:ind w:firstLine="422" w:firstLineChars="200"/>
                    <w:rPr>
                      <w:rFonts w:ascii="Times New Roman" w:hAnsi="Times New Roman" w:cs="Times New Roman"/>
                      <w:szCs w:val="21"/>
                    </w:rPr>
                  </w:pPr>
                  <w:r>
                    <w:rPr>
                      <w:rFonts w:ascii="Times New Roman" w:hAnsi="Times New Roman" w:cs="Times New Roman"/>
                      <w:b/>
                      <w:bCs/>
                      <w:kern w:val="0"/>
                      <w:szCs w:val="21"/>
                    </w:rPr>
                    <w:t>治理措施：</w:t>
                  </w:r>
                  <w:r>
                    <w:rPr>
                      <w:rFonts w:ascii="Times New Roman" w:hAnsi="Times New Roman" w:cs="Times New Roman"/>
                      <w:szCs w:val="21"/>
                    </w:rPr>
                    <w:t>本项目设置油气回收系统，包括卸油油气回收系统和加油油气回收系统。</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pacing w:val="6"/>
                      <w:szCs w:val="21"/>
                    </w:rPr>
                    <w:t>非甲烷总烃类</w:t>
                  </w:r>
                  <w:r>
                    <w:rPr>
                      <w:rFonts w:ascii="Times New Roman" w:hAnsi="Times New Roman" w:cs="Times New Roman"/>
                      <w:szCs w:val="21"/>
                    </w:rPr>
                    <w:t>废气：加油站在汽油系统设密闭卸油油气回收系统、加油油气回收系统及油罐</w:t>
                  </w:r>
                  <w:r>
                    <w:rPr>
                      <w:rFonts w:hint="eastAsia" w:ascii="Times New Roman" w:hAnsi="Times New Roman" w:cs="Times New Roman"/>
                      <w:szCs w:val="21"/>
                    </w:rPr>
                    <w:t>大</w:t>
                  </w:r>
                  <w:r>
                    <w:rPr>
                      <w:rFonts w:ascii="Times New Roman" w:hAnsi="Times New Roman" w:cs="Times New Roman"/>
                      <w:szCs w:val="21"/>
                    </w:rPr>
                    <w:t>小呼吸油气后处理装置，并在通气管管口加装阻火器，对柴油系统设置卸油回气管。这样可以一定程度上减少非甲烷总烃的排放。</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项目采用</w:t>
                  </w:r>
                  <w:r>
                    <w:rPr>
                      <w:rFonts w:hint="eastAsia" w:ascii="Times New Roman" w:hAnsi="Times New Roman" w:cs="Times New Roman"/>
                      <w:szCs w:val="21"/>
                    </w:rPr>
                    <w:t>双层地埋储罐</w:t>
                  </w:r>
                  <w:r>
                    <w:rPr>
                      <w:rFonts w:ascii="Times New Roman" w:hAnsi="Times New Roman" w:cs="Times New Roman"/>
                      <w:szCs w:val="21"/>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9"/>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（2）对于汽车尾气：本项目通过加强绿化、加油车辆的管理及自然扩散，汽车尾气对环境影响较小。</w:t>
                  </w:r>
                </w:p>
                <w:p>
                  <w:pPr>
                    <w:pStyle w:val="9"/>
                    <w:tabs>
                      <w:tab w:val="left" w:pos="2841"/>
                    </w:tabs>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本项目通过设置油气回收系统、自然扩散、加强绿化及加油车辆管理，项目产生的非甲烷总烃</w:t>
                  </w:r>
                  <w:r>
                    <w:rPr>
                      <w:rFonts w:hint="eastAsia" w:ascii="Times New Roman" w:hAnsi="Times New Roman" w:eastAsia="宋体" w:cs="Times New Roman"/>
                      <w:szCs w:val="21"/>
                    </w:rPr>
                    <w:t>达</w:t>
                  </w:r>
                  <w:r>
                    <w:rPr>
                      <w:sz w:val="21"/>
                      <w:szCs w:val="21"/>
                    </w:rPr>
                    <w:t>《</w:t>
                  </w:r>
                  <w:r>
                    <w:rPr>
                      <w:rFonts w:hint="eastAsia"/>
                      <w:sz w:val="21"/>
                      <w:szCs w:val="21"/>
                    </w:rPr>
                    <w:t>大气污染物综合排放标准</w:t>
                  </w:r>
                  <w:r>
                    <w:rPr>
                      <w:sz w:val="21"/>
                      <w:szCs w:val="21"/>
                    </w:rPr>
                    <w:t>》</w:t>
                  </w:r>
                  <w:r>
                    <w:rPr>
                      <w:rFonts w:hint="eastAsia"/>
                      <w:sz w:val="21"/>
                      <w:szCs w:val="21"/>
                    </w:rPr>
                    <w:t>（G</w:t>
                  </w:r>
                  <w:r>
                    <w:rPr>
                      <w:sz w:val="21"/>
                      <w:szCs w:val="21"/>
                    </w:rPr>
                    <w:t>B16297-19</w:t>
                  </w:r>
                  <w:r>
                    <w:rPr>
                      <w:rFonts w:hint="eastAsia"/>
                      <w:sz w:val="21"/>
                      <w:szCs w:val="21"/>
                    </w:rPr>
                    <w:t>96）要求，</w:t>
                  </w:r>
                  <w:r>
                    <w:rPr>
                      <w:rFonts w:hint="eastAsia" w:ascii="Times New Roman" w:hAnsi="Times New Roman" w:eastAsia="宋体" w:cs="Times New Roman"/>
                      <w:sz w:val="21"/>
                      <w:szCs w:val="21"/>
                    </w:rPr>
                    <w:t>油汽回收系统采取了比环评及环评批复更先进设备，油汽不外排，液阻、密闭性、汽液比达</w:t>
                  </w:r>
                  <w:r>
                    <w:rPr>
                      <w:sz w:val="21"/>
                      <w:szCs w:val="21"/>
                    </w:rPr>
                    <w:t>《</w:t>
                  </w:r>
                  <w:r>
                    <w:rPr>
                      <w:rFonts w:hint="eastAsia"/>
                      <w:sz w:val="21"/>
                      <w:szCs w:val="21"/>
                    </w:rPr>
                    <w:t>加油站大气污染物排放标准</w:t>
                  </w:r>
                  <w:r>
                    <w:rPr>
                      <w:sz w:val="21"/>
                      <w:szCs w:val="21"/>
                    </w:rPr>
                    <w:t>》</w:t>
                  </w:r>
                  <w:r>
                    <w:rPr>
                      <w:rFonts w:hint="eastAsia"/>
                      <w:sz w:val="21"/>
                      <w:szCs w:val="21"/>
                    </w:rPr>
                    <w:t>（G</w:t>
                  </w:r>
                  <w:r>
                    <w:rPr>
                      <w:sz w:val="21"/>
                      <w:szCs w:val="21"/>
                    </w:rPr>
                    <w:t>B20952-2007</w:t>
                  </w:r>
                  <w:r>
                    <w:rPr>
                      <w:rFonts w:hint="eastAsia"/>
                      <w:sz w:val="21"/>
                      <w:szCs w:val="21"/>
                    </w:rPr>
                    <w:t>）要求</w:t>
                  </w:r>
                  <w:r>
                    <w:rPr>
                      <w:rFonts w:ascii="Times New Roman" w:hAnsi="Times New Roman" w:cs="Times New Roman"/>
                      <w:sz w:val="21"/>
                      <w:szCs w:val="21"/>
                    </w:rPr>
                    <w:t>。</w:t>
                  </w:r>
                </w:p>
                <w:p>
                  <w:pPr>
                    <w:widowControl/>
                    <w:ind w:firstLine="420" w:firstLineChars="200"/>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50" w:type="dxa"/>
                  <w:tcBorders>
                    <w:left w:val="nil"/>
                    <w:bottom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2790" w:type="dxa"/>
                  <w:tcBorders>
                    <w:bottom w:val="single" w:color="auto" w:sz="4" w:space="0"/>
                  </w:tcBorders>
                  <w:vAlign w:val="center"/>
                </w:tcPr>
                <w:p>
                  <w:pPr>
                    <w:pStyle w:val="27"/>
                    <w:keepNext w:val="0"/>
                    <w:autoSpaceDE/>
                    <w:autoSpaceDN/>
                    <w:snapToGrid w:val="0"/>
                    <w:jc w:val="both"/>
                    <w:textAlignment w:val="auto"/>
                    <w:rPr>
                      <w:szCs w:val="21"/>
                    </w:rPr>
                  </w:pPr>
                  <w:r>
                    <w:rPr>
                      <w:rFonts w:hint="eastAsia"/>
                      <w:sz w:val="21"/>
                      <w:szCs w:val="18"/>
                    </w:rPr>
                    <w:t>运</w:t>
                  </w:r>
                  <w:r>
                    <w:rPr>
                      <w:rFonts w:hint="eastAsia"/>
                      <w:sz w:val="21"/>
                      <w:szCs w:val="21"/>
                    </w:rPr>
                    <w:t>营期噪声主要来源于出入加油站的车辆产生的交通噪声，加油机、加油泵运行时产生的设备噪声。通过优先选用低噪声设备、建筑隔声、、绿化、安装消声器等措施控制，可以大大降低噪声；加油泵采取地埋式安装，通过墙体隔声对外环境影响有限。通过采取有效的降噪措施，加油站厂界噪声可达到《工业企业厂界环境噪声排放标准》（GB12348-2008）可达到2类标准要求</w:t>
                  </w:r>
                </w:p>
              </w:tc>
              <w:tc>
                <w:tcPr>
                  <w:tcW w:w="2361" w:type="dxa"/>
                  <w:tcBorders>
                    <w:bottom w:val="single" w:color="auto" w:sz="4"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项目选用低噪声设备，及采取隔音降噪等措施，噪声达</w:t>
                  </w:r>
                  <w:r>
                    <w:rPr>
                      <w:rFonts w:hint="eastAsia"/>
                      <w:szCs w:val="21"/>
                    </w:rPr>
                    <w:t>《工业企业厂界环境噪声排放标准》（GB12348-2008）可达到2类标准排放</w:t>
                  </w:r>
                  <w:r>
                    <w:rPr>
                      <w:rFonts w:hint="eastAsia" w:ascii="Times New Roman" w:hAnsi="Times New Roman" w:eastAsia="宋体" w:cs="Times New Roman"/>
                      <w:kern w:val="0"/>
                      <w:szCs w:val="21"/>
                    </w:rPr>
                    <w:t>。</w:t>
                  </w:r>
                </w:p>
              </w:tc>
              <w:tc>
                <w:tcPr>
                  <w:tcW w:w="3889" w:type="dxa"/>
                  <w:tcBorders>
                    <w:bottom w:val="single" w:color="auto" w:sz="4" w:space="0"/>
                    <w:right w:val="nil"/>
                  </w:tcBorders>
                  <w:vAlign w:val="center"/>
                </w:tcPr>
                <w:p>
                  <w:pPr>
                    <w:widowControl/>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采用低噪声设备，对泵体等高噪声设备采取隔音降噪；在项目区域内加强交通管理，做好交通疏导，限制进入区域内车辆的车速，同时，禁止在区域内鸣喇叭；备用发电机噪声通过优选低噪声设备、建筑隔声措施控制，站区内、外加强绿化等措施，减小项目产生的噪声对周边环境的影响，</w:t>
                  </w:r>
                  <w:r>
                    <w:rPr>
                      <w:rFonts w:hint="eastAsia"/>
                      <w:szCs w:val="21"/>
                    </w:rPr>
                    <w:t>加油站厂界噪声已达到《工业企业厂界环境噪声排放标准》（GB12348-2008）2类及4a类标准要求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550" w:type="dxa"/>
                  <w:tcBorders>
                    <w:top w:val="single" w:color="auto" w:sz="4" w:space="0"/>
                    <w:left w:val="nil"/>
                    <w:bottom w:val="single" w:color="auto" w:sz="12"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2790" w:type="dxa"/>
                  <w:tcBorders>
                    <w:top w:val="single" w:color="auto" w:sz="4" w:space="0"/>
                    <w:bottom w:val="single" w:color="auto" w:sz="12" w:space="0"/>
                  </w:tcBorders>
                  <w:vAlign w:val="center"/>
                </w:tcPr>
                <w:p>
                  <w:pPr>
                    <w:adjustRightInd w:val="0"/>
                    <w:snapToGrid w:val="0"/>
                    <w:rPr>
                      <w:szCs w:val="21"/>
                    </w:rPr>
                  </w:pPr>
                  <w:r>
                    <w:rPr>
                      <w:rFonts w:hint="eastAsia"/>
                      <w:szCs w:val="21"/>
                    </w:rPr>
                    <w:t>营运期固废主要来源于职工的生活垃圾、化粪池污泥、隔油沉淀池油泥以及油罐油泥等。生活垃圾集中收集后，由当地环卫部门定期清运；隔油沉淀池及储油罐清洗将会产生一定量的油泥，属于</w:t>
                  </w:r>
                  <w:r>
                    <w:rPr>
                      <w:rFonts w:hint="eastAsia"/>
                      <w:szCs w:val="21"/>
                      <w:lang w:val="zh-CN"/>
                    </w:rPr>
                    <w:t>《国家危险废物名录》</w:t>
                  </w:r>
                  <w:r>
                    <w:rPr>
                      <w:rFonts w:hint="eastAsia"/>
                      <w:szCs w:val="21"/>
                    </w:rPr>
                    <w:t>危险废物</w:t>
                  </w:r>
                  <w:r>
                    <w:rPr>
                      <w:rFonts w:hint="eastAsia"/>
                      <w:szCs w:val="21"/>
                      <w:lang w:val="zh-CN"/>
                    </w:rPr>
                    <w:t>HW08废矿物油</w:t>
                  </w:r>
                  <w:r>
                    <w:rPr>
                      <w:rFonts w:hint="eastAsia"/>
                      <w:szCs w:val="21"/>
                    </w:rPr>
                    <w:t>，按照</w:t>
                  </w:r>
                  <w:r>
                    <w:rPr>
                      <w:rFonts w:hint="eastAsia" w:ascii="Times New Roman" w:hAnsi="Times New Roman" w:eastAsia="宋体" w:cs="Times New Roman"/>
                      <w:kern w:val="0"/>
                      <w:szCs w:val="21"/>
                    </w:rPr>
                    <w:t>《危险废物贮存污染控制标准》(GB18597-2001)的有关规定收集，</w:t>
                  </w:r>
                  <w:r>
                    <w:rPr>
                      <w:rFonts w:hint="eastAsia"/>
                      <w:szCs w:val="21"/>
                    </w:rPr>
                    <w:t>委托具有危险废物处置资质的单位进行处置。</w:t>
                  </w:r>
                </w:p>
              </w:tc>
              <w:tc>
                <w:tcPr>
                  <w:tcW w:w="2361" w:type="dxa"/>
                  <w:tcBorders>
                    <w:top w:val="single" w:color="auto" w:sz="4" w:space="0"/>
                    <w:bottom w:val="single" w:color="auto" w:sz="12"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固体废物采取分类收集、集中处理。生活垃圾统一由环卫部门定期清运后集中处理，做到日产日清。费油及油渣收集后单独暂存于危废暂存间、统一按要求交由有资质的单位处理，严格</w:t>
                  </w:r>
                  <w:r>
                    <w:rPr>
                      <w:rFonts w:hint="eastAsia"/>
                      <w:szCs w:val="21"/>
                    </w:rPr>
                    <w:t>按照</w:t>
                  </w:r>
                  <w:r>
                    <w:rPr>
                      <w:rFonts w:hint="eastAsia" w:ascii="Times New Roman" w:hAnsi="Times New Roman" w:eastAsia="宋体" w:cs="Times New Roman"/>
                      <w:kern w:val="0"/>
                      <w:szCs w:val="21"/>
                    </w:rPr>
                    <w:t>《危险废物贮存污染控制标准》(GB18597-2001)的标准执行。</w:t>
                  </w:r>
                </w:p>
              </w:tc>
              <w:tc>
                <w:tcPr>
                  <w:tcW w:w="3889" w:type="dxa"/>
                  <w:tcBorders>
                    <w:top w:val="single" w:color="auto" w:sz="4" w:space="0"/>
                    <w:bottom w:val="single" w:color="auto" w:sz="12" w:space="0"/>
                    <w:right w:val="nil"/>
                  </w:tcBorders>
                  <w:vAlign w:val="center"/>
                </w:tcPr>
                <w:p>
                  <w:pPr>
                    <w:pStyle w:val="9"/>
                    <w:widowControl/>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加油站运营后产生的生活垃圾，经垃圾桶集中收集后，交由环卫部门处理，日产日清。</w:t>
                  </w:r>
                </w:p>
                <w:p>
                  <w:pPr>
                    <w:pStyle w:val="9"/>
                    <w:widowControl/>
                    <w:ind w:firstLine="420" w:firstLineChars="200"/>
                    <w:rPr>
                      <w:rFonts w:ascii="Times New Roman" w:hAnsi="Times New Roman" w:eastAsia="宋体" w:cs="Times New Roman"/>
                      <w:szCs w:val="21"/>
                    </w:rPr>
                  </w:pPr>
                  <w:r>
                    <w:rPr>
                      <w:rFonts w:hint="eastAsia" w:ascii="Times New Roman" w:hAnsi="Times New Roman" w:eastAsia="宋体" w:cs="Times New Roman"/>
                      <w:sz w:val="21"/>
                      <w:szCs w:val="21"/>
                    </w:rPr>
                    <w:t>油泥与废机油等危险废物由加油站委托有资质单位对产生的危废进行处理，不在加油站场区内贮存。</w:t>
                  </w:r>
                </w:p>
              </w:tc>
            </w:tr>
          </w:tbl>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rPr>
                <w:rFonts w:ascii="Times New Roman" w:hAnsi="Times New Roman" w:cs="Times New Roman"/>
              </w:rPr>
            </w:pPr>
          </w:p>
          <w:p>
            <w:pPr>
              <w:spacing w:line="360" w:lineRule="auto"/>
              <w:ind w:firstLine="420" w:firstLineChars="200"/>
              <w:rPr>
                <w:rFonts w:ascii="Times New Roman" w:hAnsi="Times New Roman" w:cs="Times New Roman"/>
              </w:rPr>
            </w:pPr>
          </w:p>
        </w:tc>
      </w:tr>
    </w:tbl>
    <w:p>
      <w:pPr>
        <w:pageBreakBefore/>
        <w:kinsoku w:val="0"/>
        <w:overflowPunct w:val="0"/>
        <w:autoSpaceDE w:val="0"/>
        <w:autoSpaceDN w:val="0"/>
        <w:spacing w:before="156" w:beforeLines="50" w:line="360" w:lineRule="auto"/>
        <w:outlineLvl w:val="0"/>
        <w:rPr>
          <w:rFonts w:ascii="Times New Roman" w:hAnsi="Times New Roman" w:eastAsia="宋体" w:cs="Times New Roman"/>
          <w:sz w:val="28"/>
          <w:szCs w:val="28"/>
        </w:rPr>
      </w:pPr>
      <w:bookmarkStart w:id="58" w:name="_Toc2089"/>
      <w:r>
        <w:rPr>
          <w:rFonts w:ascii="Times New Roman" w:hAnsi="Times New Roman" w:cs="Times New Roman"/>
          <w:b/>
          <w:sz w:val="28"/>
          <w:szCs w:val="28"/>
        </w:rPr>
        <w:t xml:space="preserve">表九  </w:t>
      </w:r>
      <w:r>
        <w:rPr>
          <w:rFonts w:ascii="Times New Roman" w:hAnsi="Times New Roman" w:eastAsia="宋体" w:cs="Times New Roman"/>
          <w:b/>
          <w:sz w:val="28"/>
          <w:szCs w:val="28"/>
        </w:rPr>
        <w:t>验收监测结论及建议</w:t>
      </w:r>
      <w:bookmarkEnd w:id="56"/>
      <w:bookmarkEnd w:id="57"/>
      <w:bookmarkEnd w:id="58"/>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6" w:hRule="atLeast"/>
          <w:jc w:val="center"/>
        </w:trPr>
        <w:tc>
          <w:tcPr>
            <w:tcW w:w="9288" w:type="dxa"/>
          </w:tcPr>
          <w:p>
            <w:pPr>
              <w:tabs>
                <w:tab w:val="left" w:pos="395"/>
              </w:tabs>
              <w:spacing w:line="360" w:lineRule="auto"/>
              <w:rPr>
                <w:rFonts w:ascii="Times New Roman" w:hAnsi="Times New Roman" w:eastAsia="宋体" w:cs="Times New Roman"/>
                <w:b/>
                <w:bCs/>
                <w:sz w:val="28"/>
                <w:szCs w:val="28"/>
              </w:rPr>
            </w:pPr>
            <w:bookmarkStart w:id="59" w:name="_Toc19036"/>
            <w:r>
              <w:rPr>
                <w:rFonts w:ascii="Times New Roman" w:hAnsi="Times New Roman" w:cs="Times New Roman"/>
                <w:b/>
                <w:bCs/>
                <w:sz w:val="28"/>
                <w:szCs w:val="28"/>
              </w:rPr>
              <w:t>9</w:t>
            </w:r>
            <w:r>
              <w:rPr>
                <w:rFonts w:ascii="Times New Roman" w:hAnsi="Times New Roman" w:eastAsia="宋体" w:cs="Times New Roman"/>
                <w:b/>
                <w:bCs/>
                <w:sz w:val="28"/>
                <w:szCs w:val="28"/>
              </w:rPr>
              <w:t>.1</w:t>
            </w:r>
            <w:r>
              <w:rPr>
                <w:rFonts w:ascii="Times New Roman" w:hAnsi="Times New Roman" w:cs="Times New Roman"/>
                <w:b/>
                <w:bCs/>
                <w:sz w:val="28"/>
                <w:szCs w:val="28"/>
              </w:rPr>
              <w:t>、</w:t>
            </w:r>
            <w:r>
              <w:rPr>
                <w:rFonts w:ascii="Times New Roman" w:hAnsi="Times New Roman" w:eastAsia="宋体" w:cs="Times New Roman"/>
                <w:b/>
                <w:bCs/>
                <w:sz w:val="28"/>
                <w:szCs w:val="28"/>
              </w:rPr>
              <w:t>验收监测结论：</w:t>
            </w:r>
            <w:bookmarkEnd w:id="59"/>
          </w:p>
          <w:p>
            <w:pPr>
              <w:tabs>
                <w:tab w:val="left" w:pos="395"/>
              </w:tabs>
              <w:spacing w:line="360" w:lineRule="auto"/>
              <w:ind w:firstLine="480" w:firstLineChars="200"/>
              <w:rPr>
                <w:rFonts w:ascii="Times New Roman" w:hAnsi="Times New Roman" w:eastAsia="宋体" w:cs="Times New Roman"/>
                <w:b/>
                <w:sz w:val="24"/>
              </w:rPr>
            </w:pPr>
            <w:bookmarkStart w:id="60" w:name="_Toc18451"/>
            <w:r>
              <w:rPr>
                <w:rFonts w:hint="eastAsia" w:ascii="Times New Roman" w:hAnsi="Times New Roman" w:cs="Times New Roman"/>
                <w:sz w:val="24"/>
              </w:rPr>
              <w:t>贵州交建国储贸易有限公司花安高速燕楼服务区加油站二站建设项目</w:t>
            </w:r>
            <w:r>
              <w:rPr>
                <w:rFonts w:ascii="Times New Roman" w:hAnsi="Times New Roman" w:cs="Times New Roman"/>
                <w:sz w:val="24"/>
              </w:rPr>
              <w:t>执行了国家有关环境保护法律法规，环境保护审批手续齐全，履行了环境影响评价制度，通过对该项目进行竣工环境保护验收监测及检查，得出以下结论：</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（1）废水</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项目区内排水采用雨污分流。</w:t>
            </w:r>
          </w:p>
          <w:p>
            <w:pPr>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rPr>
              <w:t>雨水经雨水地沟排出项目区外；</w:t>
            </w:r>
            <w:r>
              <w:rPr>
                <w:sz w:val="24"/>
              </w:rPr>
              <w:t>场地冲洗水经隔油池预处理与其他生活污水一并进入</w:t>
            </w:r>
            <w:r>
              <w:rPr>
                <w:rFonts w:hint="eastAsia"/>
                <w:sz w:val="24"/>
              </w:rPr>
              <w:t>站区污水处理系统</w:t>
            </w:r>
            <w:r>
              <w:rPr>
                <w:sz w:val="24"/>
              </w:rPr>
              <w:t>处理达《</w:t>
            </w:r>
            <w:r>
              <w:rPr>
                <w:rFonts w:hint="eastAsia"/>
                <w:sz w:val="24"/>
              </w:rPr>
              <w:t>城市污水再生利用 城市杂用水</w:t>
            </w:r>
            <w:r>
              <w:rPr>
                <w:sz w:val="24"/>
              </w:rPr>
              <w:t>》(GB</w:t>
            </w:r>
            <w:r>
              <w:rPr>
                <w:rFonts w:hint="eastAsia"/>
                <w:sz w:val="24"/>
              </w:rPr>
              <w:t>/</w:t>
            </w:r>
            <w:r>
              <w:rPr>
                <w:sz w:val="24"/>
              </w:rPr>
              <w:t>T18920-2002) 标准</w:t>
            </w:r>
            <w:r>
              <w:rPr>
                <w:rFonts w:hint="eastAsia"/>
                <w:sz w:val="24"/>
              </w:rPr>
              <w:t>后用于绿化和洒水降尘</w:t>
            </w:r>
            <w:r>
              <w:rPr>
                <w:rFonts w:hint="eastAsia"/>
              </w:rPr>
              <w:t>，</w:t>
            </w:r>
            <w:r>
              <w:rPr>
                <w:sz w:val="24"/>
              </w:rPr>
              <w:t>不外排</w:t>
            </w:r>
            <w:r>
              <w:rPr>
                <w:rFonts w:hint="eastAsia" w:ascii="Times New Roman" w:hAnsi="Times New Roman" w:eastAsia="宋体" w:cs="Times New Roman"/>
                <w:sz w:val="24"/>
              </w:rPr>
              <w:t>。</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（2）废气</w:t>
            </w:r>
          </w:p>
          <w:p>
            <w:pPr>
              <w:tabs>
                <w:tab w:val="right" w:leader="dot" w:pos="8640"/>
              </w:tabs>
              <w:spacing w:line="360" w:lineRule="auto"/>
              <w:ind w:right="-21" w:rightChars="-10"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监测结果表明：验收监测期间，本项目无组织排放废气中的非甲烷总烃浓度满足《大气污染物综合排放标准》（GB16297-1996）表2中无组织排放标准要求。</w:t>
            </w:r>
          </w:p>
          <w:p>
            <w:pPr>
              <w:tabs>
                <w:tab w:val="right" w:leader="dot" w:pos="8640"/>
              </w:tabs>
              <w:spacing w:line="360" w:lineRule="auto"/>
              <w:ind w:right="-21" w:rightChars="-10" w:firstLine="482" w:firstLineChars="200"/>
              <w:rPr>
                <w:rFonts w:ascii="Times New Roman" w:hAnsi="Times New Roman" w:eastAsia="宋体" w:cs="Times New Roman"/>
                <w:b/>
                <w:sz w:val="24"/>
              </w:rPr>
            </w:pPr>
            <w:r>
              <w:rPr>
                <w:rFonts w:ascii="Times New Roman" w:hAnsi="Times New Roman" w:eastAsia="宋体" w:cs="Times New Roman"/>
                <w:b/>
                <w:sz w:val="24"/>
              </w:rPr>
              <w:t>（3）噪声</w:t>
            </w:r>
          </w:p>
          <w:p>
            <w:pPr>
              <w:spacing w:line="360" w:lineRule="auto"/>
              <w:ind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w:t>
            </w:r>
            <w:r>
              <w:rPr>
                <w:rFonts w:ascii="Times New Roman" w:hAnsi="Times New Roman" w:eastAsia="宋体" w:cs="Times New Roman"/>
                <w:sz w:val="24"/>
              </w:rPr>
              <w:t>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r>
              <w:rPr>
                <w:rFonts w:ascii="Times New Roman" w:hAnsi="Times New Roman" w:cs="Times New Roman"/>
                <w:sz w:val="24"/>
              </w:rPr>
              <w:t>。</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（4）固体废弃物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ind w:left="420" w:leftChars="200"/>
              <w:rPr>
                <w:rFonts w:ascii="Times New Roman" w:hAnsi="Times New Roman" w:cs="Times New Roman"/>
                <w:sz w:val="24"/>
              </w:rPr>
            </w:pPr>
            <w:r>
              <w:rPr>
                <w:rFonts w:ascii="Times New Roman" w:hAnsi="Times New Roman" w:eastAsia="宋体" w:cs="Times New Roman"/>
                <w:b/>
                <w:bCs/>
                <w:sz w:val="24"/>
              </w:rPr>
              <w:t>（5）污染物排放总量</w:t>
            </w:r>
          </w:p>
          <w:p>
            <w:pPr>
              <w:spacing w:line="500" w:lineRule="atLeast"/>
              <w:ind w:firstLine="480" w:firstLineChars="200"/>
              <w:rPr>
                <w:sz w:val="24"/>
              </w:rPr>
            </w:pPr>
            <w:r>
              <w:rPr>
                <w:rFonts w:ascii="Times New Roman" w:hAnsi="Times New Roman" w:cs="Times New Roman"/>
                <w:bCs/>
                <w:sz w:val="24"/>
              </w:rPr>
              <w:t>本项</w:t>
            </w:r>
            <w:r>
              <w:rPr>
                <w:rFonts w:hint="eastAsia" w:ascii="Times New Roman" w:hAnsi="Times New Roman" w:cs="Times New Roman"/>
                <w:bCs/>
                <w:sz w:val="24"/>
              </w:rPr>
              <w:t>不设污染物排放总量控制。</w:t>
            </w:r>
          </w:p>
          <w:p>
            <w:pPr>
              <w:spacing w:line="360" w:lineRule="auto"/>
              <w:ind w:firstLine="480" w:firstLineChars="200"/>
              <w:rPr>
                <w:rFonts w:ascii="Times New Roman" w:hAnsi="Times New Roman" w:cs="Times New Roman"/>
                <w:bCs/>
                <w:sz w:val="24"/>
              </w:rPr>
            </w:pPr>
          </w:p>
          <w:p>
            <w:pPr>
              <w:spacing w:line="360" w:lineRule="auto"/>
              <w:rPr>
                <w:rFonts w:ascii="Times New Roman" w:hAnsi="Times New Roman" w:eastAsia="宋体" w:cs="Times New Roman"/>
                <w:b/>
                <w:sz w:val="28"/>
                <w:szCs w:val="28"/>
              </w:rPr>
            </w:pPr>
            <w:r>
              <w:rPr>
                <w:rFonts w:ascii="Times New Roman" w:hAnsi="Times New Roman" w:cs="Times New Roman"/>
                <w:b/>
                <w:sz w:val="28"/>
                <w:szCs w:val="28"/>
              </w:rPr>
              <w:t>9</w:t>
            </w:r>
            <w:r>
              <w:rPr>
                <w:rFonts w:ascii="Times New Roman" w:hAnsi="Times New Roman" w:eastAsia="宋体" w:cs="Times New Roman"/>
                <w:b/>
                <w:sz w:val="28"/>
                <w:szCs w:val="28"/>
              </w:rPr>
              <w:t>.2</w:t>
            </w:r>
            <w:r>
              <w:rPr>
                <w:rFonts w:ascii="Times New Roman" w:hAnsi="Times New Roman" w:cs="Times New Roman"/>
                <w:b/>
                <w:sz w:val="28"/>
                <w:szCs w:val="28"/>
              </w:rPr>
              <w:t>、</w:t>
            </w:r>
            <w:r>
              <w:rPr>
                <w:rFonts w:hint="eastAsia" w:ascii="Times New Roman" w:hAnsi="Times New Roman" w:cs="Times New Roman"/>
                <w:b/>
                <w:sz w:val="28"/>
                <w:szCs w:val="28"/>
              </w:rPr>
              <w:t>要求及</w:t>
            </w:r>
            <w:r>
              <w:rPr>
                <w:rFonts w:ascii="Times New Roman" w:hAnsi="Times New Roman" w:eastAsia="宋体" w:cs="Times New Roman"/>
                <w:b/>
                <w:sz w:val="28"/>
                <w:szCs w:val="28"/>
              </w:rPr>
              <w:t>建议</w:t>
            </w:r>
            <w:bookmarkEnd w:id="60"/>
          </w:p>
          <w:p>
            <w:pPr>
              <w:spacing w:before="156" w:beforeLines="50" w:line="360" w:lineRule="auto"/>
              <w:ind w:firstLine="480" w:firstLineChars="200"/>
              <w:outlineLvl w:val="0"/>
              <w:rPr>
                <w:rFonts w:ascii="Times New Roman" w:hAnsi="Times New Roman" w:cs="Times New Roman"/>
                <w:sz w:val="24"/>
              </w:rPr>
            </w:pPr>
            <w:bookmarkStart w:id="61" w:name="_Toc7543"/>
            <w:bookmarkStart w:id="62" w:name="_Toc1131"/>
            <w:bookmarkStart w:id="63" w:name="_Toc2288"/>
            <w:bookmarkStart w:id="64" w:name="_Toc8701"/>
            <w:r>
              <w:rPr>
                <w:rFonts w:ascii="Times New Roman" w:hAnsi="Times New Roman" w:cs="Times New Roman"/>
                <w:sz w:val="24"/>
              </w:rPr>
              <w:t>（1）严格遵守国家和地方的有关环保法律、法规，并落实报告表中提出的各项污染防治措施，实现污染物达标排放。</w:t>
            </w:r>
            <w:bookmarkEnd w:id="61"/>
            <w:bookmarkEnd w:id="62"/>
            <w:bookmarkEnd w:id="63"/>
            <w:bookmarkEnd w:id="64"/>
          </w:p>
          <w:p>
            <w:pPr>
              <w:spacing w:before="156" w:beforeLines="50"/>
              <w:ind w:firstLine="480" w:firstLineChars="200"/>
              <w:outlineLvl w:val="0"/>
              <w:rPr>
                <w:rFonts w:ascii="Times New Roman" w:hAnsi="Times New Roman" w:cs="Times New Roman"/>
                <w:sz w:val="24"/>
              </w:rPr>
            </w:pPr>
            <w:bookmarkStart w:id="65" w:name="_Toc17074"/>
            <w:bookmarkStart w:id="66" w:name="_Toc19503"/>
            <w:bookmarkStart w:id="67" w:name="_Toc25057"/>
            <w:bookmarkStart w:id="68" w:name="_Toc1901"/>
            <w:r>
              <w:rPr>
                <w:rFonts w:ascii="Times New Roman" w:hAnsi="Times New Roman" w:cs="Times New Roman"/>
                <w:sz w:val="24"/>
              </w:rPr>
              <w:t>（2）建议对工作人员进行专业的环保知识培训，加强环保意识。</w:t>
            </w:r>
            <w:bookmarkEnd w:id="65"/>
            <w:bookmarkEnd w:id="66"/>
            <w:bookmarkEnd w:id="67"/>
            <w:bookmarkEnd w:id="68"/>
          </w:p>
          <w:p>
            <w:pPr>
              <w:spacing w:before="156" w:beforeLines="50"/>
              <w:ind w:firstLine="480" w:firstLineChars="200"/>
              <w:outlineLvl w:val="0"/>
              <w:rPr>
                <w:rFonts w:ascii="Times New Roman" w:hAnsi="Times New Roman" w:cs="Times New Roman"/>
                <w:color w:val="000000" w:themeColor="text1"/>
                <w:sz w:val="24"/>
              </w:rPr>
            </w:pPr>
            <w:bookmarkStart w:id="69" w:name="_Toc21958"/>
            <w:bookmarkStart w:id="70" w:name="_Toc6143"/>
            <w:bookmarkStart w:id="71" w:name="_Toc26541"/>
            <w:bookmarkStart w:id="72" w:name="_Toc17305"/>
            <w:r>
              <w:rPr>
                <w:rFonts w:ascii="Times New Roman" w:hAnsi="Times New Roman" w:cs="Times New Roman"/>
                <w:sz w:val="24"/>
              </w:rPr>
              <w:t>（3）加强厂区</w:t>
            </w:r>
            <w:r>
              <w:rPr>
                <w:rFonts w:ascii="Times New Roman" w:hAnsi="Times New Roman" w:cs="Times New Roman"/>
                <w:color w:val="000000" w:themeColor="text1"/>
                <w:sz w:val="24"/>
              </w:rPr>
              <w:t>管理建设，使厂区工作环境保持干净整洁。</w:t>
            </w:r>
            <w:bookmarkEnd w:id="69"/>
            <w:bookmarkEnd w:id="70"/>
            <w:bookmarkEnd w:id="71"/>
            <w:bookmarkEnd w:id="72"/>
          </w:p>
          <w:p>
            <w:pPr>
              <w:spacing w:before="156" w:beforeLines="50"/>
              <w:ind w:firstLine="480" w:firstLineChars="200"/>
              <w:outlineLvl w:val="0"/>
              <w:rPr>
                <w:rFonts w:ascii="Times New Roman" w:hAnsi="Times New Roman" w:cs="Times New Roman"/>
                <w:color w:val="000000" w:themeColor="text1"/>
                <w:sz w:val="24"/>
              </w:rPr>
            </w:pPr>
            <w:bookmarkStart w:id="73" w:name="_Toc6359"/>
            <w:bookmarkStart w:id="74" w:name="_Toc17679"/>
            <w:bookmarkStart w:id="75" w:name="_Toc25887"/>
            <w:bookmarkStart w:id="76" w:name="_Toc32030"/>
            <w:r>
              <w:rPr>
                <w:rFonts w:ascii="Times New Roman" w:hAnsi="Times New Roman" w:cs="Times New Roman"/>
                <w:color w:val="000000" w:themeColor="text1"/>
                <w:sz w:val="24"/>
              </w:rPr>
              <w:t>（4）建立完整的环保手续档案。</w:t>
            </w:r>
            <w:bookmarkEnd w:id="73"/>
            <w:bookmarkEnd w:id="74"/>
            <w:bookmarkEnd w:id="75"/>
            <w:bookmarkEnd w:id="76"/>
          </w:p>
          <w:p>
            <w:pPr>
              <w:spacing w:before="156" w:beforeLines="50"/>
              <w:ind w:firstLine="480" w:firstLineChars="200"/>
              <w:outlineLvl w:val="0"/>
              <w:rPr>
                <w:rFonts w:ascii="Times New Roman" w:hAnsi="Times New Roman" w:cs="Times New Roman"/>
                <w:color w:val="000000" w:themeColor="text1"/>
                <w:sz w:val="24"/>
              </w:rPr>
            </w:pPr>
            <w:bookmarkStart w:id="77" w:name="_Toc32316"/>
            <w:bookmarkStart w:id="78" w:name="_Toc28859"/>
            <w:r>
              <w:rPr>
                <w:rFonts w:ascii="Times New Roman" w:hAnsi="Times New Roman" w:cs="Times New Roman"/>
                <w:color w:val="000000" w:themeColor="text1"/>
                <w:sz w:val="24"/>
              </w:rPr>
              <w:t>（5）加强厂区绿化。</w:t>
            </w:r>
            <w:bookmarkEnd w:id="77"/>
            <w:bookmarkEnd w:id="78"/>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6</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完善油罐区双层罐或防渗池、隔油池、危废暂存间等</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7</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加强项目环保管理工作，完善环境保护管理规章制度</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8</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加强环保设施的运行管理和日常维护</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9</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加强危险废物管理，建立健全相关管理制度及管理档案</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10</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进一步落实环境风险防范措施（设施），定期开展环境应急演练，提高应对突发环境风险事件的能力。</w:t>
            </w:r>
          </w:p>
          <w:p>
            <w:pPr>
              <w:spacing w:before="156" w:beforeLines="50"/>
              <w:ind w:firstLine="480" w:firstLineChars="200"/>
              <w:outlineLvl w:val="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（11）按相关要求完善危废暂存间、环境风险防控应急措施（设施）、突发环境事件应急预案等。</w:t>
            </w:r>
          </w:p>
          <w:p>
            <w:pPr>
              <w:pStyle w:val="8"/>
              <w:ind w:left="0" w:right="0" w:firstLine="480"/>
              <w:rPr>
                <w:rFonts w:ascii="Times New Roman"/>
                <w:sz w:val="24"/>
              </w:rPr>
            </w:pPr>
            <w:r>
              <w:rPr>
                <w:rFonts w:hint="eastAsia" w:ascii="Times New Roman"/>
                <w:sz w:val="24"/>
              </w:rPr>
              <w:t>（12）</w:t>
            </w:r>
            <w:r>
              <w:rPr>
                <w:rFonts w:ascii="Times New Roman"/>
                <w:sz w:val="24"/>
              </w:rPr>
              <w:t>加油站是对社会服务的场所，客流量较大，人员复杂。因此，事故状态下的紧急控制是十分重要的。储罐区与加油区应共设一套紧急切断系统，并要求气动控制卸压点的设置方便操作。无论站内哪个部位出现问题，都能在最短时间内切断气源，将事故危害控制在最小范围。</w:t>
            </w:r>
          </w:p>
          <w:p>
            <w:pPr>
              <w:pStyle w:val="8"/>
              <w:ind w:left="0" w:right="0" w:firstLine="480"/>
              <w:rPr>
                <w:rFonts w:ascii="Times New Roman"/>
                <w:sz w:val="24"/>
              </w:rPr>
            </w:pPr>
            <w:r>
              <w:rPr>
                <w:rFonts w:hint="eastAsia" w:ascii="Times New Roman"/>
                <w:sz w:val="24"/>
              </w:rPr>
              <w:t>（13）</w:t>
            </w:r>
            <w:r>
              <w:rPr>
                <w:rFonts w:ascii="Times New Roman"/>
                <w:sz w:val="24"/>
              </w:rPr>
              <w:t>由于油品泄漏对地下水和纳污水体的水质影响较大，影响的范围也较大，特别是埋在地下的油罐泄漏不容易发现，建议埋在地下的油罐应设置防漏槽，把油罐放置在防漏槽内，防漏槽的容积应大于油罐容积之和。</w:t>
            </w:r>
          </w:p>
          <w:p>
            <w:pPr>
              <w:spacing w:before="156" w:beforeLines="50"/>
              <w:ind w:firstLine="480" w:firstLineChars="200"/>
              <w:outlineLvl w:val="0"/>
              <w:rPr>
                <w:rFonts w:ascii="Times New Roman" w:hAnsi="Times New Roman" w:cs="Times New Roman"/>
                <w:b/>
                <w:bCs/>
                <w:sz w:val="28"/>
                <w:szCs w:val="28"/>
              </w:rPr>
            </w:pPr>
            <w:r>
              <w:rPr>
                <w:rFonts w:hint="eastAsia" w:ascii="Times New Roman"/>
                <w:sz w:val="24"/>
              </w:rPr>
              <w:t>（14）</w:t>
            </w:r>
            <w:r>
              <w:rPr>
                <w:rFonts w:ascii="Times New Roman"/>
                <w:sz w:val="24"/>
              </w:rPr>
              <w:t>加油站内可种植草坪、设置花坛，但不得种植油性植物</w:t>
            </w:r>
          </w:p>
        </w:tc>
      </w:tr>
    </w:tbl>
    <w:p/>
    <w:p>
      <w:pPr>
        <w:spacing w:before="156" w:beforeLines="50"/>
        <w:outlineLvl w:val="0"/>
        <w:rPr>
          <w:rFonts w:ascii="Times New Roman" w:hAnsi="Times New Roman" w:cs="Times New Roman"/>
          <w:b/>
          <w:bCs/>
          <w:sz w:val="28"/>
          <w:szCs w:val="28"/>
        </w:rPr>
        <w:sectPr>
          <w:headerReference r:id="rId6" w:type="default"/>
          <w:footerReference r:id="rId7" w:type="default"/>
          <w:pgSz w:w="11850" w:h="16783"/>
          <w:pgMar w:top="1440" w:right="1080" w:bottom="1440" w:left="1080" w:header="851" w:footer="992" w:gutter="0"/>
          <w:pgNumType w:start="1"/>
          <w:cols w:space="425" w:num="1"/>
          <w:docGrid w:type="lines" w:linePitch="312" w:charSpace="0"/>
        </w:sectPr>
      </w:pPr>
      <w:bookmarkStart w:id="79" w:name="_Toc14546"/>
    </w:p>
    <w:p>
      <w:pPr>
        <w:spacing w:before="156" w:beforeLines="50"/>
        <w:outlineLvl w:val="0"/>
        <w:rPr>
          <w:rFonts w:ascii="Times New Roman" w:hAnsi="Times New Roman" w:eastAsia="宋体" w:cs="Times New Roman"/>
          <w:b/>
          <w:bCs/>
          <w:sz w:val="28"/>
          <w:szCs w:val="28"/>
        </w:rPr>
      </w:pPr>
      <w:bookmarkStart w:id="80" w:name="_Toc21693"/>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bookmarkEnd w:id="79"/>
      <w:r>
        <w:rPr>
          <w:rFonts w:ascii="Times New Roman" w:hAnsi="Times New Roman" w:cs="Times New Roman"/>
          <w:b/>
          <w:bCs/>
          <w:sz w:val="28"/>
          <w:szCs w:val="28"/>
        </w:rPr>
        <w:t>、附图</w:t>
      </w:r>
      <w:bookmarkEnd w:id="80"/>
      <w:r>
        <w:rPr>
          <w:rFonts w:ascii="Times New Roman" w:hAnsi="Times New Roman" w:cs="Times New Roman"/>
          <w:b/>
          <w:bCs/>
          <w:sz w:val="28"/>
          <w:szCs w:val="28"/>
        </w:rPr>
        <w:t>及附表</w:t>
      </w:r>
    </w:p>
    <w:tbl>
      <w:tblPr>
        <w:tblStyle w:val="17"/>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906" w:type="dxa"/>
          </w:tcPr>
          <w:p>
            <w:pPr>
              <w:rPr>
                <w:rFonts w:ascii="Times New Roman" w:hAnsi="Times New Roman" w:cs="Times New Roman"/>
                <w:b/>
                <w:bCs/>
                <w:sz w:val="24"/>
              </w:rPr>
            </w:pPr>
            <w:r>
              <w:rPr>
                <w:rFonts w:ascii="Times New Roman" w:hAnsi="Times New Roman" w:cs="Times New Roman"/>
                <w:b/>
                <w:bCs/>
                <w:sz w:val="24"/>
              </w:rPr>
              <w:t>附件</w:t>
            </w:r>
            <w:r>
              <w:rPr>
                <w:rFonts w:hint="eastAsia" w:ascii="Times New Roman" w:hAnsi="Times New Roman" w:cs="Times New Roman"/>
                <w:b/>
                <w:bCs/>
                <w:sz w:val="24"/>
              </w:rPr>
              <w:t>1</w:t>
            </w:r>
            <w:r>
              <w:rPr>
                <w:rFonts w:ascii="Times New Roman" w:hAnsi="Times New Roman" w:cs="Times New Roman"/>
                <w:b/>
                <w:bCs/>
                <w:sz w:val="24"/>
              </w:rPr>
              <w:t>：环评</w:t>
            </w:r>
            <w:r>
              <w:rPr>
                <w:rFonts w:hint="eastAsia" w:ascii="Times New Roman" w:hAnsi="Times New Roman" w:cs="Times New Roman"/>
                <w:b/>
                <w:bCs/>
                <w:sz w:val="24"/>
              </w:rPr>
              <w:t>及环评</w:t>
            </w:r>
            <w:r>
              <w:rPr>
                <w:rFonts w:ascii="Times New Roman" w:hAnsi="Times New Roman" w:cs="Times New Roman"/>
                <w:b/>
                <w:bCs/>
                <w:sz w:val="24"/>
              </w:rPr>
              <w:t>批复</w:t>
            </w:r>
          </w:p>
          <w:p>
            <w:pPr>
              <w:rPr>
                <w:rFonts w:ascii="Times New Roman" w:hAnsi="Times New Roman" w:cs="Times New Roman"/>
                <w:b/>
                <w:bCs/>
                <w:sz w:val="24"/>
              </w:rPr>
            </w:pPr>
            <w:r>
              <w:drawing>
                <wp:anchor distT="0" distB="0" distL="114300" distR="114300" simplePos="0" relativeHeight="251659264" behindDoc="0" locked="0" layoutInCell="1" allowOverlap="1">
                  <wp:simplePos x="0" y="0"/>
                  <wp:positionH relativeFrom="column">
                    <wp:posOffset>526415</wp:posOffset>
                  </wp:positionH>
                  <wp:positionV relativeFrom="paragraph">
                    <wp:posOffset>248920</wp:posOffset>
                  </wp:positionV>
                  <wp:extent cx="5229860" cy="7411720"/>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extLst>
                              <a:ext uri="{28A0092B-C50C-407E-A947-70E740481C1C}">
                                <a14:useLocalDpi xmlns:a14="http://schemas.microsoft.com/office/drawing/2010/main" val="0"/>
                              </a:ext>
                            </a:extLst>
                          </a:blip>
                          <a:srcRect l="3656" t="2349" r="4630" b="3287"/>
                          <a:stretch>
                            <a:fillRect/>
                          </a:stretch>
                        </pic:blipFill>
                        <pic:spPr>
                          <a:xfrm>
                            <a:off x="0" y="0"/>
                            <a:ext cx="5229860" cy="7411720"/>
                          </a:xfrm>
                          <a:prstGeom prst="rect">
                            <a:avLst/>
                          </a:prstGeom>
                          <a:ln>
                            <a:noFill/>
                          </a:ln>
                        </pic:spPr>
                      </pic:pic>
                    </a:graphicData>
                  </a:graphic>
                </wp:anchor>
              </w:drawing>
            </w:r>
          </w:p>
          <w:p>
            <w:pPr>
              <w:rPr>
                <w:rFonts w:hint="eastAsia" w:ascii="Times New Roman" w:hAnsi="Times New Roman" w:cs="Times New Roman"/>
                <w:b/>
                <w:bCs/>
                <w:sz w:val="24"/>
              </w:rPr>
            </w:pPr>
            <w:r>
              <w:rPr>
                <w:rFonts w:hint="eastAsia" w:ascii="Times New Roman" w:hAnsi="Times New Roman" w:cs="Times New Roman"/>
                <w:b/>
                <w:bCs/>
                <w:sz w:val="24"/>
              </w:rPr>
              <w:t xml:space="preserve"> </w:t>
            </w:r>
            <w:r>
              <w:rPr>
                <w:rFonts w:ascii="Times New Roman" w:hAnsi="Times New Roman" w:cs="Times New Roman"/>
                <w:b/>
                <w:bCs/>
                <w:sz w:val="24"/>
              </w:rPr>
              <w:t xml:space="preserve">   </w:t>
            </w:r>
          </w:p>
        </w:tc>
      </w:tr>
    </w:tbl>
    <w:p>
      <w:pPr>
        <w:rPr>
          <w:rFonts w:hint="eastAsia" w:ascii="Times New Roman" w:hAnsi="Times New Roman" w:cs="Times New Roman"/>
        </w:rPr>
        <w:sectPr>
          <w:pgSz w:w="11850" w:h="16783"/>
          <w:pgMar w:top="1440" w:right="1080" w:bottom="1440" w:left="1080" w:header="851" w:footer="992" w:gutter="0"/>
          <w:cols w:space="425" w:num="1"/>
          <w:docGrid w:type="lines" w:linePitch="312" w:charSpace="0"/>
        </w:sectPr>
      </w:pPr>
    </w:p>
    <w:p>
      <w:pPr>
        <w:rPr>
          <w:b/>
        </w:rPr>
        <w:sectPr>
          <w:pgSz w:w="16783" w:h="11850" w:orient="landscape"/>
          <w:pgMar w:top="1080" w:right="1440" w:bottom="1080" w:left="1440" w:header="851" w:footer="992" w:gutter="0"/>
          <w:cols w:space="425" w:num="1"/>
          <w:docGrid w:type="lines" w:linePitch="312" w:charSpace="0"/>
        </w:sectPr>
      </w:pPr>
      <w:r>
        <w:drawing>
          <wp:inline distT="0" distB="0" distL="0" distR="0">
            <wp:extent cx="8693150" cy="62960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rcRect l="32094" t="18713" r="34568" b="6420"/>
                    <a:stretch>
                      <a:fillRect/>
                    </a:stretch>
                  </pic:blipFill>
                  <pic:spPr>
                    <a:xfrm>
                      <a:off x="0" y="0"/>
                      <a:ext cx="8716869" cy="6312784"/>
                    </a:xfrm>
                    <a:prstGeom prst="rect">
                      <a:avLst/>
                    </a:prstGeom>
                    <a:ln>
                      <a:noFill/>
                    </a:ln>
                  </pic:spPr>
                </pic:pic>
              </a:graphicData>
            </a:graphic>
          </wp:inline>
        </w:drawing>
      </w:r>
    </w:p>
    <w:p>
      <w:pPr>
        <w:widowControl/>
        <w:jc w:val="left"/>
        <w:rPr>
          <w:rFonts w:ascii="宋体" w:hAnsi="宋体" w:eastAsia="宋体" w:cs="宋体"/>
          <w:kern w:val="0"/>
          <w:sz w:val="24"/>
        </w:rPr>
      </w:pPr>
      <w:r>
        <w:rPr>
          <w:rFonts w:ascii="宋体" w:hAnsi="宋体" w:eastAsia="宋体" w:cs="宋体"/>
          <w:kern w:val="0"/>
          <w:sz w:val="24"/>
        </w:rPr>
        <w:t xml:space="preserve"> </w:t>
      </w:r>
    </w:p>
    <w:p>
      <w:pPr>
        <w:jc w:val="center"/>
      </w:pPr>
      <w:r>
        <w:drawing>
          <wp:anchor distT="0" distB="0" distL="114300" distR="114300" simplePos="0" relativeHeight="251663360" behindDoc="0" locked="0" layoutInCell="1" allowOverlap="1">
            <wp:simplePos x="0" y="0"/>
            <wp:positionH relativeFrom="column">
              <wp:posOffset>69215</wp:posOffset>
            </wp:positionH>
            <wp:positionV relativeFrom="paragraph">
              <wp:posOffset>347980</wp:posOffset>
            </wp:positionV>
            <wp:extent cx="8630920" cy="512572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extLst>
                        <a:ext uri="{28A0092B-C50C-407E-A947-70E740481C1C}">
                          <a14:useLocalDpi xmlns:a14="http://schemas.microsoft.com/office/drawing/2010/main" val="0"/>
                        </a:ext>
                      </a:extLst>
                    </a:blip>
                    <a:srcRect l="16718" t="11742" r="7735" b="7159"/>
                    <a:stretch>
                      <a:fillRect/>
                    </a:stretch>
                  </pic:blipFill>
                  <pic:spPr>
                    <a:xfrm>
                      <a:off x="0" y="0"/>
                      <a:ext cx="8630920" cy="5125720"/>
                    </a:xfrm>
                    <a:prstGeom prst="rect">
                      <a:avLst/>
                    </a:prstGeom>
                    <a:ln>
                      <a:noFill/>
                    </a:ln>
                  </pic:spPr>
                </pic:pic>
              </a:graphicData>
            </a:graphic>
          </wp:anchor>
        </w:drawing>
      </w:r>
    </w:p>
    <w:p>
      <w:pPr>
        <w:rPr>
          <w:rFonts w:eastAsia="宋体"/>
          <w:szCs w:val="20"/>
        </w:rPr>
      </w:pPr>
    </w:p>
    <w:p>
      <w:pPr>
        <w:rPr>
          <w:rFonts w:eastAsia="宋体"/>
          <w:szCs w:val="20"/>
        </w:rPr>
      </w:pPr>
    </w:p>
    <w:p>
      <w:pPr>
        <w:rPr>
          <w:rFonts w:eastAsia="宋体"/>
          <w:szCs w:val="20"/>
        </w:rPr>
      </w:pPr>
      <w:r>
        <w:drawing>
          <wp:anchor distT="0" distB="0" distL="114300" distR="114300" simplePos="0" relativeHeight="251665408" behindDoc="0" locked="0" layoutInCell="1" allowOverlap="1">
            <wp:simplePos x="0" y="0"/>
            <wp:positionH relativeFrom="column">
              <wp:posOffset>533400</wp:posOffset>
            </wp:positionH>
            <wp:positionV relativeFrom="paragraph">
              <wp:posOffset>209550</wp:posOffset>
            </wp:positionV>
            <wp:extent cx="7806690" cy="5174615"/>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extLst>
                        <a:ext uri="{28A0092B-C50C-407E-A947-70E740481C1C}">
                          <a14:useLocalDpi xmlns:a14="http://schemas.microsoft.com/office/drawing/2010/main" val="0"/>
                        </a:ext>
                      </a:extLst>
                    </a:blip>
                    <a:srcRect l="28276" t="18530" r="18987" b="10281"/>
                    <a:stretch>
                      <a:fillRect/>
                    </a:stretch>
                  </pic:blipFill>
                  <pic:spPr>
                    <a:xfrm>
                      <a:off x="0" y="0"/>
                      <a:ext cx="7806690" cy="5174615"/>
                    </a:xfrm>
                    <a:prstGeom prst="rect">
                      <a:avLst/>
                    </a:prstGeom>
                    <a:ln>
                      <a:noFill/>
                    </a:ln>
                  </pic:spPr>
                </pic:pic>
              </a:graphicData>
            </a:graphic>
          </wp:anchor>
        </w:drawing>
      </w:r>
    </w:p>
    <w:p>
      <w:pPr>
        <w:rPr>
          <w:rFonts w:hint="eastAsia" w:eastAsia="宋体"/>
          <w:szCs w:val="20"/>
        </w:rPr>
      </w:pPr>
      <w:r>
        <w:rPr>
          <w:rFonts w:hint="eastAsia" w:eastAsia="宋体"/>
          <w:szCs w:val="20"/>
        </w:rPr>
        <w:t xml:space="preserve"> </w:t>
      </w:r>
      <w:r>
        <w:rPr>
          <w:rFonts w:eastAsia="宋体"/>
          <w:szCs w:val="20"/>
        </w:rPr>
        <w:t xml:space="preserve"> </w:t>
      </w:r>
    </w:p>
    <w:p>
      <w:pPr>
        <w:sectPr>
          <w:pgSz w:w="16783" w:h="11850" w:orient="landscape"/>
          <w:pgMar w:top="1080" w:right="1440" w:bottom="1080" w:left="1440" w:header="851" w:footer="992" w:gutter="0"/>
          <w:cols w:space="425" w:num="1"/>
          <w:docGrid w:type="lines" w:linePitch="312" w:charSpace="0"/>
        </w:sectPr>
      </w:pPr>
      <w:r>
        <w:rPr>
          <w:rFonts w:eastAsia="宋体"/>
          <w:szCs w:val="20"/>
        </w:rPr>
        <w:tab/>
      </w:r>
    </w:p>
    <w:p>
      <w:pPr>
        <w:widowControl/>
        <w:jc w:val="left"/>
      </w:pPr>
    </w:p>
    <w:p>
      <w:pPr>
        <w:widowControl/>
        <w:jc w:val="left"/>
      </w:pPr>
    </w:p>
    <w:p>
      <w:pPr>
        <w:widowControl/>
        <w:jc w:val="left"/>
      </w:pPr>
    </w:p>
    <w:p>
      <w:pPr>
        <w:widowControl/>
        <w:jc w:val="left"/>
      </w:pPr>
      <w:r>
        <w:rPr>
          <w:rFonts w:hint="eastAsia"/>
        </w:rPr>
        <w:t xml:space="preserve"> </w:t>
      </w:r>
      <w:r>
        <w:t xml:space="preserve">              </w:t>
      </w:r>
      <w:r>
        <w:drawing>
          <wp:inline distT="0" distB="0" distL="0" distR="0">
            <wp:extent cx="7590155" cy="53333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rcRect l="24982" t="19302" r="27271" b="11860"/>
                    <a:stretch>
                      <a:fillRect/>
                    </a:stretch>
                  </pic:blipFill>
                  <pic:spPr>
                    <a:xfrm>
                      <a:off x="0" y="0"/>
                      <a:ext cx="7650579" cy="5375578"/>
                    </a:xfrm>
                    <a:prstGeom prst="rect">
                      <a:avLst/>
                    </a:prstGeom>
                    <a:ln>
                      <a:noFill/>
                    </a:ln>
                  </pic:spPr>
                </pic:pic>
              </a:graphicData>
            </a:graphic>
          </wp:inline>
        </w:drawing>
      </w:r>
    </w:p>
    <w:p>
      <w:pPr>
        <w:widowControl/>
        <w:jc w:val="left"/>
        <w:rPr>
          <w:rFonts w:hint="eastAsia"/>
        </w:rPr>
      </w:pPr>
    </w:p>
    <w:p>
      <w:pPr>
        <w:jc w:val="center"/>
      </w:pPr>
      <w:r>
        <w:drawing>
          <wp:inline distT="0" distB="0" distL="0" distR="0">
            <wp:extent cx="8828405" cy="51187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8839790" cy="5125857"/>
                    </a:xfrm>
                    <a:prstGeom prst="rect">
                      <a:avLst/>
                    </a:prstGeom>
                  </pic:spPr>
                </pic:pic>
              </a:graphicData>
            </a:graphic>
          </wp:inline>
        </w:drawing>
      </w:r>
      <w:r>
        <w:tab/>
      </w:r>
    </w:p>
    <w:p>
      <w:pPr>
        <w:tabs>
          <w:tab w:val="left" w:pos="5976"/>
        </w:tabs>
        <w:rPr>
          <w:rFonts w:hint="eastAsia"/>
        </w:rPr>
      </w:pPr>
      <w:r>
        <w:pict>
          <v:rect id="_x0000_s1084" o:spid="_x0000_s1084" o:spt="1" style="position:absolute;left:0pt;margin-left:504.6pt;margin-top:209.1pt;height:19.8pt;width:68.4pt;z-index:251660288;mso-width-relative:page;mso-height-relative:page;" stroked="t" coordsize="21600,21600">
            <v:path/>
            <v:fill focussize="0,0"/>
            <v:stroke color="#FFFFFF"/>
            <v:imagedata o:title=""/>
            <o:lock v:ext="edit"/>
            <v:textbox>
              <w:txbxContent>
                <w:p/>
              </w:txbxContent>
            </v:textbox>
          </v:rect>
        </w:pict>
      </w:r>
      <w:r>
        <w:rPr>
          <w:rFonts w:hint="eastAsia"/>
        </w:rPr>
        <w:t xml:space="preserve"> </w:t>
      </w:r>
      <w:r>
        <w:t xml:space="preserve">              </w:t>
      </w:r>
    </w:p>
    <w:p>
      <w:pPr>
        <w:rPr>
          <w:sz w:val="24"/>
        </w:rPr>
      </w:pPr>
      <w:r>
        <w:rPr>
          <w:rFonts w:hint="eastAsia"/>
        </w:rPr>
        <w:t xml:space="preserve"> </w:t>
      </w:r>
      <w:r>
        <w:t xml:space="preserve">                                          </w:t>
      </w:r>
      <w:r>
        <w:rPr>
          <w:sz w:val="24"/>
        </w:rPr>
        <w:t xml:space="preserve"> </w:t>
      </w:r>
      <w:r>
        <w:rPr>
          <w:rFonts w:hint="eastAsia"/>
          <w:b/>
          <w:sz w:val="24"/>
        </w:rPr>
        <w:t>附图5  项目验收监测布点图</w:t>
      </w:r>
    </w:p>
    <w:p>
      <w:pPr>
        <w:sectPr>
          <w:pgSz w:w="16783" w:h="11850" w:orient="landscape"/>
          <w:pgMar w:top="1080" w:right="1440" w:bottom="1080" w:left="1440" w:header="851" w:footer="992" w:gutter="0"/>
          <w:cols w:space="425" w:num="1"/>
          <w:docGrid w:type="lines" w:linePitch="312" w:charSpace="0"/>
        </w:sectPr>
      </w:pPr>
    </w:p>
    <w:p>
      <w:pPr>
        <w:pStyle w:val="9"/>
        <w:rPr>
          <w:rFonts w:ascii="Times New Roman" w:hAnsi="Times New Roman" w:cs="Times New Roman"/>
        </w:rPr>
      </w:pPr>
    </w:p>
    <w:p>
      <w:pPr>
        <w:pStyle w:val="9"/>
        <w:rPr>
          <w:rFonts w:ascii="Times New Roman" w:hAnsi="Times New Roman" w:cs="Times New Roman"/>
        </w:rPr>
      </w:pPr>
      <w:r>
        <w:rPr>
          <w:rFonts w:ascii="Times New Roman" w:hAnsi="Times New Roman" w:eastAsia="宋体" w:cs="Times New Roman"/>
          <w:b/>
          <w:sz w:val="21"/>
          <w:szCs w:val="24"/>
        </w:rPr>
        <w:pict>
          <v:shape id="_x0000_s1080" o:spid="_x0000_s1080" o:spt="202" type="#_x0000_t202" style="position:absolute;left:0pt;margin-left:-17.65pt;margin-top:5.25pt;height:26.25pt;width:1157.6pt;z-index:251659264;mso-width-relative:page;mso-height-relative:page;" filled="f" stroked="f" coordsize="21600,21600" o:gfxdata="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dUoeY2AAAAAoBAAAPAAAAAAAA&#10;AAEAIAAAACIAAABkcnMvZG93bnJldi54bWxQSwECFAAUAAAACACHTuJAN/2kbqABAAAaAwAADgAA&#10;AAAAAAABACAAAAAnAQAAZHJzL2Uyb0RvYy54bWxQSwUGAAAAAAYABgBZAQAAOQUAAAAA&#10;">
            <v:path/>
            <v:fill on="f" focussize="0,0"/>
            <v:stroke on="f" joinstyle="miter"/>
            <v:imagedata o:title=""/>
            <o:lock v:ext="edit"/>
            <v:textbox>
              <w:txbxContent>
                <w:p>
                  <w:pPr>
                    <w:ind w:firstLine="199" w:firstLineChars="90"/>
                    <w:rPr>
                      <w:sz w:val="22"/>
                    </w:rPr>
                  </w:pPr>
                  <w:r>
                    <w:rPr>
                      <w:rFonts w:hint="eastAsia" w:eastAsia="宋体"/>
                      <w:b/>
                      <w:sz w:val="22"/>
                    </w:rPr>
                    <w:t>填表单位（盖章）：贵州交建国储贸易有限公司花安高燕楼泉服务区加油站</w:t>
                  </w:r>
                  <w:r>
                    <w:rPr>
                      <w:rFonts w:hint="eastAsia" w:eastAsia="宋体"/>
                      <w:b/>
                      <w:sz w:val="22"/>
                      <w:lang w:eastAsia="zh-CN"/>
                    </w:rPr>
                    <w:t>二</w:t>
                  </w:r>
                  <w:r>
                    <w:rPr>
                      <w:rFonts w:hint="eastAsia" w:eastAsia="宋体"/>
                      <w:b/>
                      <w:sz w:val="22"/>
                    </w:rPr>
                    <w:t>站                   填表人（签字）：                                                  项目经办人（签字）：</w:t>
                  </w:r>
                </w:p>
              </w:txbxContent>
            </v:textbox>
          </v:shape>
        </w:pict>
      </w:r>
    </w:p>
    <w:p>
      <w:pPr>
        <w:pStyle w:val="9"/>
        <w:rPr>
          <w:rFonts w:ascii="Times New Roman" w:hAnsi="Times New Roman" w:cs="Times New Roman"/>
        </w:rPr>
      </w:pPr>
    </w:p>
    <w:tbl>
      <w:tblPr>
        <w:tblStyle w:val="16"/>
        <w:tblW w:w="219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372"/>
        <w:gridCol w:w="1838"/>
        <w:gridCol w:w="981"/>
        <w:gridCol w:w="758"/>
        <w:gridCol w:w="2235"/>
        <w:gridCol w:w="529"/>
        <w:gridCol w:w="433"/>
        <w:gridCol w:w="1584"/>
        <w:gridCol w:w="73"/>
        <w:gridCol w:w="532"/>
        <w:gridCol w:w="642"/>
        <w:gridCol w:w="1128"/>
        <w:gridCol w:w="1217"/>
        <w:gridCol w:w="2975"/>
        <w:gridCol w:w="1843"/>
        <w:gridCol w:w="1681"/>
        <w:gridCol w:w="1380"/>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exact"/>
          <w:jc w:val="center"/>
        </w:trPr>
        <w:tc>
          <w:tcPr>
            <w:tcW w:w="524" w:type="dxa"/>
            <w:vMerge w:val="restart"/>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建设项目</w:t>
            </w: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rPr>
              <w:pict>
                <v:shape id="_x0000_s1081" o:spid="_x0000_s1081" o:spt="202" type="#_x0000_t202" style="position:absolute;left:0pt;margin-left:76.45pt;margin-top:-47.1pt;height:26.25pt;width:815.25pt;z-index:251658240;mso-width-relative:page;mso-height-relative:page;" filled="f" stroked="f" coordsize="21600,21600" o:gfxdata="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MqaKdkAAAAMAQAADwAAAAAA&#10;AAABACAAAAAiAAAAZHJzL2Rvd25yZXYueG1sUEsBAhQAFAAAAAgAh07iQMooxFmgAQAAGgMAAA4A&#10;AAAAAAAAAQAgAAAAKAEAAGRycy9lMm9Eb2MueG1sUEsFBgAAAAAGAAYAWQEAADoFAAAAAA==&#10;">
                  <v:path/>
                  <v:fill on="f" focussize="0,0"/>
                  <v:stroke on="f" joinstyle="miter"/>
                  <v:imagedata o:title=""/>
                  <o:lock v:ext="edit"/>
                  <v:textbox>
                    <w:txbxContent>
                      <w:p>
                        <w:pPr>
                          <w:jc w:val="center"/>
                          <w:rPr>
                            <w:rFonts w:eastAsia="宋体"/>
                            <w:b/>
                          </w:rPr>
                        </w:pPr>
                        <w:r>
                          <w:rPr>
                            <w:rFonts w:hint="eastAsia" w:eastAsia="宋体"/>
                            <w:b/>
                          </w:rPr>
                          <w:t>建设项目工程竣工环境保护“三同时”验收登记表</w:t>
                        </w:r>
                      </w:p>
                    </w:txbxContent>
                  </v:textbox>
                </v:shape>
              </w:pict>
            </w:r>
            <w:r>
              <w:rPr>
                <w:rFonts w:ascii="Times New Roman" w:hAnsi="Times New Roman" w:eastAsia="宋体" w:cs="Times New Roman"/>
                <w:b/>
                <w:sz w:val="18"/>
                <w:szCs w:val="18"/>
              </w:rPr>
              <w:t>项目名称</w:t>
            </w:r>
          </w:p>
        </w:tc>
        <w:tc>
          <w:tcPr>
            <w:tcW w:w="6144" w:type="dxa"/>
            <w:gridSpan w:val="7"/>
            <w:vAlign w:val="center"/>
          </w:tcPr>
          <w:p>
            <w:pPr>
              <w:keepLines/>
              <w:rPr>
                <w:rFonts w:ascii="Times New Roman" w:hAnsi="Times New Roman" w:eastAsia="宋体" w:cs="Times New Roman"/>
                <w:bCs/>
                <w:sz w:val="18"/>
                <w:szCs w:val="18"/>
              </w:rPr>
            </w:pPr>
            <w:r>
              <w:rPr>
                <w:rFonts w:hint="eastAsia" w:eastAsia="宋体"/>
                <w:b/>
                <w:sz w:val="18"/>
                <w:szCs w:val="18"/>
              </w:rPr>
              <w:t>贵州交建国储贸易有限公司花安高速燕楼服务区加油站二站</w:t>
            </w:r>
            <w:r>
              <w:rPr>
                <w:rFonts w:hint="eastAsia" w:ascii="Times New Roman" w:hAnsi="Times New Roman" w:eastAsia="宋体" w:cs="Times New Roman"/>
                <w:b/>
                <w:sz w:val="18"/>
                <w:szCs w:val="18"/>
              </w:rPr>
              <w:t>建设项目</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项目代码</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建设地点</w:t>
            </w:r>
          </w:p>
        </w:tc>
        <w:tc>
          <w:tcPr>
            <w:tcW w:w="4236" w:type="dxa"/>
            <w:gridSpan w:val="3"/>
            <w:vAlign w:val="center"/>
          </w:tcPr>
          <w:p>
            <w:pPr>
              <w:rPr>
                <w:rFonts w:ascii="Times New Roman" w:hAnsi="Times New Roman" w:eastAsia="宋体" w:cs="Times New Roman"/>
                <w:bCs/>
                <w:sz w:val="18"/>
                <w:szCs w:val="18"/>
              </w:rPr>
            </w:pPr>
            <w:r>
              <w:rPr>
                <w:rFonts w:hint="eastAsia" w:ascii="Times New Roman" w:hAnsi="Times New Roman" w:eastAsia="宋体" w:cs="Times New Roman"/>
                <w:bCs/>
                <w:sz w:val="18"/>
                <w:szCs w:val="18"/>
              </w:rPr>
              <w:t>花安高速燕楼服务区</w:t>
            </w:r>
            <w:r>
              <w:rPr>
                <w:rFonts w:ascii="Times New Roman" w:hAnsi="Times New Roman" w:eastAsia="宋体" w:cs="Times New Roman"/>
                <w:bCs/>
                <w:sz w:val="18"/>
                <w:szCs w:val="18"/>
              </w:rPr>
              <w:t>B</w:t>
            </w:r>
            <w:r>
              <w:rPr>
                <w:rFonts w:hint="eastAsia" w:ascii="Times New Roman" w:hAnsi="Times New Roman" w:eastAsia="宋体" w:cs="Times New Roman"/>
                <w:bCs/>
                <w:sz w:val="18"/>
                <w:szCs w:val="18"/>
              </w:rPr>
              <w:t>场地（贵阳市花溪区燕楼乡）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行业类别（分类管理名录）</w:t>
            </w:r>
          </w:p>
        </w:tc>
        <w:tc>
          <w:tcPr>
            <w:tcW w:w="6144" w:type="dxa"/>
            <w:gridSpan w:val="7"/>
            <w:vAlign w:val="center"/>
          </w:tcPr>
          <w:p>
            <w:pPr>
              <w:snapToGrid w:val="0"/>
              <w:rPr>
                <w:rFonts w:ascii="Times New Roman" w:hAnsi="Times New Roman" w:eastAsia="宋体" w:cs="Times New Roman"/>
                <w:sz w:val="18"/>
                <w:szCs w:val="18"/>
              </w:rPr>
            </w:pPr>
            <w:r>
              <w:rPr>
                <w:rFonts w:ascii="Times New Roman" w:hAnsi="Times New Roman" w:eastAsia="宋体" w:cs="Times New Roman"/>
                <w:sz w:val="18"/>
                <w:szCs w:val="18"/>
              </w:rPr>
              <w:t>机动车燃料零售F5264</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建设性质</w:t>
            </w:r>
          </w:p>
        </w:tc>
        <w:tc>
          <w:tcPr>
            <w:tcW w:w="9054" w:type="dxa"/>
            <w:gridSpan w:val="5"/>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sym w:font="Wingdings 2" w:char="0052"/>
            </w:r>
            <w:r>
              <w:rPr>
                <w:rFonts w:ascii="Times New Roman" w:hAnsi="Times New Roman" w:eastAsia="宋体" w:cs="Times New Roman"/>
                <w:b/>
                <w:sz w:val="18"/>
                <w:szCs w:val="18"/>
              </w:rPr>
              <w:t xml:space="preserve">新建  </w:t>
            </w:r>
            <w:r>
              <w:rPr>
                <w:rFonts w:ascii="Times New Roman" w:hAnsi="Times New Roman" w:cs="Times New Roman"/>
                <w:b/>
                <w:sz w:val="18"/>
                <w:szCs w:val="18"/>
              </w:rPr>
              <w:t>□</w:t>
            </w:r>
            <w:r>
              <w:rPr>
                <w:rFonts w:ascii="Times New Roman" w:hAnsi="Times New Roman" w:eastAsia="宋体" w:cs="Times New Roman"/>
                <w:b/>
                <w:sz w:val="18"/>
                <w:szCs w:val="18"/>
              </w:rPr>
              <w:t>改扩建  □技术改造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设计生产能力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实际生产能力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环评单位</w:t>
            </w:r>
          </w:p>
        </w:tc>
        <w:tc>
          <w:tcPr>
            <w:tcW w:w="4236" w:type="dxa"/>
            <w:gridSpan w:val="3"/>
            <w:vAlign w:val="center"/>
          </w:tcPr>
          <w:p>
            <w:pPr>
              <w:rPr>
                <w:rFonts w:ascii="Times New Roman" w:hAnsi="Times New Roman" w:eastAsia="宋体" w:cs="Times New Roman"/>
                <w:sz w:val="18"/>
                <w:szCs w:val="18"/>
              </w:rPr>
            </w:pPr>
            <w:r>
              <w:rPr>
                <w:rFonts w:hint="eastAsia"/>
                <w:sz w:val="18"/>
                <w:szCs w:val="18"/>
              </w:rPr>
              <w:t>国环宏博（北京）节能环保科技有限公司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环评文件审批机关</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贵阳市花溪区环境保护局</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审批文号</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花环表字[2017]52号</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环评文件类型</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开工日期</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2018年04月</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竣工日期</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2018年07月</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排污许可证申领时间</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环保设施设计单位</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环保设施施工单位</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本工程排污许可证编号</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验收单位</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环保设施监测单位</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验收监测时工况</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75%以上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投资总概算（万元）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400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环保投资总概算（万元）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56.3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实际总投资（万元）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400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实际环保投资（万元）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56.3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废水治理（万元）</w:t>
            </w:r>
          </w:p>
        </w:tc>
        <w:tc>
          <w:tcPr>
            <w:tcW w:w="758"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235"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废气治理（万元）</w:t>
            </w:r>
          </w:p>
        </w:tc>
        <w:tc>
          <w:tcPr>
            <w:tcW w:w="529"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090"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噪声治理（万元）</w:t>
            </w:r>
          </w:p>
        </w:tc>
        <w:tc>
          <w:tcPr>
            <w:tcW w:w="532"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固废废物治理（万元）</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绿化及生态（万元）</w:t>
            </w:r>
          </w:p>
        </w:tc>
        <w:tc>
          <w:tcPr>
            <w:tcW w:w="1681"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80"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其他（万元）</w:t>
            </w:r>
          </w:p>
        </w:tc>
        <w:tc>
          <w:tcPr>
            <w:tcW w:w="11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新增废水处理设施能力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新增废气处理设施能力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年平均工作时</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365天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3715" w:type="dxa"/>
            <w:gridSpan w:val="4"/>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运营单位</w:t>
            </w:r>
          </w:p>
        </w:tc>
        <w:tc>
          <w:tcPr>
            <w:tcW w:w="5539" w:type="dxa"/>
            <w:gridSpan w:val="5"/>
            <w:vAlign w:val="center"/>
          </w:tcPr>
          <w:p>
            <w:pPr>
              <w:spacing w:line="240" w:lineRule="exact"/>
              <w:rPr>
                <w:rFonts w:ascii="Times New Roman" w:hAnsi="Times New Roman" w:eastAsia="宋体" w:cs="Times New Roman"/>
                <w:sz w:val="18"/>
                <w:szCs w:val="18"/>
              </w:rPr>
            </w:pPr>
            <w:r>
              <w:rPr>
                <w:rFonts w:hint="eastAsia" w:eastAsia="宋体"/>
                <w:b/>
                <w:sz w:val="18"/>
                <w:szCs w:val="18"/>
              </w:rPr>
              <w:t>贵州交建国储贸易有限公司花安高速燕楼服务区加油站二站</w:t>
            </w:r>
          </w:p>
        </w:tc>
        <w:tc>
          <w:tcPr>
            <w:tcW w:w="3592" w:type="dxa"/>
            <w:gridSpan w:val="5"/>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运营单位社会统一信用代码（或组织机构代码）</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91520111</w:t>
            </w:r>
            <w:r>
              <w:rPr>
                <w:rFonts w:ascii="Times New Roman" w:hAnsi="Times New Roman" w:eastAsia="宋体" w:cs="Times New Roman"/>
                <w:sz w:val="18"/>
                <w:szCs w:val="18"/>
              </w:rPr>
              <w:t>MA6H5EA02F</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验收时间</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2020年</w:t>
            </w:r>
            <w:r>
              <w:rPr>
                <w:rFonts w:ascii="Times New Roman" w:hAnsi="Times New Roman" w:eastAsia="宋体" w:cs="Times New Roman"/>
                <w:sz w:val="18"/>
                <w:szCs w:val="18"/>
              </w:rPr>
              <w:t>6</w:t>
            </w:r>
            <w:r>
              <w:rPr>
                <w:rFonts w:hint="eastAsia" w:ascii="Times New Roman" w:hAnsi="Times New Roman" w:eastAsia="宋体" w:cs="Times New Roman"/>
                <w:sz w:val="18"/>
                <w:szCs w:val="18"/>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7" w:hRule="exact"/>
          <w:jc w:val="center"/>
        </w:trPr>
        <w:tc>
          <w:tcPr>
            <w:tcW w:w="896" w:type="dxa"/>
            <w:gridSpan w:val="2"/>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污染物排放达标与总量控制（工业建设项目详填）</w:t>
            </w: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w:t>
            </w:r>
          </w:p>
        </w:tc>
        <w:tc>
          <w:tcPr>
            <w:tcW w:w="75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原有排放量（1）</w:t>
            </w:r>
          </w:p>
        </w:tc>
        <w:tc>
          <w:tcPr>
            <w:tcW w:w="223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本期工程实际排放浓度（2）</w:t>
            </w:r>
          </w:p>
        </w:tc>
        <w:tc>
          <w:tcPr>
            <w:tcW w:w="962"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本期工程允许排放浓度（3）</w:t>
            </w:r>
          </w:p>
        </w:tc>
        <w:tc>
          <w:tcPr>
            <w:tcW w:w="1584"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本期工程生产量（4）</w:t>
            </w:r>
          </w:p>
        </w:tc>
        <w:tc>
          <w:tcPr>
            <w:tcW w:w="1247" w:type="dxa"/>
            <w:gridSpan w:val="3"/>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本期工程自身削减量（5）</w:t>
            </w:r>
          </w:p>
        </w:tc>
        <w:tc>
          <w:tcPr>
            <w:tcW w:w="112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本期工程实际排放量（6）</w:t>
            </w:r>
          </w:p>
        </w:tc>
        <w:tc>
          <w:tcPr>
            <w:tcW w:w="1217"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本期工程核定排放总量（7）</w:t>
            </w:r>
          </w:p>
        </w:tc>
        <w:tc>
          <w:tcPr>
            <w:tcW w:w="29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本期工程“以新带老”削减量（8）</w:t>
            </w:r>
          </w:p>
        </w:tc>
        <w:tc>
          <w:tcPr>
            <w:tcW w:w="1843"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全厂实际排放总量（9）</w:t>
            </w:r>
          </w:p>
        </w:tc>
        <w:tc>
          <w:tcPr>
            <w:tcW w:w="1681"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全厂核定排放总量（10）</w:t>
            </w:r>
          </w:p>
        </w:tc>
        <w:tc>
          <w:tcPr>
            <w:tcW w:w="1380"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区域平衡替代削减量（11）</w:t>
            </w:r>
          </w:p>
        </w:tc>
        <w:tc>
          <w:tcPr>
            <w:tcW w:w="11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废水</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化学需氧量</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氨氮</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石油类</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废气</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二氧化硫</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烟尘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工业粉尘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氮氧化物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工业固体废物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1838" w:type="dxa"/>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与项目有关的其他特征污染物</w:t>
            </w: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bl>
    <w:p>
      <w:pPr>
        <w:ind w:firstLine="149" w:firstLineChars="83"/>
        <w:rPr>
          <w:rFonts w:ascii="Times New Roman" w:hAnsi="Times New Roman" w:cs="Times New Roman"/>
        </w:rPr>
      </w:pPr>
      <w:r>
        <w:rPr>
          <w:rFonts w:ascii="Times New Roman" w:hAnsi="Times New Roman" w:eastAsia="宋体" w:cs="Times New Roman"/>
          <w:sz w:val="18"/>
          <w:szCs w:val="18"/>
        </w:rPr>
        <w:t>注：1、排放增减量：（+）表示增加，（-）表示减少。2、（12）=（6）-（8）-（11），（9）=（4）+（5）-（8）-（11）+（1）。3、计量单位：废水排放量——万吨/年；废气排放量——万标立方米/年；工业固体废物排放量——万吨/年；水污染物排放浓度——毫克/升。</w:t>
      </w: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sectPr>
          <w:pgSz w:w="23757" w:h="16783" w:orient="landscape"/>
          <w:pgMar w:top="1080" w:right="1440" w:bottom="1080" w:left="1440" w:header="851" w:footer="992" w:gutter="0"/>
          <w:cols w:space="425" w:num="1"/>
          <w:docGrid w:type="lines" w:linePitch="312" w:charSpace="0"/>
        </w:sectPr>
      </w:pPr>
    </w:p>
    <w:p>
      <w:pPr>
        <w:pStyle w:val="9"/>
        <w:rPr>
          <w:rFonts w:hint="eastAsia" w:ascii="Times New Roman" w:hAnsi="Times New Roman" w:cs="Times New Roman"/>
          <w:lang w:val="en-US" w:eastAsia="zh-CN"/>
        </w:rPr>
      </w:pPr>
      <w:r>
        <w:rPr>
          <w:rFonts w:hint="eastAsia" w:ascii="Times New Roman" w:hAnsi="Times New Roman" w:cs="Times New Roman"/>
          <w:lang w:val="en-US" w:eastAsia="zh-CN"/>
        </w:rPr>
        <w:t>附件2  检测报告</w:t>
      </w:r>
    </w:p>
    <w:p>
      <w:pPr>
        <w:pStyle w:val="9"/>
        <w:rPr>
          <w:rFonts w:hint="eastAsia" w:ascii="Times New Roman" w:hAnsi="Times New Roman" w:cs="Times New Roman"/>
          <w:lang w:val="en-US" w:eastAsia="zh-CN"/>
        </w:rPr>
      </w:pPr>
    </w:p>
    <w:p>
      <w:pPr>
        <w:pStyle w:val="9"/>
      </w:pPr>
      <w:r>
        <w:drawing>
          <wp:anchor distT="0" distB="0" distL="114300" distR="114300" simplePos="0" relativeHeight="251669504" behindDoc="0" locked="0" layoutInCell="1" allowOverlap="1">
            <wp:simplePos x="0" y="0"/>
            <wp:positionH relativeFrom="column">
              <wp:posOffset>353695</wp:posOffset>
            </wp:positionH>
            <wp:positionV relativeFrom="paragraph">
              <wp:posOffset>26670</wp:posOffset>
            </wp:positionV>
            <wp:extent cx="5122545" cy="6600190"/>
            <wp:effectExtent l="0" t="0" r="1905" b="1016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5122545" cy="6600190"/>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028"/>
        </w:tabs>
        <w:bidi w:val="0"/>
        <w:jc w:val="left"/>
        <w:rPr>
          <w:rFonts w:hint="eastAsia"/>
          <w:lang w:val="en-US" w:eastAsia="zh-CN"/>
        </w:rPr>
      </w:pPr>
      <w:r>
        <w:rPr>
          <w:rFonts w:hint="eastAsia"/>
          <w:lang w:val="en-US" w:eastAsia="zh-CN"/>
        </w:rPr>
        <w:drawing>
          <wp:inline distT="0" distB="0" distL="114300" distR="114300">
            <wp:extent cx="5624830" cy="7870825"/>
            <wp:effectExtent l="0" t="0" r="13970" b="1587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20"/>
                    <a:srcRect t="1823" r="8501" b="2411"/>
                    <a:stretch>
                      <a:fillRect/>
                    </a:stretch>
                  </pic:blipFill>
                  <pic:spPr>
                    <a:xfrm>
                      <a:off x="0" y="0"/>
                      <a:ext cx="5624830" cy="7870825"/>
                    </a:xfrm>
                    <a:prstGeom prst="rect">
                      <a:avLst/>
                    </a:prstGeom>
                  </pic:spPr>
                </pic:pic>
              </a:graphicData>
            </a:graphic>
          </wp:inline>
        </w:drawing>
      </w:r>
    </w:p>
    <w:p>
      <w:pPr>
        <w:tabs>
          <w:tab w:val="left" w:pos="1028"/>
        </w:tabs>
        <w:bidi w:val="0"/>
        <w:jc w:val="left"/>
        <w:rPr>
          <w:rFonts w:hint="default"/>
          <w:lang w:val="en-US" w:eastAsia="zh-CN"/>
        </w:rPr>
      </w:pP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5271135" cy="7818755"/>
            <wp:effectExtent l="0" t="0" r="5715" b="10795"/>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21"/>
                    <a:srcRect l="7282" t="4867" r="6972"/>
                    <a:stretch>
                      <a:fillRect/>
                    </a:stretch>
                  </pic:blipFill>
                  <pic:spPr>
                    <a:xfrm>
                      <a:off x="0" y="0"/>
                      <a:ext cx="5271135" cy="7818755"/>
                    </a:xfrm>
                    <a:prstGeom prst="rect">
                      <a:avLst/>
                    </a:prstGeom>
                  </pic:spPr>
                </pic:pic>
              </a:graphicData>
            </a:graphic>
          </wp:inline>
        </w:drawing>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4834255" cy="7329170"/>
            <wp:effectExtent l="0" t="0" r="4445" b="5080"/>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22"/>
                    <a:srcRect l="15195" t="5802" r="6167" b="5022"/>
                    <a:stretch>
                      <a:fillRect/>
                    </a:stretch>
                  </pic:blipFill>
                  <pic:spPr>
                    <a:xfrm>
                      <a:off x="0" y="0"/>
                      <a:ext cx="4834255" cy="7329170"/>
                    </a:xfrm>
                    <a:prstGeom prst="rect">
                      <a:avLst/>
                    </a:prstGeom>
                  </pic:spPr>
                </pic:pic>
              </a:graphicData>
            </a:graphic>
          </wp:inline>
        </w:drawing>
      </w:r>
    </w:p>
    <w:p>
      <w:pPr>
        <w:tabs>
          <w:tab w:val="left" w:pos="1028"/>
        </w:tabs>
        <w:bidi w:val="0"/>
        <w:jc w:val="left"/>
        <w:rPr>
          <w:rFonts w:hint="eastAsia"/>
          <w:lang w:val="en-US" w:eastAsia="zh-CN"/>
        </w:rPr>
      </w:pPr>
    </w:p>
    <w:p>
      <w:pPr>
        <w:tabs>
          <w:tab w:val="left" w:pos="1028"/>
        </w:tabs>
        <w:bidi w:val="0"/>
        <w:jc w:val="left"/>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5148580" cy="7696200"/>
            <wp:effectExtent l="0" t="0" r="13970" b="0"/>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23"/>
                    <a:srcRect t="6359" r="16248"/>
                    <a:stretch>
                      <a:fillRect/>
                    </a:stretch>
                  </pic:blipFill>
                  <pic:spPr>
                    <a:xfrm>
                      <a:off x="0" y="0"/>
                      <a:ext cx="5148580" cy="7696200"/>
                    </a:xfrm>
                    <a:prstGeom prst="rect">
                      <a:avLst/>
                    </a:prstGeom>
                  </pic:spPr>
                </pic:pic>
              </a:graphicData>
            </a:graphic>
          </wp:inline>
        </w:drawing>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ind w:firstLine="420" w:firstLineChars="200"/>
        <w:jc w:val="left"/>
        <w:rPr>
          <w:rFonts w:hint="eastAsia"/>
          <w:lang w:val="en-US" w:eastAsia="zh-CN"/>
        </w:rPr>
      </w:pPr>
      <w:r>
        <w:rPr>
          <w:rFonts w:hint="eastAsia"/>
          <w:lang w:val="en-US" w:eastAsia="zh-CN"/>
        </w:rPr>
        <w:t>附件3     检测报告</w:t>
      </w:r>
    </w:p>
    <w:p>
      <w:pPr>
        <w:tabs>
          <w:tab w:val="left" w:pos="1028"/>
        </w:tabs>
        <w:bidi w:val="0"/>
        <w:ind w:firstLine="420" w:firstLineChars="200"/>
        <w:jc w:val="left"/>
        <w:rPr>
          <w:rFonts w:hint="eastAsia"/>
          <w:lang w:val="en-US" w:eastAsia="zh-CN"/>
        </w:rPr>
      </w:pPr>
    </w:p>
    <w:p>
      <w:pPr>
        <w:tabs>
          <w:tab w:val="left" w:pos="1028"/>
        </w:tabs>
        <w:bidi w:val="0"/>
        <w:ind w:firstLine="420" w:firstLineChars="200"/>
        <w:jc w:val="left"/>
        <w:rPr>
          <w:rFonts w:hint="default"/>
          <w:lang w:val="en-US" w:eastAsia="zh-CN"/>
        </w:rPr>
      </w:pPr>
      <w:r>
        <w:drawing>
          <wp:anchor distT="0" distB="0" distL="114300" distR="114300" simplePos="0" relativeHeight="251670528" behindDoc="0" locked="0" layoutInCell="1" allowOverlap="1">
            <wp:simplePos x="0" y="0"/>
            <wp:positionH relativeFrom="column">
              <wp:posOffset>628015</wp:posOffset>
            </wp:positionH>
            <wp:positionV relativeFrom="page">
              <wp:posOffset>1598295</wp:posOffset>
            </wp:positionV>
            <wp:extent cx="5161915" cy="7171055"/>
            <wp:effectExtent l="0" t="0" r="635" b="1079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5161915" cy="7171055"/>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r>
        <w:drawing>
          <wp:anchor distT="0" distB="0" distL="114300" distR="114300" simplePos="0" relativeHeight="251671552" behindDoc="0" locked="0" layoutInCell="1" allowOverlap="1">
            <wp:simplePos x="0" y="0"/>
            <wp:positionH relativeFrom="column">
              <wp:posOffset>324485</wp:posOffset>
            </wp:positionH>
            <wp:positionV relativeFrom="page">
              <wp:posOffset>1412240</wp:posOffset>
            </wp:positionV>
            <wp:extent cx="5523230" cy="7722870"/>
            <wp:effectExtent l="0" t="0" r="1270" b="11430"/>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5523230" cy="7722870"/>
                    </a:xfrm>
                    <a:prstGeom prst="rect">
                      <a:avLst/>
                    </a:prstGeom>
                    <a:noFill/>
                    <a:ln>
                      <a:noFill/>
                    </a:ln>
                  </pic:spPr>
                </pic:pic>
              </a:graphicData>
            </a:graphic>
          </wp:anchor>
        </w:drawing>
      </w:r>
    </w:p>
    <w:p>
      <w:pPr>
        <w:tabs>
          <w:tab w:val="left" w:pos="1028"/>
        </w:tabs>
        <w:bidi w:val="0"/>
        <w:jc w:val="left"/>
        <w:rPr>
          <w:rFonts w:hint="default"/>
          <w:lang w:val="en-US" w:eastAsia="zh-CN"/>
        </w:rPr>
      </w:pP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drawing>
          <wp:anchor distT="0" distB="0" distL="114300" distR="114300" simplePos="0" relativeHeight="251681792" behindDoc="0" locked="0" layoutInCell="1" allowOverlap="1">
            <wp:simplePos x="0" y="0"/>
            <wp:positionH relativeFrom="column">
              <wp:posOffset>466725</wp:posOffset>
            </wp:positionH>
            <wp:positionV relativeFrom="page">
              <wp:posOffset>1188720</wp:posOffset>
            </wp:positionV>
            <wp:extent cx="5237480" cy="7428865"/>
            <wp:effectExtent l="0" t="0" r="1270" b="635"/>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6"/>
                    <a:stretch>
                      <a:fillRect/>
                    </a:stretch>
                  </pic:blipFill>
                  <pic:spPr>
                    <a:xfrm>
                      <a:off x="0" y="0"/>
                      <a:ext cx="5237480" cy="7428865"/>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rPr>
          <w:rFonts w:hint="eastAsia"/>
          <w:lang w:val="en-US" w:eastAsia="zh-CN"/>
        </w:rPr>
        <w:t xml:space="preserve">                         </w:t>
      </w:r>
    </w:p>
    <w:p>
      <w:pPr>
        <w:tabs>
          <w:tab w:val="left" w:pos="1028"/>
        </w:tabs>
        <w:bidi w:val="0"/>
        <w:jc w:val="left"/>
        <w:rPr>
          <w:rFonts w:hint="eastAsia"/>
          <w:lang w:val="en-US" w:eastAsia="zh-CN"/>
        </w:rPr>
      </w:pPr>
      <w:r>
        <w:drawing>
          <wp:anchor distT="0" distB="0" distL="114300" distR="114300" simplePos="0" relativeHeight="251673600" behindDoc="0" locked="0" layoutInCell="1" allowOverlap="1">
            <wp:simplePos x="0" y="0"/>
            <wp:positionH relativeFrom="column">
              <wp:posOffset>314325</wp:posOffset>
            </wp:positionH>
            <wp:positionV relativeFrom="page">
              <wp:posOffset>1314450</wp:posOffset>
            </wp:positionV>
            <wp:extent cx="5398770" cy="7610475"/>
            <wp:effectExtent l="0" t="0" r="11430" b="9525"/>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7"/>
                    <a:stretch>
                      <a:fillRect/>
                    </a:stretch>
                  </pic:blipFill>
                  <pic:spPr>
                    <a:xfrm>
                      <a:off x="0" y="0"/>
                      <a:ext cx="5398770" cy="7610475"/>
                    </a:xfrm>
                    <a:prstGeom prst="rect">
                      <a:avLst/>
                    </a:prstGeom>
                    <a:noFill/>
                    <a:ln>
                      <a:noFill/>
                    </a:ln>
                  </pic:spPr>
                </pic:pic>
              </a:graphicData>
            </a:graphic>
          </wp:anchor>
        </w:drawing>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drawing>
          <wp:anchor distT="0" distB="0" distL="114300" distR="114300" simplePos="0" relativeHeight="251682816" behindDoc="0" locked="0" layoutInCell="1" allowOverlap="1">
            <wp:simplePos x="0" y="0"/>
            <wp:positionH relativeFrom="column">
              <wp:posOffset>172720</wp:posOffset>
            </wp:positionH>
            <wp:positionV relativeFrom="page">
              <wp:posOffset>1165860</wp:posOffset>
            </wp:positionV>
            <wp:extent cx="5875020" cy="7381875"/>
            <wp:effectExtent l="0" t="0" r="11430" b="9525"/>
            <wp:wrapTopAndBottom/>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8"/>
                    <a:stretch>
                      <a:fillRect/>
                    </a:stretch>
                  </pic:blipFill>
                  <pic:spPr>
                    <a:xfrm>
                      <a:off x="0" y="0"/>
                      <a:ext cx="5875020" cy="7381875"/>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default"/>
          <w:lang w:val="en-US" w:eastAsia="zh-CN"/>
        </w:rPr>
      </w:pPr>
      <w:r>
        <w:drawing>
          <wp:anchor distT="0" distB="0" distL="114300" distR="114300" simplePos="0" relativeHeight="251675648" behindDoc="0" locked="0" layoutInCell="1" allowOverlap="1">
            <wp:simplePos x="0" y="0"/>
            <wp:positionH relativeFrom="column">
              <wp:posOffset>552450</wp:posOffset>
            </wp:positionH>
            <wp:positionV relativeFrom="page">
              <wp:posOffset>1348740</wp:posOffset>
            </wp:positionV>
            <wp:extent cx="5210175" cy="7561580"/>
            <wp:effectExtent l="0" t="0" r="9525" b="1270"/>
            <wp:wrapTopAndBottom/>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9"/>
                    <a:stretch>
                      <a:fillRect/>
                    </a:stretch>
                  </pic:blipFill>
                  <pic:spPr>
                    <a:xfrm>
                      <a:off x="0" y="0"/>
                      <a:ext cx="5210175" cy="7561580"/>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drawing>
          <wp:anchor distT="0" distB="0" distL="114300" distR="114300" simplePos="0" relativeHeight="251676672" behindDoc="0" locked="0" layoutInCell="1" allowOverlap="1">
            <wp:simplePos x="0" y="0"/>
            <wp:positionH relativeFrom="column">
              <wp:posOffset>285750</wp:posOffset>
            </wp:positionH>
            <wp:positionV relativeFrom="page">
              <wp:posOffset>1177290</wp:posOffset>
            </wp:positionV>
            <wp:extent cx="5285740" cy="7580630"/>
            <wp:effectExtent l="0" t="0" r="10160" b="1270"/>
            <wp:wrapTopAndBottom/>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0"/>
                    <a:stretch>
                      <a:fillRect/>
                    </a:stretch>
                  </pic:blipFill>
                  <pic:spPr>
                    <a:xfrm>
                      <a:off x="0" y="0"/>
                      <a:ext cx="5285740" cy="7580630"/>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drawing>
          <wp:anchor distT="0" distB="0" distL="114300" distR="114300" simplePos="0" relativeHeight="251677696" behindDoc="0" locked="0" layoutInCell="1" allowOverlap="1">
            <wp:simplePos x="0" y="0"/>
            <wp:positionH relativeFrom="column">
              <wp:posOffset>533400</wp:posOffset>
            </wp:positionH>
            <wp:positionV relativeFrom="page">
              <wp:posOffset>1314450</wp:posOffset>
            </wp:positionV>
            <wp:extent cx="5276850" cy="7599045"/>
            <wp:effectExtent l="0" t="0" r="0" b="1905"/>
            <wp:wrapTopAndBottom/>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1"/>
                    <a:stretch>
                      <a:fillRect/>
                    </a:stretch>
                  </pic:blipFill>
                  <pic:spPr>
                    <a:xfrm>
                      <a:off x="0" y="0"/>
                      <a:ext cx="5276850" cy="7599045"/>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drawing>
          <wp:anchor distT="0" distB="0" distL="114300" distR="114300" simplePos="0" relativeHeight="251678720" behindDoc="0" locked="0" layoutInCell="1" allowOverlap="1">
            <wp:simplePos x="0" y="0"/>
            <wp:positionH relativeFrom="column">
              <wp:posOffset>705485</wp:posOffset>
            </wp:positionH>
            <wp:positionV relativeFrom="page">
              <wp:posOffset>1116330</wp:posOffset>
            </wp:positionV>
            <wp:extent cx="4560570" cy="7908925"/>
            <wp:effectExtent l="0" t="0" r="11430" b="15875"/>
            <wp:wrapTopAndBottom/>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32"/>
                    <a:stretch>
                      <a:fillRect/>
                    </a:stretch>
                  </pic:blipFill>
                  <pic:spPr>
                    <a:xfrm rot="10800000">
                      <a:off x="0" y="0"/>
                      <a:ext cx="4560570" cy="7908925"/>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drawing>
          <wp:anchor distT="0" distB="0" distL="114300" distR="114300" simplePos="0" relativeHeight="251679744" behindDoc="0" locked="0" layoutInCell="1" allowOverlap="1">
            <wp:simplePos x="0" y="0"/>
            <wp:positionH relativeFrom="column">
              <wp:posOffset>638810</wp:posOffset>
            </wp:positionH>
            <wp:positionV relativeFrom="page">
              <wp:posOffset>1205865</wp:posOffset>
            </wp:positionV>
            <wp:extent cx="4921885" cy="7733030"/>
            <wp:effectExtent l="0" t="0" r="12065" b="1270"/>
            <wp:wrapTopAndBottom/>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3"/>
                    <a:stretch>
                      <a:fillRect/>
                    </a:stretch>
                  </pic:blipFill>
                  <pic:spPr>
                    <a:xfrm>
                      <a:off x="0" y="0"/>
                      <a:ext cx="4921885" cy="7733030"/>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rPr>
          <w:rFonts w:hint="eastAsia"/>
          <w:lang w:val="en-US" w:eastAsia="zh-CN"/>
        </w:rPr>
        <w:t xml:space="preserve">        </w:t>
      </w:r>
      <w:r>
        <w:drawing>
          <wp:anchor distT="0" distB="0" distL="114300" distR="114300" simplePos="0" relativeHeight="251680768" behindDoc="0" locked="0" layoutInCell="1" allowOverlap="1">
            <wp:simplePos x="0" y="0"/>
            <wp:positionH relativeFrom="column">
              <wp:posOffset>533400</wp:posOffset>
            </wp:positionH>
            <wp:positionV relativeFrom="page">
              <wp:posOffset>1160145</wp:posOffset>
            </wp:positionV>
            <wp:extent cx="4942205" cy="7579995"/>
            <wp:effectExtent l="0" t="0" r="10795" b="1905"/>
            <wp:wrapTopAndBottom/>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4"/>
                    <a:stretch>
                      <a:fillRect/>
                    </a:stretch>
                  </pic:blipFill>
                  <pic:spPr>
                    <a:xfrm>
                      <a:off x="0" y="0"/>
                      <a:ext cx="4942205" cy="7579995"/>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r>
        <w:rPr>
          <w:rFonts w:hint="eastAsia"/>
          <w:lang w:val="en-US" w:eastAsia="zh-CN"/>
        </w:rPr>
        <w:t xml:space="preserve">  附件4  专家意见</w:t>
      </w:r>
    </w:p>
    <w:p>
      <w:pPr>
        <w:tabs>
          <w:tab w:val="left" w:pos="1028"/>
        </w:tabs>
        <w:bidi w:val="0"/>
        <w:jc w:val="left"/>
        <w:rPr>
          <w:rFonts w:hint="eastAsia"/>
          <w:lang w:val="en-US" w:eastAsia="zh-CN"/>
        </w:rPr>
      </w:pPr>
      <w:r>
        <w:rPr>
          <w:rFonts w:hint="eastAsia"/>
          <w:lang w:val="en-US" w:eastAsia="zh-CN"/>
        </w:rPr>
        <w:t xml:space="preserve">  </w:t>
      </w:r>
    </w:p>
    <w:p>
      <w:pPr>
        <w:tabs>
          <w:tab w:val="left" w:pos="1028"/>
        </w:tabs>
        <w:bidi w:val="0"/>
        <w:jc w:val="left"/>
        <w:rPr>
          <w:rFonts w:hint="eastAsia"/>
          <w:lang w:val="en-US" w:eastAsia="zh-CN"/>
        </w:rPr>
      </w:pPr>
      <w:r>
        <w:drawing>
          <wp:anchor distT="0" distB="0" distL="114300" distR="114300" simplePos="0" relativeHeight="251683840" behindDoc="0" locked="0" layoutInCell="1" allowOverlap="1">
            <wp:simplePos x="0" y="0"/>
            <wp:positionH relativeFrom="column">
              <wp:posOffset>819785</wp:posOffset>
            </wp:positionH>
            <wp:positionV relativeFrom="page">
              <wp:posOffset>1383030</wp:posOffset>
            </wp:positionV>
            <wp:extent cx="4256405" cy="6885940"/>
            <wp:effectExtent l="0" t="0" r="10795" b="1016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5"/>
                    <a:stretch>
                      <a:fillRect/>
                    </a:stretch>
                  </pic:blipFill>
                  <pic:spPr>
                    <a:xfrm>
                      <a:off x="0" y="0"/>
                      <a:ext cx="4256405" cy="6885940"/>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r>
        <w:drawing>
          <wp:anchor distT="0" distB="0" distL="114300" distR="114300" simplePos="0" relativeHeight="251684864" behindDoc="0" locked="0" layoutInCell="1" allowOverlap="1">
            <wp:simplePos x="0" y="0"/>
            <wp:positionH relativeFrom="column">
              <wp:posOffset>932815</wp:posOffset>
            </wp:positionH>
            <wp:positionV relativeFrom="page">
              <wp:posOffset>1120140</wp:posOffset>
            </wp:positionV>
            <wp:extent cx="4304665" cy="6885940"/>
            <wp:effectExtent l="0" t="0" r="635" b="10160"/>
            <wp:wrapTopAndBottom/>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6"/>
                    <a:stretch>
                      <a:fillRect/>
                    </a:stretch>
                  </pic:blipFill>
                  <pic:spPr>
                    <a:xfrm>
                      <a:off x="0" y="0"/>
                      <a:ext cx="4304665" cy="6885940"/>
                    </a:xfrm>
                    <a:prstGeom prst="rect">
                      <a:avLst/>
                    </a:prstGeom>
                    <a:noFill/>
                    <a:ln>
                      <a:noFill/>
                    </a:ln>
                  </pic:spPr>
                </pic:pic>
              </a:graphicData>
            </a:graphic>
          </wp:anchor>
        </w:drawing>
      </w:r>
      <w:r>
        <w:rPr>
          <w:rFonts w:hint="eastAsia"/>
          <w:lang w:val="en-US" w:eastAsia="zh-CN"/>
        </w:rPr>
        <w:t xml:space="preserve">          </w:t>
      </w:r>
      <w:bookmarkStart w:id="81" w:name="_GoBack"/>
      <w:bookmarkEnd w:id="81"/>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r>
        <w:drawing>
          <wp:anchor distT="0" distB="0" distL="114300" distR="114300" simplePos="0" relativeHeight="251685888" behindDoc="0" locked="0" layoutInCell="1" allowOverlap="1">
            <wp:simplePos x="0" y="0"/>
            <wp:positionH relativeFrom="column">
              <wp:posOffset>647700</wp:posOffset>
            </wp:positionH>
            <wp:positionV relativeFrom="page">
              <wp:posOffset>1316355</wp:posOffset>
            </wp:positionV>
            <wp:extent cx="4210050" cy="6133465"/>
            <wp:effectExtent l="0" t="0" r="0" b="635"/>
            <wp:wrapTopAndBottom/>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7"/>
                    <a:stretch>
                      <a:fillRect/>
                    </a:stretch>
                  </pic:blipFill>
                  <pic:spPr>
                    <a:xfrm>
                      <a:off x="0" y="0"/>
                      <a:ext cx="4210050" cy="6133465"/>
                    </a:xfrm>
                    <a:prstGeom prst="rect">
                      <a:avLst/>
                    </a:prstGeom>
                    <a:noFill/>
                    <a:ln>
                      <a:noFill/>
                    </a:ln>
                  </pic:spPr>
                </pic:pic>
              </a:graphicData>
            </a:graphic>
          </wp:anchor>
        </w:drawing>
      </w:r>
      <w:r>
        <w:rPr>
          <w:rFonts w:hint="eastAsia"/>
          <w:lang w:val="en-US" w:eastAsia="zh-CN"/>
        </w:rPr>
        <w:t xml:space="preserve">       </w:t>
      </w: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eastAsia"/>
          <w:lang w:val="en-US" w:eastAsia="zh-CN"/>
        </w:rPr>
      </w:pPr>
    </w:p>
    <w:p>
      <w:pPr>
        <w:tabs>
          <w:tab w:val="left" w:pos="1028"/>
        </w:tabs>
        <w:bidi w:val="0"/>
        <w:jc w:val="left"/>
        <w:rPr>
          <w:rFonts w:hint="default"/>
          <w:lang w:val="en-US" w:eastAsia="zh-CN"/>
        </w:rPr>
      </w:pPr>
      <w:r>
        <w:drawing>
          <wp:anchor distT="0" distB="0" distL="114300" distR="114300" simplePos="0" relativeHeight="251686912" behindDoc="0" locked="0" layoutInCell="1" allowOverlap="1">
            <wp:simplePos x="0" y="0"/>
            <wp:positionH relativeFrom="column">
              <wp:posOffset>819785</wp:posOffset>
            </wp:positionH>
            <wp:positionV relativeFrom="page">
              <wp:posOffset>1365885</wp:posOffset>
            </wp:positionV>
            <wp:extent cx="4541520" cy="6086475"/>
            <wp:effectExtent l="0" t="0" r="11430" b="9525"/>
            <wp:wrapTopAndBottom/>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8"/>
                    <a:stretch>
                      <a:fillRect/>
                    </a:stretch>
                  </pic:blipFill>
                  <pic:spPr>
                    <a:xfrm>
                      <a:off x="0" y="0"/>
                      <a:ext cx="4541520" cy="6086475"/>
                    </a:xfrm>
                    <a:prstGeom prst="rect">
                      <a:avLst/>
                    </a:prstGeom>
                    <a:noFill/>
                    <a:ln>
                      <a:noFill/>
                    </a:ln>
                  </pic:spPr>
                </pic:pic>
              </a:graphicData>
            </a:graphic>
          </wp:anchor>
        </w:drawing>
      </w:r>
      <w:r>
        <w:rPr>
          <w:rFonts w:hint="eastAsia"/>
          <w:lang w:val="en-US" w:eastAsia="zh-CN"/>
        </w:rPr>
        <w:t xml:space="preserve">      </w:t>
      </w:r>
    </w:p>
    <w:sectPr>
      <w:pgSz w:w="11850" w:h="16783"/>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0000000000000000000"/>
    <w:charset w:val="02"/>
    <w:family w:val="decorative"/>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r>
      <w:pict>
        <v:shape id="_x0000_s2049" o:spid="_x0000_s2049"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WPnU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ZWPnUVAgAAFwQAAA4AAAAAAAAA&#10;AQAgAAAAHwEAAGRycy9lMm9Eb2MueG1sUEsFBgAAAAAGAAYAWQEAAKYFAAAAAA==&#10;">
          <v:path/>
          <v:fill on="f" focussize="0,0"/>
          <v:stroke on="f" weight="0.5pt" joinstyle="miter"/>
          <v:imagedata o:title=""/>
          <o:lock v:ext="edit"/>
          <v:textbox inset="0mm,0mm,0mm,0mm" style="mso-fit-shape-to-text:t;">
            <w:txbxContent>
              <w:p>
                <w:pPr>
                  <w:pStyle w:val="11"/>
                  <w:rPr>
                    <w:rFonts w:eastAsia="宋体"/>
                  </w:rPr>
                </w:pPr>
                <w:r>
                  <w:fldChar w:fldCharType="begin"/>
                </w:r>
                <w:r>
                  <w:instrText xml:space="preserve"> PAGE  \* MERGEFORMAT </w:instrText>
                </w:r>
                <w:r>
                  <w:fldChar w:fldCharType="separate"/>
                </w:r>
                <w:r>
                  <w:t>I</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845"/>
        <w:tab w:val="clear" w:pos="4153"/>
      </w:tabs>
    </w:pPr>
    <w:r>
      <w:pict>
        <v:shape id="_x0000_s2050" o:spid="_x0000_s2050"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path/>
          <v:fill on="f" focussize="0,0"/>
          <v:stroke on="f" weight="0.5pt" joinstyle="miter"/>
          <v:imagedata o:title=""/>
          <o:lock v:ext="edit"/>
          <v:textbox inset="0mm,0mm,0mm,0mm" style="mso-fit-shape-to-text:t;">
            <w:txbxContent>
              <w:p>
                <w:pPr>
                  <w:pStyle w:val="11"/>
                  <w:rPr>
                    <w:rFonts w:eastAsia="宋体"/>
                  </w:rPr>
                </w:pPr>
                <w:r>
                  <w:fldChar w:fldCharType="begin"/>
                </w:r>
                <w:r>
                  <w:instrText xml:space="preserve"> PAGE  \* MERGEFORMAT </w:instrText>
                </w:r>
                <w:r>
                  <w:fldChar w:fldCharType="separate"/>
                </w:r>
                <w:r>
                  <w:t>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Cs w:val="21"/>
      </w:rPr>
    </w:pPr>
    <w:r>
      <w:rPr>
        <w:rFonts w:hint="eastAsia"/>
        <w:sz w:val="21"/>
        <w:szCs w:val="21"/>
      </w:rPr>
      <w:t>贵州交建国储贸易有限公司花安高速燕楼服务区加油站二站建设项目竣工环境保护验收监测报告表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Cs w:val="21"/>
      </w:rPr>
    </w:pPr>
    <w:r>
      <w:rPr>
        <w:rFonts w:hint="eastAsia"/>
        <w:sz w:val="21"/>
        <w:szCs w:val="21"/>
      </w:rPr>
      <w:t>贵州交建国储贸易有限公司花安高速燕楼服务区加油站二站建设项目竣工环境保护验收监测报告表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EnclosedCircle"/>
      <w:lvlText w:val="%1"/>
      <w:lvlJc w:val="left"/>
      <w:pPr>
        <w:ind w:left="1609" w:hanging="420"/>
      </w:pPr>
      <w:rPr>
        <w:rFonts w:hint="eastAsia" w:ascii="宋体"/>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1">
    <w:nsid w:val="040449AC"/>
    <w:multiLevelType w:val="multilevel"/>
    <w:tmpl w:val="040449AC"/>
    <w:lvl w:ilvl="0" w:tentative="0">
      <w:start w:val="1"/>
      <w:numFmt w:val="decimalEnclosedCircle"/>
      <w:lvlText w:val="%1"/>
      <w:lvlJc w:val="left"/>
      <w:pPr>
        <w:ind w:left="1200" w:hanging="360"/>
      </w:pPr>
      <w:rPr>
        <w:rFonts w:hint="default" w:asciiTheme="minorEastAsia" w:hAnsiTheme="minor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2C116449"/>
    <w:multiLevelType w:val="singleLevel"/>
    <w:tmpl w:val="2C116449"/>
    <w:lvl w:ilvl="0" w:tentative="0">
      <w:start w:val="1"/>
      <w:numFmt w:val="decimal"/>
      <w:suff w:val="nothing"/>
      <w:lvlText w:val="（%1）"/>
      <w:lvlJc w:val="left"/>
    </w:lvl>
  </w:abstractNum>
  <w:abstractNum w:abstractNumId="3">
    <w:nsid w:val="2D694BE4"/>
    <w:multiLevelType w:val="multilevel"/>
    <w:tmpl w:val="2D694BE4"/>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84C7AA8"/>
    <w:multiLevelType w:val="multilevel"/>
    <w:tmpl w:val="384C7AA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BBF13B1"/>
    <w:multiLevelType w:val="multilevel"/>
    <w:tmpl w:val="4BBF13B1"/>
    <w:lvl w:ilvl="0" w:tentative="0">
      <w:start w:val="1"/>
      <w:numFmt w:val="decimal"/>
      <w:lvlText w:val="%1、"/>
      <w:lvlJc w:val="left"/>
      <w:pPr>
        <w:ind w:left="408" w:hanging="408"/>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7A0C92"/>
    <w:multiLevelType w:val="singleLevel"/>
    <w:tmpl w:val="597A0C92"/>
    <w:lvl w:ilvl="0" w:tentative="0">
      <w:start w:val="2"/>
      <w:numFmt w:val="decimal"/>
      <w:suff w:val="nothing"/>
      <w:lvlText w:val="%1、"/>
      <w:lvlJc w:val="left"/>
    </w:lvl>
  </w:abstractNum>
  <w:abstractNum w:abstractNumId="7">
    <w:nsid w:val="727C481D"/>
    <w:multiLevelType w:val="multilevel"/>
    <w:tmpl w:val="727C481D"/>
    <w:lvl w:ilvl="0" w:tentative="0">
      <w:start w:val="1"/>
      <w:numFmt w:val="decimalEnclosedCircle"/>
      <w:lvlText w:val="%1"/>
      <w:lvlJc w:val="left"/>
      <w:pPr>
        <w:ind w:left="840" w:hanging="360"/>
      </w:pPr>
      <w:rPr>
        <w:rFonts w:hint="default" w:asciiTheme="minorEastAsia" w:hAnsiTheme="minor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0"/>
  </w:num>
  <w:num w:numId="3">
    <w:abstractNumId w:val="1"/>
  </w:num>
  <w:num w:numId="4">
    <w:abstractNumId w:val="3"/>
  </w:num>
  <w:num w:numId="5">
    <w:abstractNumId w:val="7"/>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FA1190F"/>
    <w:rsid w:val="0000069F"/>
    <w:rsid w:val="00002797"/>
    <w:rsid w:val="00003146"/>
    <w:rsid w:val="000034AC"/>
    <w:rsid w:val="00003A5F"/>
    <w:rsid w:val="0000623A"/>
    <w:rsid w:val="0000736E"/>
    <w:rsid w:val="000106C5"/>
    <w:rsid w:val="0001097F"/>
    <w:rsid w:val="00010FE5"/>
    <w:rsid w:val="00011525"/>
    <w:rsid w:val="0001247C"/>
    <w:rsid w:val="000130DE"/>
    <w:rsid w:val="00013A3A"/>
    <w:rsid w:val="00013C80"/>
    <w:rsid w:val="00014246"/>
    <w:rsid w:val="000161C1"/>
    <w:rsid w:val="00017ACA"/>
    <w:rsid w:val="000225D8"/>
    <w:rsid w:val="00025178"/>
    <w:rsid w:val="00026D3C"/>
    <w:rsid w:val="00027EF0"/>
    <w:rsid w:val="000313EE"/>
    <w:rsid w:val="000335A6"/>
    <w:rsid w:val="00034C27"/>
    <w:rsid w:val="00034D33"/>
    <w:rsid w:val="00035406"/>
    <w:rsid w:val="00035B8A"/>
    <w:rsid w:val="000367A5"/>
    <w:rsid w:val="000418A6"/>
    <w:rsid w:val="00041B04"/>
    <w:rsid w:val="00042038"/>
    <w:rsid w:val="00042AC2"/>
    <w:rsid w:val="00043BFB"/>
    <w:rsid w:val="00043CC1"/>
    <w:rsid w:val="00044A7C"/>
    <w:rsid w:val="0005045F"/>
    <w:rsid w:val="00050B19"/>
    <w:rsid w:val="000547CD"/>
    <w:rsid w:val="00054E63"/>
    <w:rsid w:val="00056648"/>
    <w:rsid w:val="000568BB"/>
    <w:rsid w:val="00062374"/>
    <w:rsid w:val="00062637"/>
    <w:rsid w:val="0006274F"/>
    <w:rsid w:val="00063AA6"/>
    <w:rsid w:val="0006403D"/>
    <w:rsid w:val="00065124"/>
    <w:rsid w:val="000652FA"/>
    <w:rsid w:val="0006678B"/>
    <w:rsid w:val="000711FA"/>
    <w:rsid w:val="000712DA"/>
    <w:rsid w:val="00073613"/>
    <w:rsid w:val="00075DE6"/>
    <w:rsid w:val="000760C0"/>
    <w:rsid w:val="000771C8"/>
    <w:rsid w:val="00077582"/>
    <w:rsid w:val="000778F6"/>
    <w:rsid w:val="00077CC1"/>
    <w:rsid w:val="00077EBD"/>
    <w:rsid w:val="000811A8"/>
    <w:rsid w:val="00081CF9"/>
    <w:rsid w:val="00082C90"/>
    <w:rsid w:val="000836BC"/>
    <w:rsid w:val="0008414E"/>
    <w:rsid w:val="00084816"/>
    <w:rsid w:val="00084844"/>
    <w:rsid w:val="000871D8"/>
    <w:rsid w:val="00087F8B"/>
    <w:rsid w:val="0009062D"/>
    <w:rsid w:val="00090D4C"/>
    <w:rsid w:val="00092A63"/>
    <w:rsid w:val="00094D22"/>
    <w:rsid w:val="00094F61"/>
    <w:rsid w:val="000974D7"/>
    <w:rsid w:val="00097D6D"/>
    <w:rsid w:val="000A0404"/>
    <w:rsid w:val="000A0850"/>
    <w:rsid w:val="000A509E"/>
    <w:rsid w:val="000A719C"/>
    <w:rsid w:val="000A720E"/>
    <w:rsid w:val="000B1964"/>
    <w:rsid w:val="000B374C"/>
    <w:rsid w:val="000B3C9F"/>
    <w:rsid w:val="000B5B83"/>
    <w:rsid w:val="000B6388"/>
    <w:rsid w:val="000B72F7"/>
    <w:rsid w:val="000B7681"/>
    <w:rsid w:val="000B7F09"/>
    <w:rsid w:val="000C0321"/>
    <w:rsid w:val="000C1431"/>
    <w:rsid w:val="000C2F29"/>
    <w:rsid w:val="000C65A5"/>
    <w:rsid w:val="000D0C39"/>
    <w:rsid w:val="000D2A24"/>
    <w:rsid w:val="000D3190"/>
    <w:rsid w:val="000D3806"/>
    <w:rsid w:val="000D59E2"/>
    <w:rsid w:val="000D7EB9"/>
    <w:rsid w:val="000E035B"/>
    <w:rsid w:val="000E46E8"/>
    <w:rsid w:val="000E48F0"/>
    <w:rsid w:val="000E4ACC"/>
    <w:rsid w:val="000E5CD3"/>
    <w:rsid w:val="000E6AC5"/>
    <w:rsid w:val="000E77C4"/>
    <w:rsid w:val="000E79A1"/>
    <w:rsid w:val="000F04E2"/>
    <w:rsid w:val="000F2AE2"/>
    <w:rsid w:val="000F3B60"/>
    <w:rsid w:val="000F4FD4"/>
    <w:rsid w:val="000F56CC"/>
    <w:rsid w:val="000F5C3D"/>
    <w:rsid w:val="000F66FE"/>
    <w:rsid w:val="000F72E3"/>
    <w:rsid w:val="000F7A95"/>
    <w:rsid w:val="000F7D37"/>
    <w:rsid w:val="001000FC"/>
    <w:rsid w:val="00101321"/>
    <w:rsid w:val="00101689"/>
    <w:rsid w:val="00104D75"/>
    <w:rsid w:val="00105408"/>
    <w:rsid w:val="00106AA9"/>
    <w:rsid w:val="00111F55"/>
    <w:rsid w:val="00112014"/>
    <w:rsid w:val="001138C6"/>
    <w:rsid w:val="001138F9"/>
    <w:rsid w:val="00115650"/>
    <w:rsid w:val="00117365"/>
    <w:rsid w:val="00117B71"/>
    <w:rsid w:val="001203EA"/>
    <w:rsid w:val="0012133B"/>
    <w:rsid w:val="00122559"/>
    <w:rsid w:val="00122995"/>
    <w:rsid w:val="001238B9"/>
    <w:rsid w:val="00124557"/>
    <w:rsid w:val="00124756"/>
    <w:rsid w:val="0012547F"/>
    <w:rsid w:val="00126291"/>
    <w:rsid w:val="00130F68"/>
    <w:rsid w:val="00131385"/>
    <w:rsid w:val="00131E94"/>
    <w:rsid w:val="00134BCB"/>
    <w:rsid w:val="001356A4"/>
    <w:rsid w:val="00140BB2"/>
    <w:rsid w:val="00140DEC"/>
    <w:rsid w:val="001412E4"/>
    <w:rsid w:val="00141D7E"/>
    <w:rsid w:val="001460A3"/>
    <w:rsid w:val="00146A37"/>
    <w:rsid w:val="00146E70"/>
    <w:rsid w:val="00147DAD"/>
    <w:rsid w:val="00153945"/>
    <w:rsid w:val="00153D2E"/>
    <w:rsid w:val="00154CE2"/>
    <w:rsid w:val="00155511"/>
    <w:rsid w:val="00160F91"/>
    <w:rsid w:val="00161E31"/>
    <w:rsid w:val="00161E56"/>
    <w:rsid w:val="0016283C"/>
    <w:rsid w:val="00170007"/>
    <w:rsid w:val="0017177B"/>
    <w:rsid w:val="0017199A"/>
    <w:rsid w:val="0017380D"/>
    <w:rsid w:val="00174807"/>
    <w:rsid w:val="00174F57"/>
    <w:rsid w:val="001750BE"/>
    <w:rsid w:val="00175326"/>
    <w:rsid w:val="00176054"/>
    <w:rsid w:val="00177D6B"/>
    <w:rsid w:val="00177FAF"/>
    <w:rsid w:val="00180ACF"/>
    <w:rsid w:val="00181A7B"/>
    <w:rsid w:val="00182753"/>
    <w:rsid w:val="00182B5A"/>
    <w:rsid w:val="0018311E"/>
    <w:rsid w:val="0018465F"/>
    <w:rsid w:val="00192E28"/>
    <w:rsid w:val="0019320C"/>
    <w:rsid w:val="00193E4E"/>
    <w:rsid w:val="0019732F"/>
    <w:rsid w:val="0019788E"/>
    <w:rsid w:val="00197BF6"/>
    <w:rsid w:val="00197F0A"/>
    <w:rsid w:val="001A1BE3"/>
    <w:rsid w:val="001A2E1F"/>
    <w:rsid w:val="001A42F4"/>
    <w:rsid w:val="001A4BD7"/>
    <w:rsid w:val="001A5738"/>
    <w:rsid w:val="001A7413"/>
    <w:rsid w:val="001B02CE"/>
    <w:rsid w:val="001B0654"/>
    <w:rsid w:val="001B09A5"/>
    <w:rsid w:val="001B30BF"/>
    <w:rsid w:val="001B3F9D"/>
    <w:rsid w:val="001B61CD"/>
    <w:rsid w:val="001C1499"/>
    <w:rsid w:val="001C1D9C"/>
    <w:rsid w:val="001C2A48"/>
    <w:rsid w:val="001C48BF"/>
    <w:rsid w:val="001C4B7D"/>
    <w:rsid w:val="001D0354"/>
    <w:rsid w:val="001D0B6E"/>
    <w:rsid w:val="001D19C3"/>
    <w:rsid w:val="001D6271"/>
    <w:rsid w:val="001D7F25"/>
    <w:rsid w:val="001E1EAC"/>
    <w:rsid w:val="001E2A76"/>
    <w:rsid w:val="001E2AF3"/>
    <w:rsid w:val="001F0186"/>
    <w:rsid w:val="001F13F6"/>
    <w:rsid w:val="001F144A"/>
    <w:rsid w:val="001F4A79"/>
    <w:rsid w:val="001F5F8A"/>
    <w:rsid w:val="001F7489"/>
    <w:rsid w:val="0020035F"/>
    <w:rsid w:val="00201024"/>
    <w:rsid w:val="00202A75"/>
    <w:rsid w:val="00203693"/>
    <w:rsid w:val="00203A43"/>
    <w:rsid w:val="00206962"/>
    <w:rsid w:val="0020790B"/>
    <w:rsid w:val="002119FB"/>
    <w:rsid w:val="00211AE6"/>
    <w:rsid w:val="00212D66"/>
    <w:rsid w:val="00214CA8"/>
    <w:rsid w:val="002156AB"/>
    <w:rsid w:val="00216531"/>
    <w:rsid w:val="002171CA"/>
    <w:rsid w:val="00217B7F"/>
    <w:rsid w:val="002216C9"/>
    <w:rsid w:val="00221A29"/>
    <w:rsid w:val="00221E2A"/>
    <w:rsid w:val="002224E7"/>
    <w:rsid w:val="00223111"/>
    <w:rsid w:val="0022400E"/>
    <w:rsid w:val="00224A75"/>
    <w:rsid w:val="00225CC7"/>
    <w:rsid w:val="00225FA4"/>
    <w:rsid w:val="00226691"/>
    <w:rsid w:val="00226E88"/>
    <w:rsid w:val="0023018E"/>
    <w:rsid w:val="002301D4"/>
    <w:rsid w:val="00232087"/>
    <w:rsid w:val="00233FA2"/>
    <w:rsid w:val="0023416A"/>
    <w:rsid w:val="002356D7"/>
    <w:rsid w:val="002364A3"/>
    <w:rsid w:val="0023651F"/>
    <w:rsid w:val="0024168A"/>
    <w:rsid w:val="00241D07"/>
    <w:rsid w:val="002432D8"/>
    <w:rsid w:val="002449BC"/>
    <w:rsid w:val="0024616E"/>
    <w:rsid w:val="00247AE9"/>
    <w:rsid w:val="00247D41"/>
    <w:rsid w:val="00250A04"/>
    <w:rsid w:val="00250D39"/>
    <w:rsid w:val="0025228B"/>
    <w:rsid w:val="00253ABE"/>
    <w:rsid w:val="00253D5F"/>
    <w:rsid w:val="002551C0"/>
    <w:rsid w:val="002569DC"/>
    <w:rsid w:val="00256BF9"/>
    <w:rsid w:val="002608C3"/>
    <w:rsid w:val="00261862"/>
    <w:rsid w:val="00263255"/>
    <w:rsid w:val="00263AE9"/>
    <w:rsid w:val="00263B99"/>
    <w:rsid w:val="00264AB1"/>
    <w:rsid w:val="002659D5"/>
    <w:rsid w:val="002662A5"/>
    <w:rsid w:val="002674B0"/>
    <w:rsid w:val="00271E3B"/>
    <w:rsid w:val="00272507"/>
    <w:rsid w:val="00273C8B"/>
    <w:rsid w:val="002746C9"/>
    <w:rsid w:val="00275346"/>
    <w:rsid w:val="00275BE2"/>
    <w:rsid w:val="002772DB"/>
    <w:rsid w:val="00280C16"/>
    <w:rsid w:val="002820EB"/>
    <w:rsid w:val="00282A42"/>
    <w:rsid w:val="00284FC6"/>
    <w:rsid w:val="0028509A"/>
    <w:rsid w:val="0029100F"/>
    <w:rsid w:val="00292A55"/>
    <w:rsid w:val="00292E71"/>
    <w:rsid w:val="00293223"/>
    <w:rsid w:val="00294596"/>
    <w:rsid w:val="00296D5C"/>
    <w:rsid w:val="0029787B"/>
    <w:rsid w:val="00297A8D"/>
    <w:rsid w:val="002A0F32"/>
    <w:rsid w:val="002A203A"/>
    <w:rsid w:val="002A2160"/>
    <w:rsid w:val="002A27A2"/>
    <w:rsid w:val="002A2D3B"/>
    <w:rsid w:val="002A370D"/>
    <w:rsid w:val="002A3758"/>
    <w:rsid w:val="002A4282"/>
    <w:rsid w:val="002A4E63"/>
    <w:rsid w:val="002A6D98"/>
    <w:rsid w:val="002A7699"/>
    <w:rsid w:val="002B1996"/>
    <w:rsid w:val="002B3B01"/>
    <w:rsid w:val="002B52B2"/>
    <w:rsid w:val="002B7279"/>
    <w:rsid w:val="002B7373"/>
    <w:rsid w:val="002C10BF"/>
    <w:rsid w:val="002C2CE9"/>
    <w:rsid w:val="002C327B"/>
    <w:rsid w:val="002C3811"/>
    <w:rsid w:val="002C5403"/>
    <w:rsid w:val="002D6412"/>
    <w:rsid w:val="002D6995"/>
    <w:rsid w:val="002E0406"/>
    <w:rsid w:val="002E175D"/>
    <w:rsid w:val="002E24B5"/>
    <w:rsid w:val="002E3A8F"/>
    <w:rsid w:val="002E40CC"/>
    <w:rsid w:val="002E5729"/>
    <w:rsid w:val="002E6C01"/>
    <w:rsid w:val="002E7A42"/>
    <w:rsid w:val="002E7E32"/>
    <w:rsid w:val="002F05CB"/>
    <w:rsid w:val="002F1925"/>
    <w:rsid w:val="002F1EEE"/>
    <w:rsid w:val="002F1F7C"/>
    <w:rsid w:val="002F27EF"/>
    <w:rsid w:val="002F2A41"/>
    <w:rsid w:val="002F370F"/>
    <w:rsid w:val="002F3808"/>
    <w:rsid w:val="002F620F"/>
    <w:rsid w:val="002F6745"/>
    <w:rsid w:val="002F69AF"/>
    <w:rsid w:val="003022A0"/>
    <w:rsid w:val="00302969"/>
    <w:rsid w:val="0030336C"/>
    <w:rsid w:val="00303F17"/>
    <w:rsid w:val="00305A2F"/>
    <w:rsid w:val="00305AA4"/>
    <w:rsid w:val="003077F5"/>
    <w:rsid w:val="00310968"/>
    <w:rsid w:val="0031383C"/>
    <w:rsid w:val="00313FA2"/>
    <w:rsid w:val="003154D1"/>
    <w:rsid w:val="00317437"/>
    <w:rsid w:val="00317923"/>
    <w:rsid w:val="00317CBD"/>
    <w:rsid w:val="00320B13"/>
    <w:rsid w:val="00320F58"/>
    <w:rsid w:val="0032282C"/>
    <w:rsid w:val="00323768"/>
    <w:rsid w:val="003256C3"/>
    <w:rsid w:val="00326C40"/>
    <w:rsid w:val="00327F10"/>
    <w:rsid w:val="003301F2"/>
    <w:rsid w:val="00330754"/>
    <w:rsid w:val="00330FBC"/>
    <w:rsid w:val="0033138B"/>
    <w:rsid w:val="00331E25"/>
    <w:rsid w:val="00332B68"/>
    <w:rsid w:val="003330A1"/>
    <w:rsid w:val="00333453"/>
    <w:rsid w:val="0034074B"/>
    <w:rsid w:val="00341272"/>
    <w:rsid w:val="00343B15"/>
    <w:rsid w:val="003443C2"/>
    <w:rsid w:val="0034489D"/>
    <w:rsid w:val="00344CB2"/>
    <w:rsid w:val="003453BA"/>
    <w:rsid w:val="003461CA"/>
    <w:rsid w:val="00346CA8"/>
    <w:rsid w:val="00350306"/>
    <w:rsid w:val="003508DC"/>
    <w:rsid w:val="00351DFB"/>
    <w:rsid w:val="003522D4"/>
    <w:rsid w:val="003525BC"/>
    <w:rsid w:val="003535E3"/>
    <w:rsid w:val="00356051"/>
    <w:rsid w:val="0035612F"/>
    <w:rsid w:val="00356250"/>
    <w:rsid w:val="003627E9"/>
    <w:rsid w:val="00364DF5"/>
    <w:rsid w:val="00365BB4"/>
    <w:rsid w:val="0036653E"/>
    <w:rsid w:val="00366D08"/>
    <w:rsid w:val="00367281"/>
    <w:rsid w:val="00367C3D"/>
    <w:rsid w:val="00371106"/>
    <w:rsid w:val="0037124C"/>
    <w:rsid w:val="00371DC3"/>
    <w:rsid w:val="00373DE6"/>
    <w:rsid w:val="0037565A"/>
    <w:rsid w:val="00375BE0"/>
    <w:rsid w:val="003774D1"/>
    <w:rsid w:val="003800E1"/>
    <w:rsid w:val="00383C29"/>
    <w:rsid w:val="00383C9B"/>
    <w:rsid w:val="003850E1"/>
    <w:rsid w:val="0038519A"/>
    <w:rsid w:val="0038558D"/>
    <w:rsid w:val="00387389"/>
    <w:rsid w:val="0039210D"/>
    <w:rsid w:val="00392A8D"/>
    <w:rsid w:val="00392CA8"/>
    <w:rsid w:val="003933E5"/>
    <w:rsid w:val="003934C5"/>
    <w:rsid w:val="00395354"/>
    <w:rsid w:val="00395AA4"/>
    <w:rsid w:val="003961E0"/>
    <w:rsid w:val="00396A14"/>
    <w:rsid w:val="0039762A"/>
    <w:rsid w:val="00397DF3"/>
    <w:rsid w:val="003A0E76"/>
    <w:rsid w:val="003A241B"/>
    <w:rsid w:val="003A2640"/>
    <w:rsid w:val="003A3109"/>
    <w:rsid w:val="003A3491"/>
    <w:rsid w:val="003A3765"/>
    <w:rsid w:val="003A4A0D"/>
    <w:rsid w:val="003A6407"/>
    <w:rsid w:val="003A682E"/>
    <w:rsid w:val="003B18A4"/>
    <w:rsid w:val="003B21BA"/>
    <w:rsid w:val="003B2946"/>
    <w:rsid w:val="003B488C"/>
    <w:rsid w:val="003B51BB"/>
    <w:rsid w:val="003B640B"/>
    <w:rsid w:val="003B67E1"/>
    <w:rsid w:val="003B7648"/>
    <w:rsid w:val="003C10D4"/>
    <w:rsid w:val="003C32FA"/>
    <w:rsid w:val="003C4858"/>
    <w:rsid w:val="003C4C66"/>
    <w:rsid w:val="003C5353"/>
    <w:rsid w:val="003C71EA"/>
    <w:rsid w:val="003C7CD9"/>
    <w:rsid w:val="003D07CF"/>
    <w:rsid w:val="003D1868"/>
    <w:rsid w:val="003D1B99"/>
    <w:rsid w:val="003D1ED4"/>
    <w:rsid w:val="003D23D6"/>
    <w:rsid w:val="003D35E4"/>
    <w:rsid w:val="003D3C3B"/>
    <w:rsid w:val="003D6D84"/>
    <w:rsid w:val="003E0676"/>
    <w:rsid w:val="003E1698"/>
    <w:rsid w:val="003E31CA"/>
    <w:rsid w:val="003E4BFA"/>
    <w:rsid w:val="003F09A4"/>
    <w:rsid w:val="003F6DDC"/>
    <w:rsid w:val="004023F7"/>
    <w:rsid w:val="00402A9D"/>
    <w:rsid w:val="00403C7B"/>
    <w:rsid w:val="00405357"/>
    <w:rsid w:val="004059E1"/>
    <w:rsid w:val="004108CF"/>
    <w:rsid w:val="00410A72"/>
    <w:rsid w:val="0041110F"/>
    <w:rsid w:val="00412956"/>
    <w:rsid w:val="00413EC5"/>
    <w:rsid w:val="004142A7"/>
    <w:rsid w:val="00420F3F"/>
    <w:rsid w:val="00420F6A"/>
    <w:rsid w:val="0042102E"/>
    <w:rsid w:val="00421F4F"/>
    <w:rsid w:val="0042249A"/>
    <w:rsid w:val="00425EE2"/>
    <w:rsid w:val="0042751C"/>
    <w:rsid w:val="0042765C"/>
    <w:rsid w:val="00431A89"/>
    <w:rsid w:val="004343F3"/>
    <w:rsid w:val="00434D87"/>
    <w:rsid w:val="00436988"/>
    <w:rsid w:val="004375E5"/>
    <w:rsid w:val="004420DA"/>
    <w:rsid w:val="00443A26"/>
    <w:rsid w:val="00443A5F"/>
    <w:rsid w:val="00446A92"/>
    <w:rsid w:val="004523EB"/>
    <w:rsid w:val="004549CB"/>
    <w:rsid w:val="004560BD"/>
    <w:rsid w:val="004603CE"/>
    <w:rsid w:val="00462B67"/>
    <w:rsid w:val="00462BD3"/>
    <w:rsid w:val="00463BC4"/>
    <w:rsid w:val="00463FB2"/>
    <w:rsid w:val="0046793E"/>
    <w:rsid w:val="0047210C"/>
    <w:rsid w:val="00474B48"/>
    <w:rsid w:val="004757F8"/>
    <w:rsid w:val="00477CDC"/>
    <w:rsid w:val="00480A1A"/>
    <w:rsid w:val="00481450"/>
    <w:rsid w:val="00482665"/>
    <w:rsid w:val="004831B6"/>
    <w:rsid w:val="00483C3F"/>
    <w:rsid w:val="00484097"/>
    <w:rsid w:val="00485B73"/>
    <w:rsid w:val="00486D3E"/>
    <w:rsid w:val="00487EBB"/>
    <w:rsid w:val="00491B7D"/>
    <w:rsid w:val="00492F27"/>
    <w:rsid w:val="00496582"/>
    <w:rsid w:val="0049764E"/>
    <w:rsid w:val="00497C77"/>
    <w:rsid w:val="004A345F"/>
    <w:rsid w:val="004A39E7"/>
    <w:rsid w:val="004A4084"/>
    <w:rsid w:val="004A53D2"/>
    <w:rsid w:val="004A5C91"/>
    <w:rsid w:val="004A7587"/>
    <w:rsid w:val="004B1FB4"/>
    <w:rsid w:val="004B2922"/>
    <w:rsid w:val="004B2D9F"/>
    <w:rsid w:val="004B33D1"/>
    <w:rsid w:val="004B45DC"/>
    <w:rsid w:val="004B5FDB"/>
    <w:rsid w:val="004B73B2"/>
    <w:rsid w:val="004B7B4A"/>
    <w:rsid w:val="004C0C92"/>
    <w:rsid w:val="004C1211"/>
    <w:rsid w:val="004C1A73"/>
    <w:rsid w:val="004C24FE"/>
    <w:rsid w:val="004C3D0B"/>
    <w:rsid w:val="004D368B"/>
    <w:rsid w:val="004D43D5"/>
    <w:rsid w:val="004D4693"/>
    <w:rsid w:val="004D4BF5"/>
    <w:rsid w:val="004D7562"/>
    <w:rsid w:val="004D7AFA"/>
    <w:rsid w:val="004E0748"/>
    <w:rsid w:val="004E165D"/>
    <w:rsid w:val="004E2719"/>
    <w:rsid w:val="004E2D02"/>
    <w:rsid w:val="004E2E42"/>
    <w:rsid w:val="004F18C0"/>
    <w:rsid w:val="004F1FCE"/>
    <w:rsid w:val="004F3968"/>
    <w:rsid w:val="004F4913"/>
    <w:rsid w:val="004F4A07"/>
    <w:rsid w:val="004F54A7"/>
    <w:rsid w:val="004F5C35"/>
    <w:rsid w:val="004F6F9F"/>
    <w:rsid w:val="00500218"/>
    <w:rsid w:val="005011AE"/>
    <w:rsid w:val="005076F7"/>
    <w:rsid w:val="00507C71"/>
    <w:rsid w:val="00510C1E"/>
    <w:rsid w:val="00510EC3"/>
    <w:rsid w:val="00514954"/>
    <w:rsid w:val="00516301"/>
    <w:rsid w:val="0051772B"/>
    <w:rsid w:val="0052204E"/>
    <w:rsid w:val="005227D0"/>
    <w:rsid w:val="00523CB2"/>
    <w:rsid w:val="00523D00"/>
    <w:rsid w:val="00524BA0"/>
    <w:rsid w:val="005258BC"/>
    <w:rsid w:val="00526334"/>
    <w:rsid w:val="00533AA2"/>
    <w:rsid w:val="00534BCB"/>
    <w:rsid w:val="005368F8"/>
    <w:rsid w:val="0053724D"/>
    <w:rsid w:val="0053769F"/>
    <w:rsid w:val="0054184B"/>
    <w:rsid w:val="00542D75"/>
    <w:rsid w:val="0054335B"/>
    <w:rsid w:val="00543F11"/>
    <w:rsid w:val="00544123"/>
    <w:rsid w:val="00547782"/>
    <w:rsid w:val="0055214B"/>
    <w:rsid w:val="00553256"/>
    <w:rsid w:val="00553304"/>
    <w:rsid w:val="00553849"/>
    <w:rsid w:val="005544C2"/>
    <w:rsid w:val="00554D6A"/>
    <w:rsid w:val="00554DAE"/>
    <w:rsid w:val="00555548"/>
    <w:rsid w:val="0055575F"/>
    <w:rsid w:val="005561F3"/>
    <w:rsid w:val="00557B4B"/>
    <w:rsid w:val="005605F9"/>
    <w:rsid w:val="005608C7"/>
    <w:rsid w:val="00560D56"/>
    <w:rsid w:val="00560F6C"/>
    <w:rsid w:val="00560FE8"/>
    <w:rsid w:val="00561A4B"/>
    <w:rsid w:val="00561FE5"/>
    <w:rsid w:val="00562C87"/>
    <w:rsid w:val="00563EB2"/>
    <w:rsid w:val="00566A95"/>
    <w:rsid w:val="005672BA"/>
    <w:rsid w:val="005719FD"/>
    <w:rsid w:val="00574A9F"/>
    <w:rsid w:val="005751C1"/>
    <w:rsid w:val="00577009"/>
    <w:rsid w:val="00577968"/>
    <w:rsid w:val="00582EC9"/>
    <w:rsid w:val="00586029"/>
    <w:rsid w:val="00586460"/>
    <w:rsid w:val="005871A4"/>
    <w:rsid w:val="00591FD2"/>
    <w:rsid w:val="005921E3"/>
    <w:rsid w:val="00592C1E"/>
    <w:rsid w:val="005960BA"/>
    <w:rsid w:val="00596717"/>
    <w:rsid w:val="00597325"/>
    <w:rsid w:val="005975C7"/>
    <w:rsid w:val="005A07F6"/>
    <w:rsid w:val="005A216D"/>
    <w:rsid w:val="005A2E82"/>
    <w:rsid w:val="005A3C37"/>
    <w:rsid w:val="005A6659"/>
    <w:rsid w:val="005A6ED8"/>
    <w:rsid w:val="005B0780"/>
    <w:rsid w:val="005B0790"/>
    <w:rsid w:val="005B14BF"/>
    <w:rsid w:val="005B1A81"/>
    <w:rsid w:val="005B1C5B"/>
    <w:rsid w:val="005B290F"/>
    <w:rsid w:val="005B291B"/>
    <w:rsid w:val="005C0FDE"/>
    <w:rsid w:val="005C232C"/>
    <w:rsid w:val="005C33EB"/>
    <w:rsid w:val="005C410E"/>
    <w:rsid w:val="005C46E5"/>
    <w:rsid w:val="005C4715"/>
    <w:rsid w:val="005C58C8"/>
    <w:rsid w:val="005C6D43"/>
    <w:rsid w:val="005D0B3C"/>
    <w:rsid w:val="005D19D9"/>
    <w:rsid w:val="005D1E9B"/>
    <w:rsid w:val="005D3F87"/>
    <w:rsid w:val="005D4A0A"/>
    <w:rsid w:val="005D7264"/>
    <w:rsid w:val="005E0C43"/>
    <w:rsid w:val="005E2FF5"/>
    <w:rsid w:val="005E3051"/>
    <w:rsid w:val="005E35BD"/>
    <w:rsid w:val="005E3C97"/>
    <w:rsid w:val="005E40C5"/>
    <w:rsid w:val="005E42AD"/>
    <w:rsid w:val="005E5355"/>
    <w:rsid w:val="005E6312"/>
    <w:rsid w:val="005E66AF"/>
    <w:rsid w:val="005E744A"/>
    <w:rsid w:val="005F2941"/>
    <w:rsid w:val="005F48DF"/>
    <w:rsid w:val="005F5D91"/>
    <w:rsid w:val="00600404"/>
    <w:rsid w:val="006010CF"/>
    <w:rsid w:val="006021FC"/>
    <w:rsid w:val="00602867"/>
    <w:rsid w:val="00607DB2"/>
    <w:rsid w:val="006106D8"/>
    <w:rsid w:val="00610826"/>
    <w:rsid w:val="00614948"/>
    <w:rsid w:val="00616379"/>
    <w:rsid w:val="00616E9D"/>
    <w:rsid w:val="00622AA5"/>
    <w:rsid w:val="00624503"/>
    <w:rsid w:val="00624816"/>
    <w:rsid w:val="00626A3C"/>
    <w:rsid w:val="006301C3"/>
    <w:rsid w:val="006309AB"/>
    <w:rsid w:val="00632944"/>
    <w:rsid w:val="00634995"/>
    <w:rsid w:val="00635706"/>
    <w:rsid w:val="0063609F"/>
    <w:rsid w:val="00637674"/>
    <w:rsid w:val="00637C08"/>
    <w:rsid w:val="00640259"/>
    <w:rsid w:val="00640C09"/>
    <w:rsid w:val="00641EA3"/>
    <w:rsid w:val="006441DA"/>
    <w:rsid w:val="00644D03"/>
    <w:rsid w:val="00646828"/>
    <w:rsid w:val="00652549"/>
    <w:rsid w:val="0065267B"/>
    <w:rsid w:val="00652E84"/>
    <w:rsid w:val="00656C77"/>
    <w:rsid w:val="006577FB"/>
    <w:rsid w:val="0065789C"/>
    <w:rsid w:val="006604E6"/>
    <w:rsid w:val="00660B24"/>
    <w:rsid w:val="00660E98"/>
    <w:rsid w:val="006679E3"/>
    <w:rsid w:val="00670013"/>
    <w:rsid w:val="00671A92"/>
    <w:rsid w:val="00672983"/>
    <w:rsid w:val="00674A94"/>
    <w:rsid w:val="00676C89"/>
    <w:rsid w:val="00680652"/>
    <w:rsid w:val="0068068C"/>
    <w:rsid w:val="006824E2"/>
    <w:rsid w:val="00682E9E"/>
    <w:rsid w:val="00686899"/>
    <w:rsid w:val="00686BF9"/>
    <w:rsid w:val="00687058"/>
    <w:rsid w:val="006905A8"/>
    <w:rsid w:val="00691F94"/>
    <w:rsid w:val="0069246C"/>
    <w:rsid w:val="00692F52"/>
    <w:rsid w:val="00696179"/>
    <w:rsid w:val="0069770E"/>
    <w:rsid w:val="006A01CB"/>
    <w:rsid w:val="006A36FE"/>
    <w:rsid w:val="006A3E94"/>
    <w:rsid w:val="006A5BF4"/>
    <w:rsid w:val="006A5DCD"/>
    <w:rsid w:val="006B0681"/>
    <w:rsid w:val="006B2161"/>
    <w:rsid w:val="006B321E"/>
    <w:rsid w:val="006B3BE9"/>
    <w:rsid w:val="006B584F"/>
    <w:rsid w:val="006B77DB"/>
    <w:rsid w:val="006C01E2"/>
    <w:rsid w:val="006C0239"/>
    <w:rsid w:val="006C133C"/>
    <w:rsid w:val="006C25E4"/>
    <w:rsid w:val="006C2C79"/>
    <w:rsid w:val="006C30D1"/>
    <w:rsid w:val="006C32B0"/>
    <w:rsid w:val="006C3EFD"/>
    <w:rsid w:val="006C62BD"/>
    <w:rsid w:val="006C6DEA"/>
    <w:rsid w:val="006C724E"/>
    <w:rsid w:val="006D0105"/>
    <w:rsid w:val="006D1C0F"/>
    <w:rsid w:val="006D455F"/>
    <w:rsid w:val="006D4B21"/>
    <w:rsid w:val="006D529B"/>
    <w:rsid w:val="006D7085"/>
    <w:rsid w:val="006D75D9"/>
    <w:rsid w:val="006E067B"/>
    <w:rsid w:val="006E172A"/>
    <w:rsid w:val="006E3F30"/>
    <w:rsid w:val="006E502D"/>
    <w:rsid w:val="006E6B4A"/>
    <w:rsid w:val="006E70D6"/>
    <w:rsid w:val="006F2DDB"/>
    <w:rsid w:val="006F401B"/>
    <w:rsid w:val="006F4AEC"/>
    <w:rsid w:val="006F62FB"/>
    <w:rsid w:val="00701076"/>
    <w:rsid w:val="00704B2E"/>
    <w:rsid w:val="00707B3C"/>
    <w:rsid w:val="007114B6"/>
    <w:rsid w:val="00712683"/>
    <w:rsid w:val="00716B72"/>
    <w:rsid w:val="00717E2D"/>
    <w:rsid w:val="00721771"/>
    <w:rsid w:val="00724656"/>
    <w:rsid w:val="007252F1"/>
    <w:rsid w:val="007307B1"/>
    <w:rsid w:val="00730BC8"/>
    <w:rsid w:val="0073150F"/>
    <w:rsid w:val="007328F5"/>
    <w:rsid w:val="00734620"/>
    <w:rsid w:val="007346D1"/>
    <w:rsid w:val="00735F60"/>
    <w:rsid w:val="00736FA5"/>
    <w:rsid w:val="00737036"/>
    <w:rsid w:val="00742B13"/>
    <w:rsid w:val="007432E0"/>
    <w:rsid w:val="00743514"/>
    <w:rsid w:val="00752E17"/>
    <w:rsid w:val="007530B5"/>
    <w:rsid w:val="00754526"/>
    <w:rsid w:val="00755034"/>
    <w:rsid w:val="00755873"/>
    <w:rsid w:val="00761FF0"/>
    <w:rsid w:val="00762A6E"/>
    <w:rsid w:val="00763193"/>
    <w:rsid w:val="007638F7"/>
    <w:rsid w:val="00764D0B"/>
    <w:rsid w:val="0077134B"/>
    <w:rsid w:val="00771A75"/>
    <w:rsid w:val="00771F8C"/>
    <w:rsid w:val="007755AE"/>
    <w:rsid w:val="00775798"/>
    <w:rsid w:val="00775A60"/>
    <w:rsid w:val="00775FCE"/>
    <w:rsid w:val="00776FBB"/>
    <w:rsid w:val="007816B6"/>
    <w:rsid w:val="007824A4"/>
    <w:rsid w:val="00783453"/>
    <w:rsid w:val="0078543A"/>
    <w:rsid w:val="007870B6"/>
    <w:rsid w:val="00787564"/>
    <w:rsid w:val="007917C8"/>
    <w:rsid w:val="00793FFC"/>
    <w:rsid w:val="00794923"/>
    <w:rsid w:val="0079662A"/>
    <w:rsid w:val="00797EE1"/>
    <w:rsid w:val="007A0052"/>
    <w:rsid w:val="007A170B"/>
    <w:rsid w:val="007A18BE"/>
    <w:rsid w:val="007A75F7"/>
    <w:rsid w:val="007B0D18"/>
    <w:rsid w:val="007B21F4"/>
    <w:rsid w:val="007B2DAB"/>
    <w:rsid w:val="007B35D7"/>
    <w:rsid w:val="007B39B4"/>
    <w:rsid w:val="007B3A08"/>
    <w:rsid w:val="007C09F7"/>
    <w:rsid w:val="007C0CD8"/>
    <w:rsid w:val="007C147A"/>
    <w:rsid w:val="007C149B"/>
    <w:rsid w:val="007C17EA"/>
    <w:rsid w:val="007C1FD1"/>
    <w:rsid w:val="007C3247"/>
    <w:rsid w:val="007C3313"/>
    <w:rsid w:val="007C4313"/>
    <w:rsid w:val="007C4509"/>
    <w:rsid w:val="007C54FC"/>
    <w:rsid w:val="007C6236"/>
    <w:rsid w:val="007C6423"/>
    <w:rsid w:val="007C7AF3"/>
    <w:rsid w:val="007D049A"/>
    <w:rsid w:val="007D0E06"/>
    <w:rsid w:val="007D13F1"/>
    <w:rsid w:val="007D7039"/>
    <w:rsid w:val="007E075D"/>
    <w:rsid w:val="007E0800"/>
    <w:rsid w:val="007E3096"/>
    <w:rsid w:val="007E4342"/>
    <w:rsid w:val="007E44CA"/>
    <w:rsid w:val="007E65A5"/>
    <w:rsid w:val="007E6D22"/>
    <w:rsid w:val="007F065E"/>
    <w:rsid w:val="007F0B4A"/>
    <w:rsid w:val="007F1091"/>
    <w:rsid w:val="007F200E"/>
    <w:rsid w:val="007F2DEC"/>
    <w:rsid w:val="007F37B4"/>
    <w:rsid w:val="007F3BE8"/>
    <w:rsid w:val="007F614A"/>
    <w:rsid w:val="007F7ED5"/>
    <w:rsid w:val="007F7F1E"/>
    <w:rsid w:val="00800156"/>
    <w:rsid w:val="00800F58"/>
    <w:rsid w:val="00802328"/>
    <w:rsid w:val="008034B0"/>
    <w:rsid w:val="00804BB3"/>
    <w:rsid w:val="00804F57"/>
    <w:rsid w:val="00805FFA"/>
    <w:rsid w:val="00806107"/>
    <w:rsid w:val="00806F86"/>
    <w:rsid w:val="008070C0"/>
    <w:rsid w:val="0081114B"/>
    <w:rsid w:val="00812004"/>
    <w:rsid w:val="00812A9F"/>
    <w:rsid w:val="008137F0"/>
    <w:rsid w:val="00814227"/>
    <w:rsid w:val="008171E4"/>
    <w:rsid w:val="00817AFD"/>
    <w:rsid w:val="00821FDC"/>
    <w:rsid w:val="008241EF"/>
    <w:rsid w:val="008247FE"/>
    <w:rsid w:val="008256F3"/>
    <w:rsid w:val="00825FCE"/>
    <w:rsid w:val="00827495"/>
    <w:rsid w:val="00830A5B"/>
    <w:rsid w:val="00832FF2"/>
    <w:rsid w:val="008333E2"/>
    <w:rsid w:val="00835CED"/>
    <w:rsid w:val="00837CAE"/>
    <w:rsid w:val="00840389"/>
    <w:rsid w:val="00840E43"/>
    <w:rsid w:val="00842EDC"/>
    <w:rsid w:val="00843266"/>
    <w:rsid w:val="00843847"/>
    <w:rsid w:val="00847A9A"/>
    <w:rsid w:val="008512DF"/>
    <w:rsid w:val="00852D7D"/>
    <w:rsid w:val="00855F3D"/>
    <w:rsid w:val="00861187"/>
    <w:rsid w:val="00861E70"/>
    <w:rsid w:val="008641FF"/>
    <w:rsid w:val="008677B2"/>
    <w:rsid w:val="008678F8"/>
    <w:rsid w:val="00867A00"/>
    <w:rsid w:val="008722C7"/>
    <w:rsid w:val="008733D6"/>
    <w:rsid w:val="00873BD3"/>
    <w:rsid w:val="00874115"/>
    <w:rsid w:val="00874D5F"/>
    <w:rsid w:val="00876ECC"/>
    <w:rsid w:val="00882921"/>
    <w:rsid w:val="00883B88"/>
    <w:rsid w:val="00884976"/>
    <w:rsid w:val="00884CC2"/>
    <w:rsid w:val="00884E84"/>
    <w:rsid w:val="008852FD"/>
    <w:rsid w:val="00886A2F"/>
    <w:rsid w:val="0088786A"/>
    <w:rsid w:val="0089052E"/>
    <w:rsid w:val="00894268"/>
    <w:rsid w:val="00894F63"/>
    <w:rsid w:val="008962F7"/>
    <w:rsid w:val="00896A64"/>
    <w:rsid w:val="008A23AE"/>
    <w:rsid w:val="008A3761"/>
    <w:rsid w:val="008A7B2D"/>
    <w:rsid w:val="008B1CED"/>
    <w:rsid w:val="008B1E9A"/>
    <w:rsid w:val="008B2884"/>
    <w:rsid w:val="008B2D5D"/>
    <w:rsid w:val="008B41F3"/>
    <w:rsid w:val="008B429D"/>
    <w:rsid w:val="008B6F60"/>
    <w:rsid w:val="008C15A0"/>
    <w:rsid w:val="008C22CB"/>
    <w:rsid w:val="008C48CB"/>
    <w:rsid w:val="008C5A73"/>
    <w:rsid w:val="008C5EA8"/>
    <w:rsid w:val="008C7118"/>
    <w:rsid w:val="008D0A14"/>
    <w:rsid w:val="008D0B31"/>
    <w:rsid w:val="008D0FEE"/>
    <w:rsid w:val="008D15D5"/>
    <w:rsid w:val="008D38C3"/>
    <w:rsid w:val="008D5EE3"/>
    <w:rsid w:val="008D6D35"/>
    <w:rsid w:val="008D6D52"/>
    <w:rsid w:val="008D6FD7"/>
    <w:rsid w:val="008D7432"/>
    <w:rsid w:val="008E1F69"/>
    <w:rsid w:val="008E390E"/>
    <w:rsid w:val="008E5E30"/>
    <w:rsid w:val="008E67AF"/>
    <w:rsid w:val="008E7D88"/>
    <w:rsid w:val="008F19BC"/>
    <w:rsid w:val="008F4C38"/>
    <w:rsid w:val="008F4E39"/>
    <w:rsid w:val="008F5204"/>
    <w:rsid w:val="008F6504"/>
    <w:rsid w:val="008F6C9F"/>
    <w:rsid w:val="00900665"/>
    <w:rsid w:val="00901A9B"/>
    <w:rsid w:val="00904153"/>
    <w:rsid w:val="00904E4B"/>
    <w:rsid w:val="009074D8"/>
    <w:rsid w:val="009074DB"/>
    <w:rsid w:val="00907933"/>
    <w:rsid w:val="00907CA1"/>
    <w:rsid w:val="00922731"/>
    <w:rsid w:val="00923700"/>
    <w:rsid w:val="00923D34"/>
    <w:rsid w:val="00925750"/>
    <w:rsid w:val="0092575D"/>
    <w:rsid w:val="0092627A"/>
    <w:rsid w:val="0092700A"/>
    <w:rsid w:val="00927B08"/>
    <w:rsid w:val="00931079"/>
    <w:rsid w:val="00931657"/>
    <w:rsid w:val="009324C3"/>
    <w:rsid w:val="00932C2F"/>
    <w:rsid w:val="0093457A"/>
    <w:rsid w:val="00934AFB"/>
    <w:rsid w:val="00935637"/>
    <w:rsid w:val="00935DE9"/>
    <w:rsid w:val="009365B0"/>
    <w:rsid w:val="009368E2"/>
    <w:rsid w:val="00936FA8"/>
    <w:rsid w:val="00937D21"/>
    <w:rsid w:val="0094360B"/>
    <w:rsid w:val="0094610C"/>
    <w:rsid w:val="00946D20"/>
    <w:rsid w:val="0095096D"/>
    <w:rsid w:val="00951AFE"/>
    <w:rsid w:val="00952508"/>
    <w:rsid w:val="0095300B"/>
    <w:rsid w:val="00953AAA"/>
    <w:rsid w:val="00955DCE"/>
    <w:rsid w:val="009568C1"/>
    <w:rsid w:val="00956955"/>
    <w:rsid w:val="00956D2C"/>
    <w:rsid w:val="009622C7"/>
    <w:rsid w:val="00962655"/>
    <w:rsid w:val="00962EF2"/>
    <w:rsid w:val="00964BD7"/>
    <w:rsid w:val="00964FEB"/>
    <w:rsid w:val="00965B8A"/>
    <w:rsid w:val="00965BAB"/>
    <w:rsid w:val="009665FF"/>
    <w:rsid w:val="00966810"/>
    <w:rsid w:val="009677DD"/>
    <w:rsid w:val="00967844"/>
    <w:rsid w:val="00971EF9"/>
    <w:rsid w:val="0097234E"/>
    <w:rsid w:val="00972354"/>
    <w:rsid w:val="0097241D"/>
    <w:rsid w:val="009727CC"/>
    <w:rsid w:val="00974377"/>
    <w:rsid w:val="009754BC"/>
    <w:rsid w:val="009767CB"/>
    <w:rsid w:val="00976933"/>
    <w:rsid w:val="0097701D"/>
    <w:rsid w:val="00980887"/>
    <w:rsid w:val="00980EB8"/>
    <w:rsid w:val="00981BAA"/>
    <w:rsid w:val="00982CA6"/>
    <w:rsid w:val="00983FD5"/>
    <w:rsid w:val="009844B7"/>
    <w:rsid w:val="00984847"/>
    <w:rsid w:val="00984E9A"/>
    <w:rsid w:val="0098594F"/>
    <w:rsid w:val="00990DE2"/>
    <w:rsid w:val="0099239E"/>
    <w:rsid w:val="00994103"/>
    <w:rsid w:val="00994129"/>
    <w:rsid w:val="009A095C"/>
    <w:rsid w:val="009A1681"/>
    <w:rsid w:val="009A28E7"/>
    <w:rsid w:val="009A379F"/>
    <w:rsid w:val="009A3821"/>
    <w:rsid w:val="009A4ADB"/>
    <w:rsid w:val="009A62A2"/>
    <w:rsid w:val="009A6C40"/>
    <w:rsid w:val="009A73FD"/>
    <w:rsid w:val="009B046F"/>
    <w:rsid w:val="009B062D"/>
    <w:rsid w:val="009B0D2F"/>
    <w:rsid w:val="009B19C5"/>
    <w:rsid w:val="009B3234"/>
    <w:rsid w:val="009B5C75"/>
    <w:rsid w:val="009B64F0"/>
    <w:rsid w:val="009B6C21"/>
    <w:rsid w:val="009B7FDA"/>
    <w:rsid w:val="009C0BA1"/>
    <w:rsid w:val="009C30EE"/>
    <w:rsid w:val="009C6633"/>
    <w:rsid w:val="009C7BAC"/>
    <w:rsid w:val="009D10DB"/>
    <w:rsid w:val="009D163C"/>
    <w:rsid w:val="009D1717"/>
    <w:rsid w:val="009D1FCB"/>
    <w:rsid w:val="009D3803"/>
    <w:rsid w:val="009D3C1A"/>
    <w:rsid w:val="009D4A87"/>
    <w:rsid w:val="009D53D2"/>
    <w:rsid w:val="009D66FF"/>
    <w:rsid w:val="009E0CE4"/>
    <w:rsid w:val="009E117D"/>
    <w:rsid w:val="009E1AB3"/>
    <w:rsid w:val="009E228E"/>
    <w:rsid w:val="009E363A"/>
    <w:rsid w:val="009E39EF"/>
    <w:rsid w:val="009E54E5"/>
    <w:rsid w:val="009E6ABD"/>
    <w:rsid w:val="009E7180"/>
    <w:rsid w:val="009F0861"/>
    <w:rsid w:val="009F207D"/>
    <w:rsid w:val="009F2E48"/>
    <w:rsid w:val="009F2FA2"/>
    <w:rsid w:val="009F5479"/>
    <w:rsid w:val="00A001B2"/>
    <w:rsid w:val="00A00C88"/>
    <w:rsid w:val="00A03DEE"/>
    <w:rsid w:val="00A04A30"/>
    <w:rsid w:val="00A06C18"/>
    <w:rsid w:val="00A07201"/>
    <w:rsid w:val="00A104E9"/>
    <w:rsid w:val="00A121D3"/>
    <w:rsid w:val="00A12CA3"/>
    <w:rsid w:val="00A13A8A"/>
    <w:rsid w:val="00A13FB3"/>
    <w:rsid w:val="00A168D1"/>
    <w:rsid w:val="00A2051D"/>
    <w:rsid w:val="00A274E0"/>
    <w:rsid w:val="00A31678"/>
    <w:rsid w:val="00A32791"/>
    <w:rsid w:val="00A33877"/>
    <w:rsid w:val="00A33EF9"/>
    <w:rsid w:val="00A34A50"/>
    <w:rsid w:val="00A3786C"/>
    <w:rsid w:val="00A40B59"/>
    <w:rsid w:val="00A417FB"/>
    <w:rsid w:val="00A41D43"/>
    <w:rsid w:val="00A425BB"/>
    <w:rsid w:val="00A4295A"/>
    <w:rsid w:val="00A42FA0"/>
    <w:rsid w:val="00A460B4"/>
    <w:rsid w:val="00A462ED"/>
    <w:rsid w:val="00A46AAF"/>
    <w:rsid w:val="00A470FC"/>
    <w:rsid w:val="00A5064B"/>
    <w:rsid w:val="00A517BA"/>
    <w:rsid w:val="00A554ED"/>
    <w:rsid w:val="00A57415"/>
    <w:rsid w:val="00A57FE9"/>
    <w:rsid w:val="00A623F8"/>
    <w:rsid w:val="00A63120"/>
    <w:rsid w:val="00A638DE"/>
    <w:rsid w:val="00A64844"/>
    <w:rsid w:val="00A64E1E"/>
    <w:rsid w:val="00A6639C"/>
    <w:rsid w:val="00A70CA2"/>
    <w:rsid w:val="00A71129"/>
    <w:rsid w:val="00A71734"/>
    <w:rsid w:val="00A7271D"/>
    <w:rsid w:val="00A73AED"/>
    <w:rsid w:val="00A75B82"/>
    <w:rsid w:val="00A766A8"/>
    <w:rsid w:val="00A77F41"/>
    <w:rsid w:val="00A8003B"/>
    <w:rsid w:val="00A80893"/>
    <w:rsid w:val="00A822D9"/>
    <w:rsid w:val="00A849F2"/>
    <w:rsid w:val="00A85380"/>
    <w:rsid w:val="00A87F99"/>
    <w:rsid w:val="00A9084C"/>
    <w:rsid w:val="00A91066"/>
    <w:rsid w:val="00A927F6"/>
    <w:rsid w:val="00A93ED4"/>
    <w:rsid w:val="00AA0528"/>
    <w:rsid w:val="00AA18DA"/>
    <w:rsid w:val="00AA3051"/>
    <w:rsid w:val="00AA5D22"/>
    <w:rsid w:val="00AA76A0"/>
    <w:rsid w:val="00AA7A6F"/>
    <w:rsid w:val="00AA7C99"/>
    <w:rsid w:val="00AB249B"/>
    <w:rsid w:val="00AB415A"/>
    <w:rsid w:val="00AB4211"/>
    <w:rsid w:val="00AB4321"/>
    <w:rsid w:val="00AB5DAE"/>
    <w:rsid w:val="00AB7F02"/>
    <w:rsid w:val="00AC23E3"/>
    <w:rsid w:val="00AC23F3"/>
    <w:rsid w:val="00AC271B"/>
    <w:rsid w:val="00AC3B73"/>
    <w:rsid w:val="00AC68B6"/>
    <w:rsid w:val="00AC733B"/>
    <w:rsid w:val="00AD22DD"/>
    <w:rsid w:val="00AD44E2"/>
    <w:rsid w:val="00AE06FC"/>
    <w:rsid w:val="00AE1120"/>
    <w:rsid w:val="00AE1FED"/>
    <w:rsid w:val="00AE30B3"/>
    <w:rsid w:val="00AE4D48"/>
    <w:rsid w:val="00AF29C0"/>
    <w:rsid w:val="00AF3686"/>
    <w:rsid w:val="00AF4A4F"/>
    <w:rsid w:val="00AF5610"/>
    <w:rsid w:val="00AF56E5"/>
    <w:rsid w:val="00AF598D"/>
    <w:rsid w:val="00AF6758"/>
    <w:rsid w:val="00AF6EA5"/>
    <w:rsid w:val="00AF725C"/>
    <w:rsid w:val="00B0171E"/>
    <w:rsid w:val="00B01955"/>
    <w:rsid w:val="00B01E2C"/>
    <w:rsid w:val="00B02DDB"/>
    <w:rsid w:val="00B0463E"/>
    <w:rsid w:val="00B062F4"/>
    <w:rsid w:val="00B07979"/>
    <w:rsid w:val="00B13570"/>
    <w:rsid w:val="00B15AC2"/>
    <w:rsid w:val="00B21ABA"/>
    <w:rsid w:val="00B21ECE"/>
    <w:rsid w:val="00B2445D"/>
    <w:rsid w:val="00B258FC"/>
    <w:rsid w:val="00B2744D"/>
    <w:rsid w:val="00B2797A"/>
    <w:rsid w:val="00B3012C"/>
    <w:rsid w:val="00B30A5A"/>
    <w:rsid w:val="00B316E2"/>
    <w:rsid w:val="00B32AA2"/>
    <w:rsid w:val="00B33214"/>
    <w:rsid w:val="00B33A7D"/>
    <w:rsid w:val="00B36624"/>
    <w:rsid w:val="00B37E6B"/>
    <w:rsid w:val="00B4161F"/>
    <w:rsid w:val="00B4174F"/>
    <w:rsid w:val="00B41A97"/>
    <w:rsid w:val="00B43125"/>
    <w:rsid w:val="00B43D8A"/>
    <w:rsid w:val="00B46282"/>
    <w:rsid w:val="00B46E68"/>
    <w:rsid w:val="00B4733D"/>
    <w:rsid w:val="00B474E8"/>
    <w:rsid w:val="00B47EE3"/>
    <w:rsid w:val="00B5015C"/>
    <w:rsid w:val="00B50E9F"/>
    <w:rsid w:val="00B55537"/>
    <w:rsid w:val="00B55B3D"/>
    <w:rsid w:val="00B5723D"/>
    <w:rsid w:val="00B6057C"/>
    <w:rsid w:val="00B66001"/>
    <w:rsid w:val="00B67847"/>
    <w:rsid w:val="00B679D0"/>
    <w:rsid w:val="00B7082A"/>
    <w:rsid w:val="00B70E3B"/>
    <w:rsid w:val="00B71414"/>
    <w:rsid w:val="00B724B0"/>
    <w:rsid w:val="00B73148"/>
    <w:rsid w:val="00B73899"/>
    <w:rsid w:val="00B7615A"/>
    <w:rsid w:val="00B8320D"/>
    <w:rsid w:val="00B85237"/>
    <w:rsid w:val="00B87ED6"/>
    <w:rsid w:val="00B91440"/>
    <w:rsid w:val="00B95199"/>
    <w:rsid w:val="00B95276"/>
    <w:rsid w:val="00B95E40"/>
    <w:rsid w:val="00B9658B"/>
    <w:rsid w:val="00B965AD"/>
    <w:rsid w:val="00B973AD"/>
    <w:rsid w:val="00B978F5"/>
    <w:rsid w:val="00BA51AC"/>
    <w:rsid w:val="00BA5F58"/>
    <w:rsid w:val="00BA6382"/>
    <w:rsid w:val="00BA76C6"/>
    <w:rsid w:val="00BB17FC"/>
    <w:rsid w:val="00BB2DD2"/>
    <w:rsid w:val="00BB5FDA"/>
    <w:rsid w:val="00BB6F03"/>
    <w:rsid w:val="00BB7617"/>
    <w:rsid w:val="00BC4202"/>
    <w:rsid w:val="00BC4EDD"/>
    <w:rsid w:val="00BC7F67"/>
    <w:rsid w:val="00BD1FFC"/>
    <w:rsid w:val="00BD2394"/>
    <w:rsid w:val="00BD2478"/>
    <w:rsid w:val="00BD2711"/>
    <w:rsid w:val="00BD29D3"/>
    <w:rsid w:val="00BD3863"/>
    <w:rsid w:val="00BD4C5E"/>
    <w:rsid w:val="00BD6BCC"/>
    <w:rsid w:val="00BD799E"/>
    <w:rsid w:val="00BE00AC"/>
    <w:rsid w:val="00BE032A"/>
    <w:rsid w:val="00BE0DA2"/>
    <w:rsid w:val="00BE2A8B"/>
    <w:rsid w:val="00BE3B44"/>
    <w:rsid w:val="00BE3C63"/>
    <w:rsid w:val="00BE4477"/>
    <w:rsid w:val="00BE5C85"/>
    <w:rsid w:val="00BE64D0"/>
    <w:rsid w:val="00BF22B1"/>
    <w:rsid w:val="00BF2E3F"/>
    <w:rsid w:val="00BF5A88"/>
    <w:rsid w:val="00BF6D05"/>
    <w:rsid w:val="00BF6EA7"/>
    <w:rsid w:val="00C009A5"/>
    <w:rsid w:val="00C01B2B"/>
    <w:rsid w:val="00C1225F"/>
    <w:rsid w:val="00C1232B"/>
    <w:rsid w:val="00C12D94"/>
    <w:rsid w:val="00C13285"/>
    <w:rsid w:val="00C136C6"/>
    <w:rsid w:val="00C137AA"/>
    <w:rsid w:val="00C13BC1"/>
    <w:rsid w:val="00C1436A"/>
    <w:rsid w:val="00C16086"/>
    <w:rsid w:val="00C16102"/>
    <w:rsid w:val="00C16233"/>
    <w:rsid w:val="00C1688A"/>
    <w:rsid w:val="00C20573"/>
    <w:rsid w:val="00C20EA1"/>
    <w:rsid w:val="00C22B87"/>
    <w:rsid w:val="00C242C3"/>
    <w:rsid w:val="00C24910"/>
    <w:rsid w:val="00C24B1C"/>
    <w:rsid w:val="00C250AD"/>
    <w:rsid w:val="00C3066A"/>
    <w:rsid w:val="00C31D7F"/>
    <w:rsid w:val="00C34A70"/>
    <w:rsid w:val="00C35050"/>
    <w:rsid w:val="00C350EE"/>
    <w:rsid w:val="00C353E5"/>
    <w:rsid w:val="00C3561D"/>
    <w:rsid w:val="00C369DB"/>
    <w:rsid w:val="00C41C7E"/>
    <w:rsid w:val="00C4236A"/>
    <w:rsid w:val="00C42D6F"/>
    <w:rsid w:val="00C43FD2"/>
    <w:rsid w:val="00C44BD7"/>
    <w:rsid w:val="00C4578F"/>
    <w:rsid w:val="00C46132"/>
    <w:rsid w:val="00C46842"/>
    <w:rsid w:val="00C47AD7"/>
    <w:rsid w:val="00C50646"/>
    <w:rsid w:val="00C52BCB"/>
    <w:rsid w:val="00C54E3C"/>
    <w:rsid w:val="00C575E9"/>
    <w:rsid w:val="00C57D01"/>
    <w:rsid w:val="00C6292D"/>
    <w:rsid w:val="00C62C09"/>
    <w:rsid w:val="00C6383C"/>
    <w:rsid w:val="00C65768"/>
    <w:rsid w:val="00C66901"/>
    <w:rsid w:val="00C710AB"/>
    <w:rsid w:val="00C75D8A"/>
    <w:rsid w:val="00C769D1"/>
    <w:rsid w:val="00C76D97"/>
    <w:rsid w:val="00C81171"/>
    <w:rsid w:val="00C82243"/>
    <w:rsid w:val="00C844AC"/>
    <w:rsid w:val="00C84F32"/>
    <w:rsid w:val="00C8532D"/>
    <w:rsid w:val="00C86368"/>
    <w:rsid w:val="00C9195C"/>
    <w:rsid w:val="00C92D5E"/>
    <w:rsid w:val="00C94A81"/>
    <w:rsid w:val="00C95A1F"/>
    <w:rsid w:val="00C9689D"/>
    <w:rsid w:val="00C97F1B"/>
    <w:rsid w:val="00CA0609"/>
    <w:rsid w:val="00CA0CF8"/>
    <w:rsid w:val="00CA287F"/>
    <w:rsid w:val="00CA308E"/>
    <w:rsid w:val="00CA3A12"/>
    <w:rsid w:val="00CA57C1"/>
    <w:rsid w:val="00CB04EC"/>
    <w:rsid w:val="00CB36BE"/>
    <w:rsid w:val="00CB525F"/>
    <w:rsid w:val="00CB6B28"/>
    <w:rsid w:val="00CC14BE"/>
    <w:rsid w:val="00CC2272"/>
    <w:rsid w:val="00CC468D"/>
    <w:rsid w:val="00CC6527"/>
    <w:rsid w:val="00CC7046"/>
    <w:rsid w:val="00CC7A6B"/>
    <w:rsid w:val="00CD1DDB"/>
    <w:rsid w:val="00CD2F78"/>
    <w:rsid w:val="00CD5F48"/>
    <w:rsid w:val="00CD6453"/>
    <w:rsid w:val="00CE0F51"/>
    <w:rsid w:val="00CE2A01"/>
    <w:rsid w:val="00CE4722"/>
    <w:rsid w:val="00CE476F"/>
    <w:rsid w:val="00CE517F"/>
    <w:rsid w:val="00CE5D11"/>
    <w:rsid w:val="00CE5D9C"/>
    <w:rsid w:val="00CF1D34"/>
    <w:rsid w:val="00CF2868"/>
    <w:rsid w:val="00CF2D96"/>
    <w:rsid w:val="00CF398D"/>
    <w:rsid w:val="00CF40B2"/>
    <w:rsid w:val="00CF4747"/>
    <w:rsid w:val="00D00B7A"/>
    <w:rsid w:val="00D00D6D"/>
    <w:rsid w:val="00D033B7"/>
    <w:rsid w:val="00D0440B"/>
    <w:rsid w:val="00D051F5"/>
    <w:rsid w:val="00D0578A"/>
    <w:rsid w:val="00D05EF9"/>
    <w:rsid w:val="00D05F77"/>
    <w:rsid w:val="00D07623"/>
    <w:rsid w:val="00D07AF8"/>
    <w:rsid w:val="00D124A7"/>
    <w:rsid w:val="00D12FE9"/>
    <w:rsid w:val="00D13AA0"/>
    <w:rsid w:val="00D152AC"/>
    <w:rsid w:val="00D15338"/>
    <w:rsid w:val="00D158BD"/>
    <w:rsid w:val="00D20787"/>
    <w:rsid w:val="00D20B7E"/>
    <w:rsid w:val="00D20CFD"/>
    <w:rsid w:val="00D22744"/>
    <w:rsid w:val="00D22E09"/>
    <w:rsid w:val="00D22E5B"/>
    <w:rsid w:val="00D26914"/>
    <w:rsid w:val="00D31305"/>
    <w:rsid w:val="00D31DDD"/>
    <w:rsid w:val="00D31DE8"/>
    <w:rsid w:val="00D36930"/>
    <w:rsid w:val="00D36DAF"/>
    <w:rsid w:val="00D36F4A"/>
    <w:rsid w:val="00D37B46"/>
    <w:rsid w:val="00D4050D"/>
    <w:rsid w:val="00D40E2A"/>
    <w:rsid w:val="00D446DE"/>
    <w:rsid w:val="00D5153B"/>
    <w:rsid w:val="00D52A96"/>
    <w:rsid w:val="00D53B94"/>
    <w:rsid w:val="00D544C5"/>
    <w:rsid w:val="00D55EB5"/>
    <w:rsid w:val="00D56674"/>
    <w:rsid w:val="00D57046"/>
    <w:rsid w:val="00D61D11"/>
    <w:rsid w:val="00D61FBF"/>
    <w:rsid w:val="00D6219B"/>
    <w:rsid w:val="00D626A3"/>
    <w:rsid w:val="00D637D4"/>
    <w:rsid w:val="00D6438B"/>
    <w:rsid w:val="00D64E73"/>
    <w:rsid w:val="00D65F1F"/>
    <w:rsid w:val="00D665D1"/>
    <w:rsid w:val="00D668E6"/>
    <w:rsid w:val="00D66D86"/>
    <w:rsid w:val="00D701E1"/>
    <w:rsid w:val="00D732FE"/>
    <w:rsid w:val="00D73544"/>
    <w:rsid w:val="00D77242"/>
    <w:rsid w:val="00D77363"/>
    <w:rsid w:val="00D777C1"/>
    <w:rsid w:val="00D779BF"/>
    <w:rsid w:val="00D812D7"/>
    <w:rsid w:val="00D834EB"/>
    <w:rsid w:val="00D83AAD"/>
    <w:rsid w:val="00D86059"/>
    <w:rsid w:val="00D861F5"/>
    <w:rsid w:val="00D867B5"/>
    <w:rsid w:val="00D877E8"/>
    <w:rsid w:val="00D90AF3"/>
    <w:rsid w:val="00D91589"/>
    <w:rsid w:val="00D91F13"/>
    <w:rsid w:val="00D94888"/>
    <w:rsid w:val="00D9572A"/>
    <w:rsid w:val="00D970FB"/>
    <w:rsid w:val="00D977F9"/>
    <w:rsid w:val="00D97E14"/>
    <w:rsid w:val="00DA17F7"/>
    <w:rsid w:val="00DA27A8"/>
    <w:rsid w:val="00DA3495"/>
    <w:rsid w:val="00DA4BB9"/>
    <w:rsid w:val="00DA5D8B"/>
    <w:rsid w:val="00DA5E0E"/>
    <w:rsid w:val="00DA5FE7"/>
    <w:rsid w:val="00DA7BEB"/>
    <w:rsid w:val="00DB1104"/>
    <w:rsid w:val="00DB25CF"/>
    <w:rsid w:val="00DB540A"/>
    <w:rsid w:val="00DB5879"/>
    <w:rsid w:val="00DB5993"/>
    <w:rsid w:val="00DC10C3"/>
    <w:rsid w:val="00DC265A"/>
    <w:rsid w:val="00DC32AB"/>
    <w:rsid w:val="00DC3A01"/>
    <w:rsid w:val="00DC6528"/>
    <w:rsid w:val="00DD2F68"/>
    <w:rsid w:val="00DD3179"/>
    <w:rsid w:val="00DD3BE3"/>
    <w:rsid w:val="00DD45C4"/>
    <w:rsid w:val="00DD4C7D"/>
    <w:rsid w:val="00DD4EF0"/>
    <w:rsid w:val="00DD5321"/>
    <w:rsid w:val="00DE186D"/>
    <w:rsid w:val="00DE20D0"/>
    <w:rsid w:val="00DE2EB7"/>
    <w:rsid w:val="00DE2FCF"/>
    <w:rsid w:val="00DE3FD6"/>
    <w:rsid w:val="00DE7362"/>
    <w:rsid w:val="00DE752E"/>
    <w:rsid w:val="00DF0708"/>
    <w:rsid w:val="00DF14CF"/>
    <w:rsid w:val="00DF3718"/>
    <w:rsid w:val="00DF422D"/>
    <w:rsid w:val="00DF7240"/>
    <w:rsid w:val="00DF7314"/>
    <w:rsid w:val="00E00E40"/>
    <w:rsid w:val="00E022C5"/>
    <w:rsid w:val="00E02528"/>
    <w:rsid w:val="00E0269E"/>
    <w:rsid w:val="00E074DA"/>
    <w:rsid w:val="00E07611"/>
    <w:rsid w:val="00E07DF6"/>
    <w:rsid w:val="00E11184"/>
    <w:rsid w:val="00E116CF"/>
    <w:rsid w:val="00E11FF5"/>
    <w:rsid w:val="00E14238"/>
    <w:rsid w:val="00E146C4"/>
    <w:rsid w:val="00E14C99"/>
    <w:rsid w:val="00E16CB3"/>
    <w:rsid w:val="00E200F8"/>
    <w:rsid w:val="00E20DEA"/>
    <w:rsid w:val="00E2158A"/>
    <w:rsid w:val="00E22EA2"/>
    <w:rsid w:val="00E22FF2"/>
    <w:rsid w:val="00E23B2E"/>
    <w:rsid w:val="00E24A6B"/>
    <w:rsid w:val="00E24FBF"/>
    <w:rsid w:val="00E27C1F"/>
    <w:rsid w:val="00E309A4"/>
    <w:rsid w:val="00E31E73"/>
    <w:rsid w:val="00E3251B"/>
    <w:rsid w:val="00E40F84"/>
    <w:rsid w:val="00E4122B"/>
    <w:rsid w:val="00E412C9"/>
    <w:rsid w:val="00E41A50"/>
    <w:rsid w:val="00E4296A"/>
    <w:rsid w:val="00E4373F"/>
    <w:rsid w:val="00E43757"/>
    <w:rsid w:val="00E47B7B"/>
    <w:rsid w:val="00E504F6"/>
    <w:rsid w:val="00E5117C"/>
    <w:rsid w:val="00E51309"/>
    <w:rsid w:val="00E52260"/>
    <w:rsid w:val="00E523EA"/>
    <w:rsid w:val="00E53126"/>
    <w:rsid w:val="00E548AC"/>
    <w:rsid w:val="00E54A50"/>
    <w:rsid w:val="00E56D36"/>
    <w:rsid w:val="00E628AD"/>
    <w:rsid w:val="00E629CE"/>
    <w:rsid w:val="00E62C31"/>
    <w:rsid w:val="00E63C0C"/>
    <w:rsid w:val="00E6481A"/>
    <w:rsid w:val="00E672EE"/>
    <w:rsid w:val="00E67F18"/>
    <w:rsid w:val="00E70174"/>
    <w:rsid w:val="00E7083B"/>
    <w:rsid w:val="00E71EA8"/>
    <w:rsid w:val="00E74BF8"/>
    <w:rsid w:val="00E779CA"/>
    <w:rsid w:val="00E80A2C"/>
    <w:rsid w:val="00E82717"/>
    <w:rsid w:val="00E835E8"/>
    <w:rsid w:val="00E8361B"/>
    <w:rsid w:val="00E844C8"/>
    <w:rsid w:val="00E85506"/>
    <w:rsid w:val="00E919FF"/>
    <w:rsid w:val="00E97024"/>
    <w:rsid w:val="00E97075"/>
    <w:rsid w:val="00E97AB6"/>
    <w:rsid w:val="00E97F2A"/>
    <w:rsid w:val="00EA0EE1"/>
    <w:rsid w:val="00EA1309"/>
    <w:rsid w:val="00EA22E1"/>
    <w:rsid w:val="00EA445B"/>
    <w:rsid w:val="00EA44CA"/>
    <w:rsid w:val="00EA4992"/>
    <w:rsid w:val="00EA5CE0"/>
    <w:rsid w:val="00EA66CA"/>
    <w:rsid w:val="00EA74C3"/>
    <w:rsid w:val="00EB2DDA"/>
    <w:rsid w:val="00EB3913"/>
    <w:rsid w:val="00EB4EC4"/>
    <w:rsid w:val="00EB5E19"/>
    <w:rsid w:val="00EC0B70"/>
    <w:rsid w:val="00EC20E6"/>
    <w:rsid w:val="00EC25AE"/>
    <w:rsid w:val="00EC4748"/>
    <w:rsid w:val="00EC5ACC"/>
    <w:rsid w:val="00ED0403"/>
    <w:rsid w:val="00ED04EE"/>
    <w:rsid w:val="00ED174D"/>
    <w:rsid w:val="00ED1797"/>
    <w:rsid w:val="00ED1A35"/>
    <w:rsid w:val="00ED296B"/>
    <w:rsid w:val="00ED3A19"/>
    <w:rsid w:val="00ED439F"/>
    <w:rsid w:val="00ED4442"/>
    <w:rsid w:val="00ED5FBC"/>
    <w:rsid w:val="00ED652F"/>
    <w:rsid w:val="00ED6A41"/>
    <w:rsid w:val="00ED6A97"/>
    <w:rsid w:val="00EE1BF2"/>
    <w:rsid w:val="00EE2A7B"/>
    <w:rsid w:val="00EE38D7"/>
    <w:rsid w:val="00EE48F1"/>
    <w:rsid w:val="00EE4FED"/>
    <w:rsid w:val="00EE54C3"/>
    <w:rsid w:val="00EE5BDA"/>
    <w:rsid w:val="00EE6F9B"/>
    <w:rsid w:val="00EF188D"/>
    <w:rsid w:val="00EF26D7"/>
    <w:rsid w:val="00EF34D6"/>
    <w:rsid w:val="00EF3B5C"/>
    <w:rsid w:val="00EF4C03"/>
    <w:rsid w:val="00EF75AC"/>
    <w:rsid w:val="00F00A05"/>
    <w:rsid w:val="00F00DBC"/>
    <w:rsid w:val="00F021D9"/>
    <w:rsid w:val="00F0380A"/>
    <w:rsid w:val="00F0385D"/>
    <w:rsid w:val="00F03B50"/>
    <w:rsid w:val="00F03D0B"/>
    <w:rsid w:val="00F07C79"/>
    <w:rsid w:val="00F12A39"/>
    <w:rsid w:val="00F12AF2"/>
    <w:rsid w:val="00F131A6"/>
    <w:rsid w:val="00F16C13"/>
    <w:rsid w:val="00F20E6A"/>
    <w:rsid w:val="00F21BA0"/>
    <w:rsid w:val="00F22823"/>
    <w:rsid w:val="00F22C06"/>
    <w:rsid w:val="00F239FD"/>
    <w:rsid w:val="00F25479"/>
    <w:rsid w:val="00F26461"/>
    <w:rsid w:val="00F31E2A"/>
    <w:rsid w:val="00F35E38"/>
    <w:rsid w:val="00F36379"/>
    <w:rsid w:val="00F42F56"/>
    <w:rsid w:val="00F430E0"/>
    <w:rsid w:val="00F43A4D"/>
    <w:rsid w:val="00F44109"/>
    <w:rsid w:val="00F44E23"/>
    <w:rsid w:val="00F454B7"/>
    <w:rsid w:val="00F512E1"/>
    <w:rsid w:val="00F51C60"/>
    <w:rsid w:val="00F520D4"/>
    <w:rsid w:val="00F52328"/>
    <w:rsid w:val="00F523B2"/>
    <w:rsid w:val="00F5556D"/>
    <w:rsid w:val="00F562BE"/>
    <w:rsid w:val="00F57629"/>
    <w:rsid w:val="00F57D0F"/>
    <w:rsid w:val="00F618B7"/>
    <w:rsid w:val="00F6375F"/>
    <w:rsid w:val="00F63D45"/>
    <w:rsid w:val="00F64B5C"/>
    <w:rsid w:val="00F65D96"/>
    <w:rsid w:val="00F6642F"/>
    <w:rsid w:val="00F71AD8"/>
    <w:rsid w:val="00F7279C"/>
    <w:rsid w:val="00F72BCF"/>
    <w:rsid w:val="00F7381C"/>
    <w:rsid w:val="00F73A77"/>
    <w:rsid w:val="00F73AFD"/>
    <w:rsid w:val="00F73F72"/>
    <w:rsid w:val="00F74FC0"/>
    <w:rsid w:val="00F83626"/>
    <w:rsid w:val="00F83666"/>
    <w:rsid w:val="00F8403B"/>
    <w:rsid w:val="00F846FC"/>
    <w:rsid w:val="00F861C2"/>
    <w:rsid w:val="00F86209"/>
    <w:rsid w:val="00F86E4E"/>
    <w:rsid w:val="00F90028"/>
    <w:rsid w:val="00F909C4"/>
    <w:rsid w:val="00F90AC6"/>
    <w:rsid w:val="00F9342E"/>
    <w:rsid w:val="00F943A0"/>
    <w:rsid w:val="00F950A6"/>
    <w:rsid w:val="00F972BA"/>
    <w:rsid w:val="00F978A4"/>
    <w:rsid w:val="00FA0979"/>
    <w:rsid w:val="00FA1043"/>
    <w:rsid w:val="00FA11C6"/>
    <w:rsid w:val="00FA3335"/>
    <w:rsid w:val="00FA4722"/>
    <w:rsid w:val="00FA5037"/>
    <w:rsid w:val="00FA5435"/>
    <w:rsid w:val="00FA5A58"/>
    <w:rsid w:val="00FA6AED"/>
    <w:rsid w:val="00FA798A"/>
    <w:rsid w:val="00FA7E90"/>
    <w:rsid w:val="00FB1027"/>
    <w:rsid w:val="00FB1295"/>
    <w:rsid w:val="00FB17DB"/>
    <w:rsid w:val="00FB18C8"/>
    <w:rsid w:val="00FB1A0B"/>
    <w:rsid w:val="00FB1B7E"/>
    <w:rsid w:val="00FB24B7"/>
    <w:rsid w:val="00FB2702"/>
    <w:rsid w:val="00FB3022"/>
    <w:rsid w:val="00FB3704"/>
    <w:rsid w:val="00FB44EE"/>
    <w:rsid w:val="00FB50B9"/>
    <w:rsid w:val="00FC093E"/>
    <w:rsid w:val="00FC4C2D"/>
    <w:rsid w:val="00FC509F"/>
    <w:rsid w:val="00FC5BB1"/>
    <w:rsid w:val="00FC7E78"/>
    <w:rsid w:val="00FD27C6"/>
    <w:rsid w:val="00FD2E86"/>
    <w:rsid w:val="00FD3CD5"/>
    <w:rsid w:val="00FD4B28"/>
    <w:rsid w:val="00FD51A0"/>
    <w:rsid w:val="00FD55F8"/>
    <w:rsid w:val="00FE0284"/>
    <w:rsid w:val="00FE317E"/>
    <w:rsid w:val="00FF2414"/>
    <w:rsid w:val="00FF30D2"/>
    <w:rsid w:val="00FF55B7"/>
    <w:rsid w:val="00FF569A"/>
    <w:rsid w:val="00FF5E29"/>
    <w:rsid w:val="00FF626F"/>
    <w:rsid w:val="00FF71F2"/>
    <w:rsid w:val="016C1586"/>
    <w:rsid w:val="01BF43E3"/>
    <w:rsid w:val="0225734A"/>
    <w:rsid w:val="02572FEC"/>
    <w:rsid w:val="02886335"/>
    <w:rsid w:val="02956077"/>
    <w:rsid w:val="02B130C6"/>
    <w:rsid w:val="02B2189D"/>
    <w:rsid w:val="02CA1BBF"/>
    <w:rsid w:val="02D20EF2"/>
    <w:rsid w:val="02E54D2C"/>
    <w:rsid w:val="02E82A0D"/>
    <w:rsid w:val="02FD28CC"/>
    <w:rsid w:val="03496DF7"/>
    <w:rsid w:val="03671EFA"/>
    <w:rsid w:val="039C4FB1"/>
    <w:rsid w:val="03F23EEF"/>
    <w:rsid w:val="041169FC"/>
    <w:rsid w:val="04156509"/>
    <w:rsid w:val="047371F5"/>
    <w:rsid w:val="04D715DA"/>
    <w:rsid w:val="04EB1C45"/>
    <w:rsid w:val="05166405"/>
    <w:rsid w:val="05477104"/>
    <w:rsid w:val="0553272D"/>
    <w:rsid w:val="055C0F63"/>
    <w:rsid w:val="056F09EF"/>
    <w:rsid w:val="05FA785A"/>
    <w:rsid w:val="0605091C"/>
    <w:rsid w:val="0616745F"/>
    <w:rsid w:val="062D7496"/>
    <w:rsid w:val="064B6044"/>
    <w:rsid w:val="06657089"/>
    <w:rsid w:val="06726600"/>
    <w:rsid w:val="06CF0083"/>
    <w:rsid w:val="06D90382"/>
    <w:rsid w:val="070C0696"/>
    <w:rsid w:val="071E5A16"/>
    <w:rsid w:val="07C937BF"/>
    <w:rsid w:val="07EF0979"/>
    <w:rsid w:val="0831053B"/>
    <w:rsid w:val="08412C76"/>
    <w:rsid w:val="08793CA9"/>
    <w:rsid w:val="089D72D2"/>
    <w:rsid w:val="08FF7763"/>
    <w:rsid w:val="09057635"/>
    <w:rsid w:val="096F0ABB"/>
    <w:rsid w:val="09910354"/>
    <w:rsid w:val="09A15DBC"/>
    <w:rsid w:val="09C6027F"/>
    <w:rsid w:val="09C720A4"/>
    <w:rsid w:val="09D04095"/>
    <w:rsid w:val="0A2A7A5B"/>
    <w:rsid w:val="0A3B709C"/>
    <w:rsid w:val="0A4506CE"/>
    <w:rsid w:val="0A954FB6"/>
    <w:rsid w:val="0ACC1F39"/>
    <w:rsid w:val="0AD125F3"/>
    <w:rsid w:val="0ADF77EF"/>
    <w:rsid w:val="0B2049EE"/>
    <w:rsid w:val="0B2B553A"/>
    <w:rsid w:val="0B2F6646"/>
    <w:rsid w:val="0B346BD7"/>
    <w:rsid w:val="0B6B61C4"/>
    <w:rsid w:val="0B8659FC"/>
    <w:rsid w:val="0B9D5E92"/>
    <w:rsid w:val="0BB6425E"/>
    <w:rsid w:val="0BE17678"/>
    <w:rsid w:val="0BF06DF2"/>
    <w:rsid w:val="0C2F0E93"/>
    <w:rsid w:val="0C6805E4"/>
    <w:rsid w:val="0C9968D3"/>
    <w:rsid w:val="0D280491"/>
    <w:rsid w:val="0D406458"/>
    <w:rsid w:val="0D8612FE"/>
    <w:rsid w:val="0D971CA7"/>
    <w:rsid w:val="0DD062B9"/>
    <w:rsid w:val="0DE8465A"/>
    <w:rsid w:val="0E18203E"/>
    <w:rsid w:val="0E450864"/>
    <w:rsid w:val="0E564A0B"/>
    <w:rsid w:val="0E853BFA"/>
    <w:rsid w:val="0EE31A71"/>
    <w:rsid w:val="0F071FCF"/>
    <w:rsid w:val="0F1C53EF"/>
    <w:rsid w:val="0F1E0895"/>
    <w:rsid w:val="0F20287B"/>
    <w:rsid w:val="0F2E4A36"/>
    <w:rsid w:val="0F2F7C40"/>
    <w:rsid w:val="0F6E1DC7"/>
    <w:rsid w:val="0F992198"/>
    <w:rsid w:val="0FBE6BCB"/>
    <w:rsid w:val="0FF03D2E"/>
    <w:rsid w:val="10250508"/>
    <w:rsid w:val="108442C5"/>
    <w:rsid w:val="10C86F48"/>
    <w:rsid w:val="10EE0F51"/>
    <w:rsid w:val="111012D6"/>
    <w:rsid w:val="114B3390"/>
    <w:rsid w:val="114C7BD1"/>
    <w:rsid w:val="1179746D"/>
    <w:rsid w:val="117C7BA5"/>
    <w:rsid w:val="11BC03B1"/>
    <w:rsid w:val="11D120ED"/>
    <w:rsid w:val="11E51C7F"/>
    <w:rsid w:val="11F35547"/>
    <w:rsid w:val="121D065C"/>
    <w:rsid w:val="12437710"/>
    <w:rsid w:val="128F03BA"/>
    <w:rsid w:val="12D04502"/>
    <w:rsid w:val="12E74BAE"/>
    <w:rsid w:val="12EA64C4"/>
    <w:rsid w:val="13352B8C"/>
    <w:rsid w:val="139B7A58"/>
    <w:rsid w:val="13D81F5B"/>
    <w:rsid w:val="141C4E63"/>
    <w:rsid w:val="145047B7"/>
    <w:rsid w:val="147E765A"/>
    <w:rsid w:val="14C80B26"/>
    <w:rsid w:val="14FE6C5E"/>
    <w:rsid w:val="15131AFE"/>
    <w:rsid w:val="152A2FC9"/>
    <w:rsid w:val="15341C5A"/>
    <w:rsid w:val="15870A80"/>
    <w:rsid w:val="158F1DF4"/>
    <w:rsid w:val="1597693F"/>
    <w:rsid w:val="15C60C67"/>
    <w:rsid w:val="16667227"/>
    <w:rsid w:val="167774BA"/>
    <w:rsid w:val="16806A41"/>
    <w:rsid w:val="16CD5BBE"/>
    <w:rsid w:val="172B4305"/>
    <w:rsid w:val="174817DC"/>
    <w:rsid w:val="175A3B0F"/>
    <w:rsid w:val="176A5841"/>
    <w:rsid w:val="177278E5"/>
    <w:rsid w:val="179B0005"/>
    <w:rsid w:val="17B43613"/>
    <w:rsid w:val="17BE3373"/>
    <w:rsid w:val="17C14CD5"/>
    <w:rsid w:val="17D611A1"/>
    <w:rsid w:val="17DE2C1D"/>
    <w:rsid w:val="17F12CED"/>
    <w:rsid w:val="180E2163"/>
    <w:rsid w:val="180F01DE"/>
    <w:rsid w:val="18347420"/>
    <w:rsid w:val="184B34DD"/>
    <w:rsid w:val="191411B6"/>
    <w:rsid w:val="19375EF2"/>
    <w:rsid w:val="194B249C"/>
    <w:rsid w:val="195643A9"/>
    <w:rsid w:val="197A67D3"/>
    <w:rsid w:val="19951410"/>
    <w:rsid w:val="19B30BF1"/>
    <w:rsid w:val="19BA1C02"/>
    <w:rsid w:val="19DF1A38"/>
    <w:rsid w:val="1A5A6E09"/>
    <w:rsid w:val="1A6E424E"/>
    <w:rsid w:val="1A916B34"/>
    <w:rsid w:val="1AA532C8"/>
    <w:rsid w:val="1B5C3E52"/>
    <w:rsid w:val="1BA63A57"/>
    <w:rsid w:val="1BA81567"/>
    <w:rsid w:val="1BB93010"/>
    <w:rsid w:val="1BBB0DC5"/>
    <w:rsid w:val="1BC24F05"/>
    <w:rsid w:val="1BEE2535"/>
    <w:rsid w:val="1C06312A"/>
    <w:rsid w:val="1C1A17E9"/>
    <w:rsid w:val="1C513921"/>
    <w:rsid w:val="1C5C0AF2"/>
    <w:rsid w:val="1C761F07"/>
    <w:rsid w:val="1C820E30"/>
    <w:rsid w:val="1C8A18EA"/>
    <w:rsid w:val="1CB80449"/>
    <w:rsid w:val="1CBE0124"/>
    <w:rsid w:val="1CF841AD"/>
    <w:rsid w:val="1D1052C7"/>
    <w:rsid w:val="1D2B40AB"/>
    <w:rsid w:val="1D3211CB"/>
    <w:rsid w:val="1D4079F2"/>
    <w:rsid w:val="1D8415FA"/>
    <w:rsid w:val="1D8D410C"/>
    <w:rsid w:val="1E11596C"/>
    <w:rsid w:val="1E3F7C79"/>
    <w:rsid w:val="1E8129A5"/>
    <w:rsid w:val="1E97591C"/>
    <w:rsid w:val="1E9F37C3"/>
    <w:rsid w:val="1EA2679B"/>
    <w:rsid w:val="1EE0095E"/>
    <w:rsid w:val="1F056B81"/>
    <w:rsid w:val="1F120BCD"/>
    <w:rsid w:val="1F4F7B41"/>
    <w:rsid w:val="1F50256B"/>
    <w:rsid w:val="1F6351A3"/>
    <w:rsid w:val="1F645D8E"/>
    <w:rsid w:val="1FA06829"/>
    <w:rsid w:val="1FA91264"/>
    <w:rsid w:val="1FCA48EE"/>
    <w:rsid w:val="1FCE17F7"/>
    <w:rsid w:val="1FFC74EA"/>
    <w:rsid w:val="206865D2"/>
    <w:rsid w:val="207777AC"/>
    <w:rsid w:val="208D7486"/>
    <w:rsid w:val="20BA4864"/>
    <w:rsid w:val="21046A98"/>
    <w:rsid w:val="211C11FE"/>
    <w:rsid w:val="21212DF7"/>
    <w:rsid w:val="21341896"/>
    <w:rsid w:val="21597358"/>
    <w:rsid w:val="21A337FD"/>
    <w:rsid w:val="21A45422"/>
    <w:rsid w:val="21A63AC2"/>
    <w:rsid w:val="21E31EC0"/>
    <w:rsid w:val="21EC172A"/>
    <w:rsid w:val="21F655F2"/>
    <w:rsid w:val="21F97282"/>
    <w:rsid w:val="22252448"/>
    <w:rsid w:val="224F1DF8"/>
    <w:rsid w:val="2250548F"/>
    <w:rsid w:val="228A18CC"/>
    <w:rsid w:val="22916C84"/>
    <w:rsid w:val="22A103D9"/>
    <w:rsid w:val="22F52331"/>
    <w:rsid w:val="233A5CDB"/>
    <w:rsid w:val="235D2F77"/>
    <w:rsid w:val="23645F43"/>
    <w:rsid w:val="238A7DAE"/>
    <w:rsid w:val="23AA5F2F"/>
    <w:rsid w:val="23AC4BE7"/>
    <w:rsid w:val="242D5C8C"/>
    <w:rsid w:val="24C610DE"/>
    <w:rsid w:val="254704CE"/>
    <w:rsid w:val="255078BB"/>
    <w:rsid w:val="256610D3"/>
    <w:rsid w:val="256D2D6D"/>
    <w:rsid w:val="25B1048E"/>
    <w:rsid w:val="25D87CE8"/>
    <w:rsid w:val="25DE02CF"/>
    <w:rsid w:val="263F1374"/>
    <w:rsid w:val="2641018C"/>
    <w:rsid w:val="265A1CC6"/>
    <w:rsid w:val="268F764A"/>
    <w:rsid w:val="26D175C3"/>
    <w:rsid w:val="26DF29B9"/>
    <w:rsid w:val="26E02C45"/>
    <w:rsid w:val="270D0FEA"/>
    <w:rsid w:val="273D4F8D"/>
    <w:rsid w:val="27455AFA"/>
    <w:rsid w:val="275E7B71"/>
    <w:rsid w:val="27766742"/>
    <w:rsid w:val="27A75055"/>
    <w:rsid w:val="27B3139E"/>
    <w:rsid w:val="27BC5833"/>
    <w:rsid w:val="28134D39"/>
    <w:rsid w:val="2821089B"/>
    <w:rsid w:val="28552939"/>
    <w:rsid w:val="285A3743"/>
    <w:rsid w:val="287C24E7"/>
    <w:rsid w:val="28B03E74"/>
    <w:rsid w:val="28CC761B"/>
    <w:rsid w:val="28ED173D"/>
    <w:rsid w:val="28F53608"/>
    <w:rsid w:val="29290440"/>
    <w:rsid w:val="292D3A44"/>
    <w:rsid w:val="29466651"/>
    <w:rsid w:val="29A24808"/>
    <w:rsid w:val="29BB1AE7"/>
    <w:rsid w:val="29FA157F"/>
    <w:rsid w:val="2A0879F7"/>
    <w:rsid w:val="2A3C7F94"/>
    <w:rsid w:val="2A6858FC"/>
    <w:rsid w:val="2AA55992"/>
    <w:rsid w:val="2AB232DF"/>
    <w:rsid w:val="2AED2364"/>
    <w:rsid w:val="2B036D5A"/>
    <w:rsid w:val="2B2F5F86"/>
    <w:rsid w:val="2B981AE2"/>
    <w:rsid w:val="2B9D6897"/>
    <w:rsid w:val="2BA84754"/>
    <w:rsid w:val="2C1D4924"/>
    <w:rsid w:val="2C211BE0"/>
    <w:rsid w:val="2C5F7577"/>
    <w:rsid w:val="2C997952"/>
    <w:rsid w:val="2CA16A2D"/>
    <w:rsid w:val="2CA84936"/>
    <w:rsid w:val="2CBE634A"/>
    <w:rsid w:val="2CC37BAD"/>
    <w:rsid w:val="2CD13A9B"/>
    <w:rsid w:val="2D0F6A95"/>
    <w:rsid w:val="2D46343F"/>
    <w:rsid w:val="2D6B1F55"/>
    <w:rsid w:val="2D7373C7"/>
    <w:rsid w:val="2D8C707C"/>
    <w:rsid w:val="2D8D6B6F"/>
    <w:rsid w:val="2D937435"/>
    <w:rsid w:val="2DCE5D66"/>
    <w:rsid w:val="2DDC5341"/>
    <w:rsid w:val="2E44685A"/>
    <w:rsid w:val="2EA50478"/>
    <w:rsid w:val="2EC554AB"/>
    <w:rsid w:val="2EFF6503"/>
    <w:rsid w:val="2F005E89"/>
    <w:rsid w:val="2F39316D"/>
    <w:rsid w:val="2F4871CF"/>
    <w:rsid w:val="2F723E06"/>
    <w:rsid w:val="2F8D0F88"/>
    <w:rsid w:val="2FA23AB0"/>
    <w:rsid w:val="30065571"/>
    <w:rsid w:val="303C1E70"/>
    <w:rsid w:val="30473BB7"/>
    <w:rsid w:val="3068359D"/>
    <w:rsid w:val="30697628"/>
    <w:rsid w:val="30C7223B"/>
    <w:rsid w:val="30E14516"/>
    <w:rsid w:val="30E3292A"/>
    <w:rsid w:val="30F370BF"/>
    <w:rsid w:val="31312D5C"/>
    <w:rsid w:val="31AC65DF"/>
    <w:rsid w:val="31C44103"/>
    <w:rsid w:val="321E111C"/>
    <w:rsid w:val="322D4ABE"/>
    <w:rsid w:val="32611999"/>
    <w:rsid w:val="32791EC6"/>
    <w:rsid w:val="32A2220E"/>
    <w:rsid w:val="32AC79A4"/>
    <w:rsid w:val="32C23B41"/>
    <w:rsid w:val="330625B6"/>
    <w:rsid w:val="33146BC2"/>
    <w:rsid w:val="33207FD5"/>
    <w:rsid w:val="33385FFB"/>
    <w:rsid w:val="335C0943"/>
    <w:rsid w:val="336B540D"/>
    <w:rsid w:val="336E552F"/>
    <w:rsid w:val="337600BA"/>
    <w:rsid w:val="33B10EB4"/>
    <w:rsid w:val="33E82816"/>
    <w:rsid w:val="34421BE5"/>
    <w:rsid w:val="344806AA"/>
    <w:rsid w:val="34525FC0"/>
    <w:rsid w:val="34D72E80"/>
    <w:rsid w:val="34E63D8B"/>
    <w:rsid w:val="34F03954"/>
    <w:rsid w:val="350352A1"/>
    <w:rsid w:val="35442018"/>
    <w:rsid w:val="35495A79"/>
    <w:rsid w:val="355E692A"/>
    <w:rsid w:val="356E4B12"/>
    <w:rsid w:val="35A253EC"/>
    <w:rsid w:val="35EE7CB9"/>
    <w:rsid w:val="36236029"/>
    <w:rsid w:val="3627415E"/>
    <w:rsid w:val="368C5DD9"/>
    <w:rsid w:val="36927A29"/>
    <w:rsid w:val="371776C7"/>
    <w:rsid w:val="37234B02"/>
    <w:rsid w:val="374D0744"/>
    <w:rsid w:val="38174B6F"/>
    <w:rsid w:val="381B385C"/>
    <w:rsid w:val="381C756C"/>
    <w:rsid w:val="38431F84"/>
    <w:rsid w:val="38935FDF"/>
    <w:rsid w:val="39014157"/>
    <w:rsid w:val="390B6792"/>
    <w:rsid w:val="39621118"/>
    <w:rsid w:val="39A9634F"/>
    <w:rsid w:val="39DB5A45"/>
    <w:rsid w:val="3A112463"/>
    <w:rsid w:val="3A276CA3"/>
    <w:rsid w:val="3A844198"/>
    <w:rsid w:val="3A8D1DA5"/>
    <w:rsid w:val="3A987D4E"/>
    <w:rsid w:val="3A9D29E9"/>
    <w:rsid w:val="3AFC59BC"/>
    <w:rsid w:val="3B1049F1"/>
    <w:rsid w:val="3B3447AA"/>
    <w:rsid w:val="3B6B3790"/>
    <w:rsid w:val="3B871317"/>
    <w:rsid w:val="3BA13807"/>
    <w:rsid w:val="3BB63EF8"/>
    <w:rsid w:val="3BD107FA"/>
    <w:rsid w:val="3C3336D6"/>
    <w:rsid w:val="3C5308BF"/>
    <w:rsid w:val="3C893C24"/>
    <w:rsid w:val="3CAC21AB"/>
    <w:rsid w:val="3CB0687D"/>
    <w:rsid w:val="3CC46890"/>
    <w:rsid w:val="3CE808F3"/>
    <w:rsid w:val="3CED70B6"/>
    <w:rsid w:val="3D0205C5"/>
    <w:rsid w:val="3D2A3905"/>
    <w:rsid w:val="3D5E6B9F"/>
    <w:rsid w:val="3D682A15"/>
    <w:rsid w:val="3D7C311D"/>
    <w:rsid w:val="3DA3169F"/>
    <w:rsid w:val="3DAB01EA"/>
    <w:rsid w:val="3DB66094"/>
    <w:rsid w:val="3DC74EBF"/>
    <w:rsid w:val="3DDE1DEE"/>
    <w:rsid w:val="3E0110BE"/>
    <w:rsid w:val="3E1255D9"/>
    <w:rsid w:val="3E614ECC"/>
    <w:rsid w:val="3E65507C"/>
    <w:rsid w:val="3E8B4156"/>
    <w:rsid w:val="3E976D0A"/>
    <w:rsid w:val="3EA026B9"/>
    <w:rsid w:val="3EAA4F96"/>
    <w:rsid w:val="3ED50478"/>
    <w:rsid w:val="3F0E0D02"/>
    <w:rsid w:val="3F156E1E"/>
    <w:rsid w:val="3F31112A"/>
    <w:rsid w:val="3F333982"/>
    <w:rsid w:val="3F3E50F4"/>
    <w:rsid w:val="3F623166"/>
    <w:rsid w:val="3FCA7C56"/>
    <w:rsid w:val="3FDD2DA4"/>
    <w:rsid w:val="401876CF"/>
    <w:rsid w:val="40301AD6"/>
    <w:rsid w:val="40747532"/>
    <w:rsid w:val="40E43E80"/>
    <w:rsid w:val="40FE41A9"/>
    <w:rsid w:val="411C3B71"/>
    <w:rsid w:val="412F601C"/>
    <w:rsid w:val="413D2424"/>
    <w:rsid w:val="41770E3B"/>
    <w:rsid w:val="41AC5379"/>
    <w:rsid w:val="42083C1C"/>
    <w:rsid w:val="4213297E"/>
    <w:rsid w:val="42493F85"/>
    <w:rsid w:val="424C0C7C"/>
    <w:rsid w:val="42586C98"/>
    <w:rsid w:val="4262204D"/>
    <w:rsid w:val="4321289F"/>
    <w:rsid w:val="433C6DB7"/>
    <w:rsid w:val="43475175"/>
    <w:rsid w:val="43491CB4"/>
    <w:rsid w:val="434D2936"/>
    <w:rsid w:val="43890B07"/>
    <w:rsid w:val="438D43C8"/>
    <w:rsid w:val="43E12237"/>
    <w:rsid w:val="43E257F5"/>
    <w:rsid w:val="44133245"/>
    <w:rsid w:val="4428572F"/>
    <w:rsid w:val="442A459F"/>
    <w:rsid w:val="446A4E78"/>
    <w:rsid w:val="44BC5F30"/>
    <w:rsid w:val="44E92502"/>
    <w:rsid w:val="450A5EE8"/>
    <w:rsid w:val="455819BA"/>
    <w:rsid w:val="4573601E"/>
    <w:rsid w:val="45A66B7D"/>
    <w:rsid w:val="45B34692"/>
    <w:rsid w:val="45D3026E"/>
    <w:rsid w:val="45FD6B8E"/>
    <w:rsid w:val="460F1575"/>
    <w:rsid w:val="465068EA"/>
    <w:rsid w:val="468841BD"/>
    <w:rsid w:val="47374D25"/>
    <w:rsid w:val="474E2E57"/>
    <w:rsid w:val="475E085F"/>
    <w:rsid w:val="47950C9A"/>
    <w:rsid w:val="47FD7038"/>
    <w:rsid w:val="482B0B2C"/>
    <w:rsid w:val="48960240"/>
    <w:rsid w:val="48C60692"/>
    <w:rsid w:val="48DE024A"/>
    <w:rsid w:val="48EA532B"/>
    <w:rsid w:val="4903174C"/>
    <w:rsid w:val="49132E7F"/>
    <w:rsid w:val="49133DB8"/>
    <w:rsid w:val="49172685"/>
    <w:rsid w:val="493C7410"/>
    <w:rsid w:val="49427806"/>
    <w:rsid w:val="4957543D"/>
    <w:rsid w:val="498E528A"/>
    <w:rsid w:val="499272C9"/>
    <w:rsid w:val="49942665"/>
    <w:rsid w:val="49C71838"/>
    <w:rsid w:val="49D14005"/>
    <w:rsid w:val="49E12C8F"/>
    <w:rsid w:val="49F7274F"/>
    <w:rsid w:val="49FB4A8C"/>
    <w:rsid w:val="4A1F4B98"/>
    <w:rsid w:val="4AC2523F"/>
    <w:rsid w:val="4AE37452"/>
    <w:rsid w:val="4AF84A7E"/>
    <w:rsid w:val="4BDA3C42"/>
    <w:rsid w:val="4C065431"/>
    <w:rsid w:val="4C1269A4"/>
    <w:rsid w:val="4C3908C4"/>
    <w:rsid w:val="4C7D426E"/>
    <w:rsid w:val="4CC74820"/>
    <w:rsid w:val="4CCA7997"/>
    <w:rsid w:val="4CD269B0"/>
    <w:rsid w:val="4D0B0B3B"/>
    <w:rsid w:val="4D2601D8"/>
    <w:rsid w:val="4D336DED"/>
    <w:rsid w:val="4D6E1364"/>
    <w:rsid w:val="4D920ACF"/>
    <w:rsid w:val="4D97534F"/>
    <w:rsid w:val="4D9D0A56"/>
    <w:rsid w:val="4DB7102C"/>
    <w:rsid w:val="4E37519E"/>
    <w:rsid w:val="4E3F55FC"/>
    <w:rsid w:val="4E5351DF"/>
    <w:rsid w:val="4E6A7D07"/>
    <w:rsid w:val="4E6D27CE"/>
    <w:rsid w:val="4EE6258A"/>
    <w:rsid w:val="4F6C5F65"/>
    <w:rsid w:val="4F773F4F"/>
    <w:rsid w:val="4F9F062B"/>
    <w:rsid w:val="4FA1190F"/>
    <w:rsid w:val="4FC94762"/>
    <w:rsid w:val="50260A9F"/>
    <w:rsid w:val="50405934"/>
    <w:rsid w:val="50602515"/>
    <w:rsid w:val="50694480"/>
    <w:rsid w:val="50922E13"/>
    <w:rsid w:val="513D6408"/>
    <w:rsid w:val="51726808"/>
    <w:rsid w:val="518C73ED"/>
    <w:rsid w:val="51B502FB"/>
    <w:rsid w:val="51E753DB"/>
    <w:rsid w:val="51FF0B9B"/>
    <w:rsid w:val="520438C0"/>
    <w:rsid w:val="522A50E7"/>
    <w:rsid w:val="522A6B7C"/>
    <w:rsid w:val="522E297E"/>
    <w:rsid w:val="526376F4"/>
    <w:rsid w:val="526A2E3F"/>
    <w:rsid w:val="52915227"/>
    <w:rsid w:val="52BF16B0"/>
    <w:rsid w:val="52DE23AC"/>
    <w:rsid w:val="53023616"/>
    <w:rsid w:val="53290193"/>
    <w:rsid w:val="53333423"/>
    <w:rsid w:val="53340ADE"/>
    <w:rsid w:val="533C3A10"/>
    <w:rsid w:val="53523F04"/>
    <w:rsid w:val="53806DB2"/>
    <w:rsid w:val="53831BEC"/>
    <w:rsid w:val="53BF39D9"/>
    <w:rsid w:val="53D551D0"/>
    <w:rsid w:val="53EB156D"/>
    <w:rsid w:val="5415100A"/>
    <w:rsid w:val="544F5B15"/>
    <w:rsid w:val="54643BE5"/>
    <w:rsid w:val="54B0323B"/>
    <w:rsid w:val="54C54486"/>
    <w:rsid w:val="551B77E5"/>
    <w:rsid w:val="5554785C"/>
    <w:rsid w:val="558B2B31"/>
    <w:rsid w:val="558F2872"/>
    <w:rsid w:val="55C40AAE"/>
    <w:rsid w:val="55F9060B"/>
    <w:rsid w:val="56085822"/>
    <w:rsid w:val="56225739"/>
    <w:rsid w:val="56854543"/>
    <w:rsid w:val="56BA6A08"/>
    <w:rsid w:val="56F21507"/>
    <w:rsid w:val="56FD4FB9"/>
    <w:rsid w:val="57A96D0D"/>
    <w:rsid w:val="57B05E31"/>
    <w:rsid w:val="57E91010"/>
    <w:rsid w:val="57FA0C13"/>
    <w:rsid w:val="57FE29D2"/>
    <w:rsid w:val="58037756"/>
    <w:rsid w:val="583450BB"/>
    <w:rsid w:val="58511E06"/>
    <w:rsid w:val="58885D57"/>
    <w:rsid w:val="588E07A9"/>
    <w:rsid w:val="589439F3"/>
    <w:rsid w:val="58A12260"/>
    <w:rsid w:val="58AF68CC"/>
    <w:rsid w:val="58FB1F46"/>
    <w:rsid w:val="59037F07"/>
    <w:rsid w:val="5922095C"/>
    <w:rsid w:val="596D05DB"/>
    <w:rsid w:val="599248BF"/>
    <w:rsid w:val="59973224"/>
    <w:rsid w:val="59AF21ED"/>
    <w:rsid w:val="5A1020D7"/>
    <w:rsid w:val="5A241F8D"/>
    <w:rsid w:val="5A554E81"/>
    <w:rsid w:val="5A6302AE"/>
    <w:rsid w:val="5A936B52"/>
    <w:rsid w:val="5ABB52BC"/>
    <w:rsid w:val="5AC23BAC"/>
    <w:rsid w:val="5AF16F31"/>
    <w:rsid w:val="5B1342D8"/>
    <w:rsid w:val="5B19044E"/>
    <w:rsid w:val="5BF50E30"/>
    <w:rsid w:val="5C5E622F"/>
    <w:rsid w:val="5C822D6B"/>
    <w:rsid w:val="5CB6277D"/>
    <w:rsid w:val="5CC05C4D"/>
    <w:rsid w:val="5CC060C8"/>
    <w:rsid w:val="5CC5262C"/>
    <w:rsid w:val="5CD04DA2"/>
    <w:rsid w:val="5CD669FD"/>
    <w:rsid w:val="5D2E37A1"/>
    <w:rsid w:val="5D457310"/>
    <w:rsid w:val="5D5E35F2"/>
    <w:rsid w:val="5DF52BD7"/>
    <w:rsid w:val="5E067193"/>
    <w:rsid w:val="5E3A5BC1"/>
    <w:rsid w:val="5E772819"/>
    <w:rsid w:val="5E852211"/>
    <w:rsid w:val="5E886C79"/>
    <w:rsid w:val="5E8D1439"/>
    <w:rsid w:val="5EA0777C"/>
    <w:rsid w:val="5EEA7F58"/>
    <w:rsid w:val="5F234882"/>
    <w:rsid w:val="5F2C3105"/>
    <w:rsid w:val="5F2E37B1"/>
    <w:rsid w:val="5F664E06"/>
    <w:rsid w:val="5F685DE3"/>
    <w:rsid w:val="5F8B6C2C"/>
    <w:rsid w:val="5FA948A6"/>
    <w:rsid w:val="601A18A2"/>
    <w:rsid w:val="60322F86"/>
    <w:rsid w:val="60416A3D"/>
    <w:rsid w:val="606157BB"/>
    <w:rsid w:val="60697CC7"/>
    <w:rsid w:val="60D16275"/>
    <w:rsid w:val="60E45457"/>
    <w:rsid w:val="60E63763"/>
    <w:rsid w:val="612D20A1"/>
    <w:rsid w:val="6130659B"/>
    <w:rsid w:val="61462C24"/>
    <w:rsid w:val="619F07BC"/>
    <w:rsid w:val="61BE6FE7"/>
    <w:rsid w:val="61C15CEC"/>
    <w:rsid w:val="62352C29"/>
    <w:rsid w:val="624C02BD"/>
    <w:rsid w:val="625721AE"/>
    <w:rsid w:val="627059B3"/>
    <w:rsid w:val="629957D4"/>
    <w:rsid w:val="62B12055"/>
    <w:rsid w:val="62B24D1F"/>
    <w:rsid w:val="634F348B"/>
    <w:rsid w:val="635634EA"/>
    <w:rsid w:val="638C5E9C"/>
    <w:rsid w:val="63976047"/>
    <w:rsid w:val="639E1529"/>
    <w:rsid w:val="63AE61AC"/>
    <w:rsid w:val="63B919DB"/>
    <w:rsid w:val="63BF7ACC"/>
    <w:rsid w:val="63D10527"/>
    <w:rsid w:val="63F5753D"/>
    <w:rsid w:val="63F77831"/>
    <w:rsid w:val="64042923"/>
    <w:rsid w:val="649C1B8B"/>
    <w:rsid w:val="64D05F5F"/>
    <w:rsid w:val="653F3270"/>
    <w:rsid w:val="655570EB"/>
    <w:rsid w:val="658B43A1"/>
    <w:rsid w:val="658C2F14"/>
    <w:rsid w:val="658D37A4"/>
    <w:rsid w:val="65AD758B"/>
    <w:rsid w:val="65AF65D4"/>
    <w:rsid w:val="65C2017F"/>
    <w:rsid w:val="65C24063"/>
    <w:rsid w:val="65CA773B"/>
    <w:rsid w:val="660D6171"/>
    <w:rsid w:val="66292819"/>
    <w:rsid w:val="667708B2"/>
    <w:rsid w:val="669D3C48"/>
    <w:rsid w:val="66FD5DD2"/>
    <w:rsid w:val="671B11B5"/>
    <w:rsid w:val="671D43B7"/>
    <w:rsid w:val="674D0E3F"/>
    <w:rsid w:val="676F3787"/>
    <w:rsid w:val="677F07FF"/>
    <w:rsid w:val="67856C68"/>
    <w:rsid w:val="678907F7"/>
    <w:rsid w:val="67C01765"/>
    <w:rsid w:val="67CA5EF6"/>
    <w:rsid w:val="68110DA8"/>
    <w:rsid w:val="683B2672"/>
    <w:rsid w:val="684055B4"/>
    <w:rsid w:val="687577DD"/>
    <w:rsid w:val="68AE5D6E"/>
    <w:rsid w:val="68AF7E91"/>
    <w:rsid w:val="68C023D2"/>
    <w:rsid w:val="68C766B6"/>
    <w:rsid w:val="68E30383"/>
    <w:rsid w:val="68E37910"/>
    <w:rsid w:val="69552264"/>
    <w:rsid w:val="698712DF"/>
    <w:rsid w:val="69B87EA1"/>
    <w:rsid w:val="6A2D6062"/>
    <w:rsid w:val="6A49383F"/>
    <w:rsid w:val="6A5825EB"/>
    <w:rsid w:val="6AB31B2C"/>
    <w:rsid w:val="6AC0564A"/>
    <w:rsid w:val="6AC341F5"/>
    <w:rsid w:val="6B025E78"/>
    <w:rsid w:val="6B08577C"/>
    <w:rsid w:val="6B2E06FD"/>
    <w:rsid w:val="6B5B297F"/>
    <w:rsid w:val="6B666FC5"/>
    <w:rsid w:val="6B861BF1"/>
    <w:rsid w:val="6C2A0D55"/>
    <w:rsid w:val="6C3A53CE"/>
    <w:rsid w:val="6C84106B"/>
    <w:rsid w:val="6CA656DF"/>
    <w:rsid w:val="6CBF1DE2"/>
    <w:rsid w:val="6CD60F40"/>
    <w:rsid w:val="6CE03FD8"/>
    <w:rsid w:val="6D535020"/>
    <w:rsid w:val="6D695C7D"/>
    <w:rsid w:val="6DA463AE"/>
    <w:rsid w:val="6DDB1D0F"/>
    <w:rsid w:val="6DE30972"/>
    <w:rsid w:val="6DFC4B41"/>
    <w:rsid w:val="6E1006FE"/>
    <w:rsid w:val="6E180C9E"/>
    <w:rsid w:val="6E6C7B22"/>
    <w:rsid w:val="6EB50993"/>
    <w:rsid w:val="6EBE514D"/>
    <w:rsid w:val="6ECA445D"/>
    <w:rsid w:val="6EFB3981"/>
    <w:rsid w:val="6F31001B"/>
    <w:rsid w:val="6F365D9A"/>
    <w:rsid w:val="6F8462FD"/>
    <w:rsid w:val="6FAF2998"/>
    <w:rsid w:val="6FCE2469"/>
    <w:rsid w:val="700503E2"/>
    <w:rsid w:val="70532FDF"/>
    <w:rsid w:val="70624421"/>
    <w:rsid w:val="711F311F"/>
    <w:rsid w:val="712061CD"/>
    <w:rsid w:val="717936C6"/>
    <w:rsid w:val="718C4400"/>
    <w:rsid w:val="719D0204"/>
    <w:rsid w:val="71AF014B"/>
    <w:rsid w:val="71ED3B2E"/>
    <w:rsid w:val="71F47671"/>
    <w:rsid w:val="71F971BA"/>
    <w:rsid w:val="720F1770"/>
    <w:rsid w:val="72B327B7"/>
    <w:rsid w:val="72CE728F"/>
    <w:rsid w:val="72E03660"/>
    <w:rsid w:val="734F6F00"/>
    <w:rsid w:val="739F49DB"/>
    <w:rsid w:val="73B135E8"/>
    <w:rsid w:val="73BC3408"/>
    <w:rsid w:val="740110B8"/>
    <w:rsid w:val="7409401B"/>
    <w:rsid w:val="741D40BB"/>
    <w:rsid w:val="744F3F58"/>
    <w:rsid w:val="746A5818"/>
    <w:rsid w:val="749A6387"/>
    <w:rsid w:val="74BB1219"/>
    <w:rsid w:val="74CA2191"/>
    <w:rsid w:val="74E006E5"/>
    <w:rsid w:val="74EA3869"/>
    <w:rsid w:val="74EF3F66"/>
    <w:rsid w:val="74F20162"/>
    <w:rsid w:val="74F40F56"/>
    <w:rsid w:val="75055461"/>
    <w:rsid w:val="7568318C"/>
    <w:rsid w:val="75A71321"/>
    <w:rsid w:val="75C12169"/>
    <w:rsid w:val="75DC690B"/>
    <w:rsid w:val="75DC7252"/>
    <w:rsid w:val="7632719F"/>
    <w:rsid w:val="76945260"/>
    <w:rsid w:val="76A44362"/>
    <w:rsid w:val="76C40438"/>
    <w:rsid w:val="776A34F9"/>
    <w:rsid w:val="77AA7E67"/>
    <w:rsid w:val="77B65222"/>
    <w:rsid w:val="77BD7FD5"/>
    <w:rsid w:val="77CE777B"/>
    <w:rsid w:val="77E04025"/>
    <w:rsid w:val="77E86D0C"/>
    <w:rsid w:val="780B5A8B"/>
    <w:rsid w:val="782F0204"/>
    <w:rsid w:val="78594387"/>
    <w:rsid w:val="7887364A"/>
    <w:rsid w:val="788D7779"/>
    <w:rsid w:val="78A56BAF"/>
    <w:rsid w:val="78B5498C"/>
    <w:rsid w:val="78BA1E64"/>
    <w:rsid w:val="78D964B8"/>
    <w:rsid w:val="793B4DC4"/>
    <w:rsid w:val="795C32C5"/>
    <w:rsid w:val="7A346A2E"/>
    <w:rsid w:val="7A8462E8"/>
    <w:rsid w:val="7AE8696E"/>
    <w:rsid w:val="7AF71574"/>
    <w:rsid w:val="7B05608A"/>
    <w:rsid w:val="7B1D3E06"/>
    <w:rsid w:val="7B8841BE"/>
    <w:rsid w:val="7BBF6B45"/>
    <w:rsid w:val="7BCE7897"/>
    <w:rsid w:val="7BE83ACA"/>
    <w:rsid w:val="7BF212DD"/>
    <w:rsid w:val="7C2B0E57"/>
    <w:rsid w:val="7C6D2CAB"/>
    <w:rsid w:val="7C7E3B32"/>
    <w:rsid w:val="7C843D45"/>
    <w:rsid w:val="7D112EAB"/>
    <w:rsid w:val="7D6F5DEB"/>
    <w:rsid w:val="7D970116"/>
    <w:rsid w:val="7DCE15B2"/>
    <w:rsid w:val="7DE56E8E"/>
    <w:rsid w:val="7E7D1D7F"/>
    <w:rsid w:val="7E7D3960"/>
    <w:rsid w:val="7E822D47"/>
    <w:rsid w:val="7EB43C2A"/>
    <w:rsid w:val="7ECA3219"/>
    <w:rsid w:val="7ED94842"/>
    <w:rsid w:val="7EF44AF0"/>
    <w:rsid w:val="7F050E88"/>
    <w:rsid w:val="7F603545"/>
    <w:rsid w:val="7FAA51C6"/>
    <w:rsid w:val="7FD20B80"/>
    <w:rsid w:val="7FE7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87"/>
        <o:r id="V:Rule2" type="connector" idref="#_x0000_s109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outlineLvl w:val="0"/>
    </w:pPr>
    <w:rPr>
      <w:rFonts w:ascii="Calibri" w:hAnsi="Calibri" w:eastAsia="宋体" w:cs="Times New Roman"/>
      <w:b/>
      <w:kern w:val="44"/>
      <w:sz w:val="28"/>
      <w:szCs w:val="22"/>
    </w:rPr>
  </w:style>
  <w:style w:type="paragraph" w:styleId="3">
    <w:name w:val="heading 2"/>
    <w:basedOn w:val="1"/>
    <w:next w:val="1"/>
    <w:link w:val="22"/>
    <w:semiHidden/>
    <w:unhideWhenUsed/>
    <w:qFormat/>
    <w:uiPriority w:val="0"/>
    <w:pPr>
      <w:keepNext/>
      <w:keepLines/>
      <w:spacing w:line="360" w:lineRule="auto"/>
      <w:outlineLvl w:val="1"/>
    </w:pPr>
    <w:rPr>
      <w:rFonts w:ascii="Arial" w:hAnsi="Arial" w:cs="Times New Roman"/>
      <w:b/>
      <w:sz w:val="28"/>
      <w:szCs w:val="22"/>
    </w:rPr>
  </w:style>
  <w:style w:type="paragraph" w:styleId="4">
    <w:name w:val="heading 3"/>
    <w:basedOn w:val="1"/>
    <w:next w:val="1"/>
    <w:qFormat/>
    <w:uiPriority w:val="0"/>
    <w:pPr>
      <w:keepNext/>
      <w:jc w:val="center"/>
      <w:outlineLvl w:val="2"/>
    </w:pPr>
    <w:rPr>
      <w:sz w:val="30"/>
    </w:rPr>
  </w:style>
  <w:style w:type="paragraph" w:styleId="5">
    <w:name w:val="heading 4"/>
    <w:basedOn w:val="1"/>
    <w:next w:val="1"/>
    <w:semiHidden/>
    <w:unhideWhenUsed/>
    <w:qFormat/>
    <w:uiPriority w:val="0"/>
    <w:pPr>
      <w:keepNext/>
      <w:keepLines/>
      <w:spacing w:line="372" w:lineRule="auto"/>
      <w:outlineLvl w:val="3"/>
    </w:pPr>
    <w:rPr>
      <w:rFonts w:ascii="Arial" w:hAnsi="Arial" w:eastAsia="黑体"/>
      <w:b/>
      <w:sz w:val="28"/>
    </w:rPr>
  </w:style>
  <w:style w:type="character" w:default="1" w:styleId="18">
    <w:name w:val="Default Paragraph Font"/>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topLinePunct/>
      <w:adjustRightInd w:val="0"/>
      <w:snapToGrid w:val="0"/>
      <w:ind w:firstLine="420" w:firstLineChars="200"/>
    </w:pPr>
    <w:rPr>
      <w:rFonts w:eastAsia="宋体"/>
      <w:szCs w:val="20"/>
    </w:rPr>
  </w:style>
  <w:style w:type="paragraph" w:styleId="7">
    <w:name w:val="Body Text Indent"/>
    <w:basedOn w:val="1"/>
    <w:qFormat/>
    <w:uiPriority w:val="0"/>
    <w:pPr>
      <w:spacing w:line="320" w:lineRule="exact"/>
      <w:ind w:firstLine="425"/>
    </w:pPr>
    <w:rPr>
      <w:color w:val="000000"/>
      <w:sz w:val="24"/>
    </w:rPr>
  </w:style>
  <w:style w:type="paragraph" w:styleId="8">
    <w:name w:val="Block Text"/>
    <w:basedOn w:val="1"/>
    <w:qFormat/>
    <w:uiPriority w:val="0"/>
    <w:pPr>
      <w:adjustRightInd w:val="0"/>
      <w:spacing w:line="500" w:lineRule="exact"/>
      <w:ind w:left="57" w:right="113" w:firstLine="200" w:firstLineChars="200"/>
      <w:textAlignment w:val="baseline"/>
    </w:pPr>
    <w:rPr>
      <w:rFonts w:ascii="宋体" w:hAnsi="Times New Roman" w:eastAsia="宋体" w:cs="Times New Roman"/>
      <w:kern w:val="0"/>
      <w:sz w:val="28"/>
      <w:szCs w:val="20"/>
    </w:rPr>
  </w:style>
  <w:style w:type="paragraph" w:styleId="9">
    <w:name w:val="Plain Text"/>
    <w:basedOn w:val="1"/>
    <w:link w:val="32"/>
    <w:qFormat/>
    <w:uiPriority w:val="0"/>
    <w:rPr>
      <w:rFonts w:ascii="宋体" w:hAnsi="Courier New"/>
      <w:kern w:val="0"/>
      <w:sz w:val="24"/>
      <w:szCs w:val="20"/>
    </w:rPr>
  </w:style>
  <w:style w:type="paragraph" w:styleId="10">
    <w:name w:val="Balloon Text"/>
    <w:basedOn w:val="1"/>
    <w:link w:val="3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Body Text Indent 3"/>
    <w:basedOn w:val="1"/>
    <w:qFormat/>
    <w:uiPriority w:val="0"/>
    <w:pPr>
      <w:snapToGrid w:val="0"/>
      <w:spacing w:line="360" w:lineRule="auto"/>
      <w:ind w:firstLine="425"/>
    </w:pPr>
    <w:rPr>
      <w:sz w:val="24"/>
    </w:rPr>
  </w:style>
  <w:style w:type="paragraph" w:styleId="1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none"/>
    </w:rPr>
  </w:style>
  <w:style w:type="paragraph" w:customStyle="1" w:styleId="20">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21">
    <w:name w:val="4正文"/>
    <w:basedOn w:val="1"/>
    <w:qFormat/>
    <w:uiPriority w:val="0"/>
    <w:pPr>
      <w:spacing w:line="360" w:lineRule="auto"/>
      <w:ind w:firstLine="480" w:firstLineChars="200"/>
    </w:pPr>
    <w:rPr>
      <w:rFonts w:cs="宋体"/>
      <w:szCs w:val="20"/>
    </w:rPr>
  </w:style>
  <w:style w:type="character" w:customStyle="1" w:styleId="22">
    <w:name w:val="标题 2 字符"/>
    <w:link w:val="3"/>
    <w:qFormat/>
    <w:uiPriority w:val="0"/>
    <w:rPr>
      <w:rFonts w:ascii="Arial" w:hAnsi="Arial" w:cs="Times New Roman"/>
      <w:b/>
      <w:sz w:val="28"/>
      <w:szCs w:val="22"/>
    </w:rPr>
  </w:style>
  <w:style w:type="paragraph" w:customStyle="1" w:styleId="23">
    <w:name w:val="p0"/>
    <w:basedOn w:val="1"/>
    <w:qFormat/>
    <w:uiPriority w:val="0"/>
    <w:pPr>
      <w:widowControl/>
    </w:pPr>
    <w:rPr>
      <w:kern w:val="0"/>
      <w:szCs w:val="21"/>
    </w:rPr>
  </w:style>
  <w:style w:type="paragraph" w:customStyle="1" w:styleId="24">
    <w:name w:val="_Style 1"/>
    <w:basedOn w:val="1"/>
    <w:qFormat/>
    <w:uiPriority w:val="1"/>
    <w:rPr>
      <w:szCs w:val="32"/>
    </w:rPr>
  </w:style>
  <w:style w:type="paragraph" w:customStyle="1" w:styleId="25">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26">
    <w:name w:val="表标题"/>
    <w:basedOn w:val="1"/>
    <w:qFormat/>
    <w:uiPriority w:val="0"/>
    <w:pPr>
      <w:jc w:val="center"/>
    </w:pPr>
    <w:rPr>
      <w:rFonts w:ascii="黑体" w:eastAsia="黑体"/>
      <w:sz w:val="24"/>
    </w:rPr>
  </w:style>
  <w:style w:type="paragraph" w:customStyle="1" w:styleId="27">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28">
    <w:name w:val="公文正文"/>
    <w:basedOn w:val="1"/>
    <w:qFormat/>
    <w:uiPriority w:val="0"/>
    <w:pPr>
      <w:ind w:firstLine="200" w:firstLineChars="200"/>
    </w:pPr>
    <w:rPr>
      <w:rFonts w:eastAsia="方正仿宋简体"/>
      <w:sz w:val="30"/>
    </w:rPr>
  </w:style>
  <w:style w:type="paragraph" w:customStyle="1" w:styleId="29">
    <w:name w:val="Table Paragraph"/>
    <w:basedOn w:val="1"/>
    <w:qFormat/>
    <w:uiPriority w:val="1"/>
    <w:pPr>
      <w:jc w:val="center"/>
    </w:pPr>
    <w:rPr>
      <w:rFonts w:ascii="Times New Roman" w:hAnsi="Times New Roman" w:eastAsia="Times New Roman" w:cs="Times New Roman"/>
      <w:lang w:eastAsia="en-US" w:bidi="en-US"/>
    </w:rPr>
  </w:style>
  <w:style w:type="paragraph" w:customStyle="1" w:styleId="30">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31">
    <w:name w:val="批注框文本 字符"/>
    <w:basedOn w:val="18"/>
    <w:link w:val="10"/>
    <w:qFormat/>
    <w:uiPriority w:val="0"/>
    <w:rPr>
      <w:kern w:val="2"/>
      <w:sz w:val="18"/>
      <w:szCs w:val="18"/>
    </w:rPr>
  </w:style>
  <w:style w:type="character" w:customStyle="1" w:styleId="32">
    <w:name w:val="纯文本 字符"/>
    <w:basedOn w:val="18"/>
    <w:link w:val="9"/>
    <w:qFormat/>
    <w:uiPriority w:val="0"/>
    <w:rPr>
      <w:rFonts w:ascii="宋体" w:hAnsi="Courier New"/>
      <w:sz w:val="24"/>
    </w:rPr>
  </w:style>
  <w:style w:type="paragraph" w:customStyle="1" w:styleId="33">
    <w:name w:val="Char Char Char Char Char Char Char Char Char Char"/>
    <w:basedOn w:val="1"/>
    <w:qFormat/>
    <w:uiPriority w:val="0"/>
    <w:pPr>
      <w:widowControl/>
      <w:jc w:val="left"/>
    </w:pPr>
    <w:rPr>
      <w:rFonts w:ascii="Times New Roman" w:hAnsi="Times New Roman" w:eastAsia="宋体" w:cs="Times New Roman"/>
      <w:kern w:val="0"/>
      <w:sz w:val="24"/>
    </w:rPr>
  </w:style>
  <w:style w:type="paragraph" w:customStyle="1" w:styleId="34">
    <w:name w:val="Char Char Char Char Char Char Char Char Char Char1"/>
    <w:basedOn w:val="1"/>
    <w:qFormat/>
    <w:uiPriority w:val="0"/>
    <w:pPr>
      <w:widowControl/>
      <w:jc w:val="left"/>
    </w:pPr>
    <w:rPr>
      <w:rFonts w:ascii="Times New Roman" w:hAnsi="Times New Roman" w:eastAsia="宋体" w:cs="Times New Roman"/>
      <w:kern w:val="0"/>
      <w:sz w:val="24"/>
    </w:rPr>
  </w:style>
  <w:style w:type="paragraph" w:styleId="35">
    <w:name w:val="No Spacing"/>
    <w:qFormat/>
    <w:uiPriority w:val="1"/>
    <w:rPr>
      <w:rFonts w:asciiTheme="minorHAnsi" w:hAnsiTheme="minorHAnsi" w:eastAsiaTheme="minorEastAsia" w:cstheme="minorBidi"/>
      <w:sz w:val="22"/>
      <w:szCs w:val="22"/>
      <w:lang w:val="en-US" w:eastAsia="zh-CN" w:bidi="ar-SA"/>
    </w:rPr>
  </w:style>
  <w:style w:type="paragraph" w:customStyle="1" w:styleId="36">
    <w:name w:val="BG"/>
    <w:basedOn w:val="1"/>
    <w:link w:val="37"/>
    <w:qFormat/>
    <w:uiPriority w:val="0"/>
    <w:pPr>
      <w:adjustRightInd w:val="0"/>
      <w:snapToGrid w:val="0"/>
      <w:jc w:val="center"/>
    </w:pPr>
    <w:rPr>
      <w:rFonts w:ascii="宋体" w:hAnsi="宋体"/>
      <w:bCs/>
      <w:szCs w:val="21"/>
    </w:rPr>
  </w:style>
  <w:style w:type="character" w:customStyle="1" w:styleId="37">
    <w:name w:val="BG Char"/>
    <w:basedOn w:val="18"/>
    <w:link w:val="36"/>
    <w:qFormat/>
    <w:uiPriority w:val="0"/>
    <w:rPr>
      <w:rFonts w:ascii="宋体" w:hAnsi="宋体"/>
      <w:bCs/>
      <w:sz w:val="21"/>
      <w:szCs w:val="21"/>
    </w:rPr>
  </w:style>
  <w:style w:type="paragraph" w:styleId="38">
    <w:name w:val="List Paragraph"/>
    <w:basedOn w:val="1"/>
    <w:qFormat/>
    <w:uiPriority w:val="99"/>
    <w:pPr>
      <w:ind w:firstLine="420" w:firstLineChars="200"/>
    </w:pPr>
  </w:style>
  <w:style w:type="paragraph" w:customStyle="1" w:styleId="39">
    <w:name w:val="Char Char Char Char Char Char Char Char Char Char2"/>
    <w:basedOn w:val="1"/>
    <w:qFormat/>
    <w:uiPriority w:val="0"/>
    <w:rPr>
      <w:rFonts w:ascii="Times New Roman" w:hAnsi="Times New Roman" w:eastAsia="宋体" w:cs="Times New Roman"/>
      <w:szCs w:val="20"/>
    </w:rPr>
  </w:style>
  <w:style w:type="paragraph" w:customStyle="1" w:styleId="40">
    <w:name w:val="Char Char Char Char Char Char Char Char Char Char3"/>
    <w:basedOn w:val="1"/>
    <w:qFormat/>
    <w:uiPriority w:val="0"/>
    <w:rPr>
      <w:rFonts w:ascii="Times New Roman" w:hAnsi="Times New Roman" w:eastAsia="宋体" w:cs="Times New Roman"/>
      <w:szCs w:val="20"/>
    </w:rPr>
  </w:style>
  <w:style w:type="paragraph" w:customStyle="1" w:styleId="41">
    <w:name w:val="Char Char Char Char Char Char Char Char Char Char4"/>
    <w:basedOn w:val="1"/>
    <w:qFormat/>
    <w:uiPriority w:val="0"/>
    <w:rPr>
      <w:rFonts w:ascii="Times New Roman" w:hAnsi="Times New Roman" w:eastAsia="宋体" w:cs="Times New Roman"/>
      <w:szCs w:val="20"/>
    </w:rPr>
  </w:style>
  <w:style w:type="paragraph" w:customStyle="1" w:styleId="42">
    <w:name w:val="标题9"/>
    <w:next w:val="1"/>
    <w:qFormat/>
    <w:uiPriority w:val="0"/>
    <w:pPr>
      <w:adjustRightInd w:val="0"/>
      <w:snapToGrid w:val="0"/>
      <w:spacing w:line="360" w:lineRule="auto"/>
      <w:jc w:val="center"/>
    </w:pPr>
    <w:rPr>
      <w:rFonts w:ascii="Times New Roman" w:hAnsi="Times New Roman" w:eastAsia="黑体" w:cs="Times New Roman"/>
      <w:sz w:val="21"/>
      <w:lang w:val="en-US" w:eastAsia="zh-CN" w:bidi="ar-SA"/>
    </w:rPr>
  </w:style>
  <w:style w:type="paragraph" w:customStyle="1" w:styleId="43">
    <w:name w:val="Char Char Char Char Char Char Char Char Char Char5"/>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bmp"/><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Info spid="_x0000_s1090"/>
    <customShpInfo spid="_x0000_s1086"/>
    <customShpInfo spid="_x0000_s1087"/>
    <customShpInfo spid="_x0000_s1088"/>
    <customShpInfo spid="_x0000_s1084"/>
    <customShpInfo spid="_x0000_s1080"/>
    <customShpInfo spid="_x0000_s108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9AD3FD-DF38-48B1-9055-079A2C9CFD26}">
  <ds:schemaRefs/>
</ds:datastoreItem>
</file>

<file path=docProps/app.xml><?xml version="1.0" encoding="utf-8"?>
<Properties xmlns="http://schemas.openxmlformats.org/officeDocument/2006/extended-properties" xmlns:vt="http://schemas.openxmlformats.org/officeDocument/2006/docPropsVTypes">
  <Template>0</Template>
  <Company>ICOS</Company>
  <Pages>46</Pages>
  <Words>3480</Words>
  <Characters>19836</Characters>
  <Lines>165</Lines>
  <Paragraphs>46</Paragraphs>
  <TotalTime>24</TotalTime>
  <ScaleCrop>false</ScaleCrop>
  <LinksUpToDate>false</LinksUpToDate>
  <CharactersWithSpaces>23270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2018-08-02T01:00:00Z</dcterms:created>
  <dc:creator>兵二哥</dc:creator>
  <cp:lastModifiedBy>Administrator</cp:lastModifiedBy>
  <cp:lastPrinted>2019-09-16T03:13:00Z</cp:lastPrinted>
  <dcterms:modified xsi:type="dcterms:W3CDTF">2020-08-05T04:01:14Z</dcterms:modified>
  <cp:revision>6111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