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5"/>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blPrEx>
          <w:tblCellMar>
            <w:top w:w="0" w:type="dxa"/>
            <w:left w:w="144" w:type="dxa"/>
            <w:bottom w:w="0" w:type="dxa"/>
            <w:right w:w="115" w:type="dxa"/>
          </w:tblCellMar>
        </w:tblPrEx>
        <w:trPr>
          <w:jc w:val="center"/>
        </w:trPr>
        <w:tc>
          <w:tcPr>
            <w:tcW w:w="8504" w:type="dxa"/>
            <w:tcBorders>
              <w:tl2br w:val="nil"/>
              <w:tr2bl w:val="nil"/>
            </w:tcBorders>
            <w:tcMar>
              <w:top w:w="216" w:type="dxa"/>
              <w:left w:w="115" w:type="dxa"/>
              <w:bottom w:w="216" w:type="dxa"/>
              <w:right w:w="115" w:type="dxa"/>
            </w:tcMar>
            <w:vAlign w:val="center"/>
          </w:tcPr>
          <w:p>
            <w:pPr>
              <w:pStyle w:val="34"/>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中海油贵州销售有限公司三都三荔高速三洞西加油站建设项目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4"/>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5"/>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编制单位：</w:t>
            </w:r>
          </w:p>
        </w:tc>
        <w:tc>
          <w:tcPr>
            <w:tcW w:w="6851" w:type="dxa"/>
            <w:tcBorders>
              <w:top w:val="nil"/>
              <w:left w:val="nil"/>
              <w:bottom w:val="single" w:color="auto" w:sz="12" w:space="0"/>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中海油贵州销售有限公司三都三荔高速三洞西加油站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编制时间：</w:t>
            </w:r>
          </w:p>
        </w:tc>
        <w:tc>
          <w:tcPr>
            <w:tcW w:w="6851" w:type="dxa"/>
            <w:tcBorders>
              <w:top w:val="single" w:color="auto" w:sz="12" w:space="0"/>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2"/>
                <w:szCs w:val="32"/>
              </w:rPr>
              <w:t>二〇二〇年六月</w:t>
            </w:r>
          </w:p>
        </w:tc>
      </w:tr>
    </w:tbl>
    <w:p>
      <w:pPr>
        <w:pStyle w:val="8"/>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44"/>
          <w:szCs w:val="44"/>
        </w:rPr>
      </w:pPr>
      <w:bookmarkStart w:id="0" w:name="_Toc7910"/>
      <w:r>
        <w:rPr>
          <w:rFonts w:ascii="Times New Roman" w:hAnsi="Times New Roman" w:eastAsia="宋体" w:cs="Times New Roman"/>
          <w:b/>
          <w:bCs/>
          <w:sz w:val="44"/>
          <w:szCs w:val="44"/>
        </w:rPr>
        <w:t>目 录</w:t>
      </w:r>
    </w:p>
    <w:p>
      <w:pPr>
        <w:spacing w:line="360" w:lineRule="auto"/>
        <w:jc w:val="left"/>
        <w:rPr>
          <w:rFonts w:ascii="Times New Roman" w:hAnsi="Times New Roman" w:eastAsia="宋体" w:cs="Times New Roman"/>
          <w:b/>
          <w:bCs/>
          <w:sz w:val="28"/>
          <w:szCs w:val="28"/>
        </w:rPr>
      </w:pPr>
    </w:p>
    <w:p>
      <w:pPr>
        <w:pStyle w:val="12"/>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6"/>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1534"/>
        <w:gridCol w:w="1121"/>
        <w:gridCol w:w="934"/>
        <w:gridCol w:w="1288"/>
        <w:gridCol w:w="1337"/>
        <w:gridCol w:w="778"/>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中海油贵州销售有限公司三都三荔高速三洞西加油站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296"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7"/>
            <w:vAlign w:val="center"/>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贵州省黔南州三都水族自治县三荔高速三洞服务区西侧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19</w:t>
            </w:r>
            <w:r>
              <w:rPr>
                <w:rFonts w:ascii="Times New Roman" w:hAnsi="Times New Roman" w:cs="Times New Roman"/>
                <w:sz w:val="24"/>
              </w:rPr>
              <w:t>年</w:t>
            </w:r>
            <w:r>
              <w:rPr>
                <w:rFonts w:hint="eastAsia" w:ascii="Times New Roman" w:hAnsi="Times New Roman" w:cs="Times New Roman"/>
                <w:sz w:val="24"/>
              </w:rPr>
              <w:t>04</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3"/>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08</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11</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w:t>
            </w:r>
            <w:r>
              <w:rPr>
                <w:rFonts w:hint="eastAsia" w:ascii="Times New Roman" w:hAnsi="Times New Roman" w:cs="Times New Roman"/>
                <w:sz w:val="24"/>
              </w:rPr>
              <w:t>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黔南州生态环境局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3"/>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贵州怡宁环保咨询有限公司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4450万元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51</w:t>
            </w:r>
            <w:r>
              <w:rPr>
                <w:rFonts w:ascii="Times New Roman" w:hAnsi="Times New Roman" w:cs="Times New Roman"/>
                <w:sz w:val="24"/>
              </w:rPr>
              <w:t>.3</w:t>
            </w:r>
            <w:r>
              <w:rPr>
                <w:rFonts w:hint="eastAsia" w:ascii="Times New Roman" w:hAnsi="Times New Roman" w:cs="Times New Roman"/>
                <w:sz w:val="24"/>
              </w:rPr>
              <w:t>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1</w:t>
            </w:r>
            <w:r>
              <w:rPr>
                <w:rFonts w:ascii="Times New Roman" w:hAnsi="Times New Roman" w:cs="Times New Roman"/>
                <w:sz w:val="24"/>
              </w:rPr>
              <w:t>.</w:t>
            </w:r>
            <w:r>
              <w:rPr>
                <w:rFonts w:hint="eastAsia" w:ascii="Times New Roman" w:hAnsi="Times New Roman" w:cs="Times New Roman"/>
                <w:sz w:val="24"/>
              </w:rPr>
              <w:t>15</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4450万元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51</w:t>
            </w:r>
            <w:r>
              <w:rPr>
                <w:rFonts w:ascii="Times New Roman" w:hAnsi="Times New Roman" w:cs="Times New Roman"/>
                <w:sz w:val="24"/>
              </w:rPr>
              <w:t>.3万元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1</w:t>
            </w:r>
            <w:r>
              <w:rPr>
                <w:rFonts w:hint="eastAsia" w:ascii="Times New Roman" w:hAnsi="Times New Roman" w:cs="Times New Roman"/>
                <w:sz w:val="24"/>
              </w:rPr>
              <w:t>.15</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1"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7"/>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Times New Roman" w:hAnsi="Times New Roman" w:eastAsia="宋体" w:cs="Times New Roman"/>
                <w:sz w:val="24"/>
              </w:rPr>
              <w:t>中海油贵州销售有限公司三都三荔高速三洞西加油站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w:t>
            </w:r>
            <w:r>
              <w:rPr>
                <w:rFonts w:ascii="Times New Roman" w:hAnsi="Times New Roman" w:cs="Times New Roman"/>
                <w:sz w:val="24"/>
              </w:rPr>
              <w:t>9年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6</w:t>
            </w:r>
            <w:r>
              <w:rPr>
                <w:rFonts w:ascii="Times New Roman" w:hAnsi="Times New Roman" w:cs="Times New Roman"/>
                <w:sz w:val="24"/>
              </w:rPr>
              <w:t>日</w:t>
            </w:r>
            <w:r>
              <w:rPr>
                <w:rFonts w:hint="eastAsia" w:ascii="Times New Roman" w:hAnsi="Times New Roman" w:cs="Times New Roman"/>
                <w:sz w:val="24"/>
              </w:rPr>
              <w:t>黔南州生态环境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Times New Roman" w:hAnsi="Times New Roman" w:eastAsia="宋体" w:cs="Times New Roman"/>
                <w:sz w:val="24"/>
              </w:rPr>
              <w:t>中海油贵州销售有限公司三都三荔高速三洞西加油站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批复，批复文号：黔南环审[2019]42号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7"/>
            <w:vAlign w:val="center"/>
          </w:tcPr>
          <w:p>
            <w:pPr>
              <w:spacing w:line="360" w:lineRule="auto"/>
              <w:ind w:firstLine="482" w:firstLineChars="200"/>
              <w:jc w:val="left"/>
              <w:rPr>
                <w:rFonts w:ascii="Times New Roman" w:hAnsi="Times New Roman" w:cs="Times New Roman"/>
                <w:b/>
                <w:bCs/>
                <w:sz w:val="24"/>
              </w:rPr>
            </w:pPr>
            <w:r>
              <w:rPr>
                <w:rFonts w:ascii="Times New Roman" w:hAnsi="Times New Roman" w:cs="Times New Roman"/>
                <w:b/>
                <w:bCs/>
                <w:sz w:val="24"/>
              </w:rPr>
              <w:t>根据《</w:t>
            </w:r>
            <w:r>
              <w:rPr>
                <w:rFonts w:hint="eastAsia" w:ascii="Times New Roman" w:hAnsi="Times New Roman" w:eastAsia="宋体" w:cs="Times New Roman"/>
                <w:sz w:val="24"/>
              </w:rPr>
              <w:t>中海油贵州销售有限公司三都三荔高速三洞西加油站</w:t>
            </w:r>
            <w:r>
              <w:rPr>
                <w:rFonts w:ascii="Times New Roman" w:hAnsi="Times New Roman" w:cs="Times New Roman"/>
                <w:spacing w:val="-4"/>
                <w:kern w:val="0"/>
                <w:sz w:val="24"/>
              </w:rPr>
              <w:t>环境影响报告表</w:t>
            </w:r>
            <w:r>
              <w:rPr>
                <w:rFonts w:ascii="Times New Roman" w:hAnsi="Times New Roman" w:cs="Times New Roman"/>
                <w:b/>
                <w:bCs/>
                <w:sz w:val="24"/>
              </w:rPr>
              <w:t>》，</w:t>
            </w:r>
            <w:r>
              <w:rPr>
                <w:rFonts w:hint="eastAsia" w:ascii="Times New Roman" w:hAnsi="Times New Roman" w:eastAsia="宋体" w:cs="Times New Roman"/>
                <w:sz w:val="24"/>
              </w:rPr>
              <w:t>中海油贵州销售有限公司三都三荔高速三洞西</w:t>
            </w:r>
            <w:r>
              <w:rPr>
                <w:rFonts w:hint="eastAsia" w:ascii="Times New Roman" w:hAnsi="Times New Roman" w:cs="Times New Roman"/>
                <w:b/>
                <w:bCs/>
                <w:kern w:val="0"/>
                <w:sz w:val="24"/>
              </w:rPr>
              <w:t>加油站建设项目</w:t>
            </w:r>
            <w:r>
              <w:rPr>
                <w:rFonts w:ascii="Times New Roman" w:hAnsi="Times New Roman" w:cs="Times New Roman"/>
                <w:b/>
                <w:bCs/>
                <w:sz w:val="24"/>
              </w:rPr>
              <w:t>环境保护验收执行标准如下：</w:t>
            </w:r>
          </w:p>
          <w:p>
            <w:pPr>
              <w:pStyle w:val="19"/>
              <w:ind w:firstLine="480"/>
              <w:jc w:val="both"/>
            </w:pPr>
            <w:r>
              <w:rPr>
                <w:rFonts w:hint="eastAsia"/>
              </w:rPr>
              <w:t>废水：</w:t>
            </w:r>
            <w:r>
              <w:rPr>
                <w:rFonts w:ascii="Times New Roman" w:hAnsi="Times New Roman"/>
              </w:rPr>
              <w:t>《</w:t>
            </w:r>
            <w:r>
              <w:rPr>
                <w:rFonts w:hint="eastAsia" w:ascii="Times New Roman" w:hAnsi="Times New Roman"/>
              </w:rPr>
              <w:t>污水综合</w:t>
            </w:r>
            <w:r>
              <w:rPr>
                <w:rFonts w:ascii="Times New Roman" w:hAnsi="Times New Roman"/>
              </w:rPr>
              <w:t>排放标准》</w:t>
            </w:r>
            <w:r>
              <w:rPr>
                <w:rFonts w:hint="eastAsia" w:ascii="Times New Roman" w:hAnsi="Times New Roman"/>
              </w:rPr>
              <w:t>（</w:t>
            </w:r>
            <w:r>
              <w:rPr>
                <w:rFonts w:ascii="Times New Roman" w:hAnsi="Times New Roman"/>
              </w:rPr>
              <w:t>GB8978-1996</w:t>
            </w:r>
            <w:r>
              <w:rPr>
                <w:rFonts w:hint="eastAsia" w:ascii="Times New Roman" w:hAnsi="Times New Roman"/>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废气：《大气污染物综合排放标准》（GB16297-1996）无组织排放监控浓度限值；</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w:t>
            </w:r>
            <w:r>
              <w:rPr>
                <w:rFonts w:hint="eastAsia" w:ascii="Times New Roman" w:hAnsi="Times New Roman" w:cs="Times New Roman"/>
                <w:sz w:val="24"/>
              </w:rPr>
              <w:t>及4a类</w:t>
            </w:r>
            <w:r>
              <w:rPr>
                <w:rFonts w:ascii="Times New Roman" w:hAnsi="Times New Roman" w:cs="Times New Roman"/>
                <w:sz w:val="24"/>
              </w:rPr>
              <w:t>标准；</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8" w:type="dxa"/>
          <w:trHeight w:val="13557" w:hRule="atLeast"/>
          <w:jc w:val="center"/>
        </w:trPr>
        <w:tc>
          <w:tcPr>
            <w:tcW w:w="9288" w:type="dxa"/>
            <w:gridSpan w:val="7"/>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15299"/>
            <w:bookmarkStart w:id="5" w:name="_Toc26698"/>
            <w:bookmarkStart w:id="6" w:name="_Toc22276"/>
            <w:bookmarkStart w:id="7" w:name="_Toc9958"/>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sz w:val="24"/>
              </w:rPr>
              <w:t>在</w:t>
            </w:r>
            <w:r>
              <w:rPr>
                <w:rFonts w:hint="eastAsia"/>
                <w:sz w:val="24"/>
              </w:rPr>
              <w:t>三都三荔</w:t>
            </w:r>
            <w:r>
              <w:rPr>
                <w:sz w:val="24"/>
              </w:rPr>
              <w:t>高速公路</w:t>
            </w:r>
            <w:r>
              <w:rPr>
                <w:rFonts w:hint="eastAsia"/>
                <w:sz w:val="24"/>
              </w:rPr>
              <w:t>三洞服务区西区</w:t>
            </w:r>
            <w:r>
              <w:rPr>
                <w:sz w:val="24"/>
              </w:rPr>
              <w:t>规范经营加油站，可保障三荔高速沿线的车辆用油需求，为周边地区区域交通提供便利，有利于地方社会经济的发展</w:t>
            </w:r>
            <w:r>
              <w:rPr>
                <w:rFonts w:hint="eastAsia"/>
                <w:sz w:val="24"/>
              </w:rPr>
              <w:t>,</w:t>
            </w:r>
            <w:r>
              <w:rPr>
                <w:sz w:val="24"/>
              </w:rPr>
              <w:t>有利于地方建设的安全和稳定；</w:t>
            </w:r>
            <w:r>
              <w:rPr>
                <w:rFonts w:hint="eastAsia" w:ascii="Times New Roman" w:hAnsi="Times New Roman" w:cs="Times New Roman"/>
                <w:sz w:val="24"/>
              </w:rPr>
              <w:t>该项目由中海油贵州销售有限公司投资建设。</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#汽油罐1 个、95 #汽油罐1个)，30m</w:t>
            </w:r>
            <w:r>
              <w:rPr>
                <w:sz w:val="24"/>
                <w:vertAlign w:val="superscript"/>
              </w:rPr>
              <w:t>3</w:t>
            </w:r>
            <w:r>
              <w:rPr>
                <w:sz w:val="24"/>
              </w:rPr>
              <w:t xml:space="preserve"> 汽油储罐 1个（92 #汽油罐）。加油机 4 台(16枪)。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版，属二级加油站。</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中海油贵州销售有限公司三都三荔高速三洞西加油站</w:t>
            </w:r>
            <w:r>
              <w:rPr>
                <w:rFonts w:ascii="Times New Roman" w:hAnsi="Times New Roman" w:cs="Times New Roman"/>
                <w:spacing w:val="-4"/>
                <w:kern w:val="0"/>
                <w:sz w:val="24"/>
              </w:rPr>
              <w:t>环境影响报告表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6</w:t>
            </w:r>
            <w:r>
              <w:rPr>
                <w:rFonts w:ascii="Times New Roman" w:hAnsi="Times New Roman" w:cs="Times New Roman"/>
                <w:sz w:val="24"/>
              </w:rPr>
              <w:t>日取得</w:t>
            </w:r>
            <w:r>
              <w:rPr>
                <w:rFonts w:hint="eastAsia" w:ascii="Times New Roman" w:hAnsi="Times New Roman" w:cs="Times New Roman"/>
                <w:sz w:val="24"/>
              </w:rPr>
              <w:t>黔南州生态环境</w:t>
            </w:r>
            <w:r>
              <w:rPr>
                <w:rFonts w:ascii="Times New Roman" w:hAnsi="Times New Roman" w:cs="Times New Roman"/>
                <w:sz w:val="24"/>
              </w:rPr>
              <w:t>局对《</w:t>
            </w:r>
            <w:r>
              <w:rPr>
                <w:rFonts w:hint="eastAsia" w:ascii="Times New Roman" w:hAnsi="Times New Roman" w:eastAsia="宋体" w:cs="Times New Roman"/>
                <w:sz w:val="24"/>
              </w:rPr>
              <w:t>中海油贵州销售有限公司三都三荔高速三洞西加油站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黔南环审[2019]42号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海油贵州销售有限公司三都三荔高速三洞西加油站委托第三方检测公司（贵州明德工程咨询有限公司）</w:t>
            </w:r>
            <w:r>
              <w:rPr>
                <w:rFonts w:ascii="Times New Roman" w:hAnsi="Times New Roman" w:cs="Times New Roman"/>
                <w:sz w:val="24"/>
              </w:rPr>
              <w:t>对</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海油贵州销售有限公司三都三荔高速三洞西加油站建设项目</w:t>
            </w:r>
            <w:r>
              <w:rPr>
                <w:rFonts w:ascii="Times New Roman" w:hAnsi="Times New Roman" w:cs="Times New Roman"/>
                <w:sz w:val="24"/>
              </w:rPr>
              <w:t>进行竣工环境保护验收监测</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海油贵州销售有限公司三都三荔高速三洞西加油站</w:t>
            </w:r>
            <w:r>
              <w:rPr>
                <w:rFonts w:hint="eastAsia" w:ascii="Times New Roman" w:hAnsi="Times New Roman" w:cs="Times New Roman"/>
                <w:sz w:val="24"/>
              </w:rPr>
              <w:t>根据第三方检测机构提供的验收监测数据，并结合中</w:t>
            </w:r>
            <w:r>
              <w:rPr>
                <w:rFonts w:hint="eastAsia" w:ascii="Times New Roman" w:hAnsi="Times New Roman" w:eastAsia="宋体" w:cs="Times New Roman"/>
                <w:sz w:val="24"/>
              </w:rPr>
              <w:t>海油贵州销售有限公司三都三荔高速三洞西</w:t>
            </w:r>
            <w:r>
              <w:rPr>
                <w:rFonts w:hint="eastAsia" w:ascii="Times New Roman" w:hAnsi="Times New Roman" w:cs="Times New Roman"/>
                <w:sz w:val="24"/>
              </w:rPr>
              <w:t>加油站建设项目相关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海油贵州销售有限公司三都三荔高速三洞西</w:t>
            </w:r>
            <w:r>
              <w:rPr>
                <w:rFonts w:hint="eastAsia" w:ascii="Times New Roman" w:hAnsi="Times New Roman" w:cs="Times New Roman"/>
                <w:sz w:val="24"/>
              </w:rPr>
              <w:t>加油站建设项目</w:t>
            </w:r>
            <w:r>
              <w:rPr>
                <w:rFonts w:ascii="Times New Roman" w:hAnsi="Times New Roman" w:cs="Times New Roman"/>
                <w:sz w:val="24"/>
              </w:rPr>
              <w:t>的主体工程、辅助及公用工程、环保工程</w:t>
            </w:r>
            <w:r>
              <w:rPr>
                <w:rFonts w:hint="eastAsia" w:ascii="Times New Roman" w:hAnsi="Times New Roman" w:cs="Times New Roman"/>
                <w:sz w:val="24"/>
              </w:rPr>
              <w:t>、景观工程</w:t>
            </w:r>
            <w:r>
              <w:rPr>
                <w:rFonts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
                <w:sz w:val="28"/>
                <w:szCs w:val="28"/>
              </w:rPr>
            </w:pP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项目位于</w:t>
            </w:r>
            <w:r>
              <w:rPr>
                <w:rFonts w:hint="eastAsia"/>
                <w:sz w:val="24"/>
              </w:rPr>
              <w:t>三都水族自治</w:t>
            </w:r>
            <w:r>
              <w:rPr>
                <w:sz w:val="24"/>
              </w:rPr>
              <w:t>县三荔高速</w:t>
            </w:r>
            <w:r>
              <w:rPr>
                <w:rFonts w:hint="eastAsia"/>
                <w:sz w:val="24"/>
              </w:rPr>
              <w:t>三洞</w:t>
            </w:r>
            <w:r>
              <w:rPr>
                <w:sz w:val="24"/>
              </w:rPr>
              <w:t>服务区</w:t>
            </w:r>
            <w:r>
              <w:rPr>
                <w:rFonts w:hint="eastAsia"/>
                <w:sz w:val="24"/>
              </w:rPr>
              <w:t>西</w:t>
            </w:r>
            <w:r>
              <w:rPr>
                <w:sz w:val="24"/>
              </w:rPr>
              <w:t>区内</w:t>
            </w:r>
            <w:r>
              <w:rPr>
                <w:rFonts w:ascii="Times New Roman" w:hAnsi="Times New Roman" w:eastAsia="宋体" w:cs="Times New Roman"/>
                <w:sz w:val="24"/>
              </w:rPr>
              <w:t>，</w:t>
            </w:r>
            <w:r>
              <w:rPr>
                <w:rFonts w:hint="eastAsia"/>
                <w:sz w:val="24"/>
              </w:rPr>
              <w:t>东</w:t>
            </w:r>
            <w:r>
              <w:rPr>
                <w:sz w:val="24"/>
              </w:rPr>
              <w:t>侧为三荔高速公路</w:t>
            </w:r>
            <w:r>
              <w:rPr>
                <w:rFonts w:hint="eastAsia"/>
                <w:sz w:val="24"/>
              </w:rPr>
              <w:t>；</w:t>
            </w:r>
            <w:r>
              <w:rPr>
                <w:sz w:val="24"/>
              </w:rPr>
              <w:t>三荔高速</w:t>
            </w:r>
            <w:r>
              <w:rPr>
                <w:rFonts w:hint="eastAsia"/>
                <w:sz w:val="24"/>
              </w:rPr>
              <w:t>东</w:t>
            </w:r>
            <w:r>
              <w:rPr>
                <w:sz w:val="24"/>
              </w:rPr>
              <w:t>侧为中海油贵州销售有限公司三都三荔高速三洞</w:t>
            </w:r>
            <w:r>
              <w:rPr>
                <w:rFonts w:hint="eastAsia"/>
                <w:sz w:val="24"/>
              </w:rPr>
              <w:t>东</w:t>
            </w:r>
            <w:r>
              <w:rPr>
                <w:sz w:val="24"/>
              </w:rPr>
              <w:t>加油站，和本加油站的距离为 90m；北侧 51m有居民住房、东</w:t>
            </w:r>
            <w:r>
              <w:rPr>
                <w:rFonts w:hint="eastAsia"/>
                <w:sz w:val="24"/>
              </w:rPr>
              <w:t>北</w:t>
            </w:r>
            <w:r>
              <w:rPr>
                <w:sz w:val="24"/>
              </w:rPr>
              <w:t xml:space="preserve">侧 </w:t>
            </w:r>
            <w:r>
              <w:rPr>
                <w:rFonts w:hint="eastAsia"/>
                <w:sz w:val="24"/>
              </w:rPr>
              <w:t>218</w:t>
            </w:r>
            <w:r>
              <w:rPr>
                <w:sz w:val="24"/>
              </w:rPr>
              <w:t>m有居民区、</w:t>
            </w:r>
            <w:r>
              <w:rPr>
                <w:rFonts w:hint="eastAsia"/>
                <w:sz w:val="24"/>
              </w:rPr>
              <w:t>东</w:t>
            </w:r>
            <w:r>
              <w:rPr>
                <w:sz w:val="24"/>
              </w:rPr>
              <w:t>南侧 1</w:t>
            </w:r>
            <w:r>
              <w:rPr>
                <w:rFonts w:hint="eastAsia"/>
                <w:sz w:val="24"/>
              </w:rPr>
              <w:t>5</w:t>
            </w:r>
            <w:r>
              <w:rPr>
                <w:sz w:val="24"/>
              </w:rPr>
              <w:t>0m有居民住房</w:t>
            </w:r>
            <w:r>
              <w:rPr>
                <w:rFonts w:hint="eastAsia"/>
                <w:sz w:val="24"/>
              </w:rPr>
              <w:t>、</w:t>
            </w:r>
            <w:r>
              <w:rPr>
                <w:sz w:val="24"/>
              </w:rPr>
              <w:t>南侧 141m有居民住房</w:t>
            </w:r>
            <w:r>
              <w:t>，</w:t>
            </w:r>
            <w:r>
              <w:rPr>
                <w:rFonts w:hint="eastAsia"/>
              </w:rPr>
              <w:t>北侧、</w:t>
            </w:r>
            <w:r>
              <w:rPr>
                <w:rFonts w:hint="eastAsia"/>
                <w:sz w:val="24"/>
              </w:rPr>
              <w:t>西侧为荒山</w:t>
            </w:r>
            <w:r>
              <w:rPr>
                <w:rFonts w:hint="eastAsia"/>
              </w:rPr>
              <w:t>。</w:t>
            </w:r>
            <w:r>
              <w:rPr>
                <w:rFonts w:hint="eastAsia"/>
                <w:sz w:val="24"/>
              </w:rPr>
              <w:t>地理位置为</w:t>
            </w:r>
            <w:r>
              <w:rPr>
                <w:rFonts w:ascii="Times New Roman" w:hAnsi="Times New Roman" w:eastAsia="宋体" w:cs="Times New Roman"/>
                <w:sz w:val="24"/>
              </w:rPr>
              <w:t>东经107°</w:t>
            </w:r>
            <w:r>
              <w:rPr>
                <w:rFonts w:hint="eastAsia" w:ascii="Times New Roman" w:hAnsi="Times New Roman" w:eastAsia="宋体" w:cs="Times New Roman"/>
                <w:sz w:val="24"/>
              </w:rPr>
              <w:t>53</w:t>
            </w:r>
            <w:r>
              <w:rPr>
                <w:rFonts w:ascii="Times New Roman" w:hAnsi="Times New Roman" w:eastAsia="宋体" w:cs="Times New Roman"/>
                <w:sz w:val="24"/>
              </w:rPr>
              <w:t>′</w:t>
            </w:r>
            <w:r>
              <w:rPr>
                <w:rFonts w:hint="eastAsia" w:ascii="Times New Roman" w:hAnsi="Times New Roman" w:eastAsia="宋体" w:cs="Times New Roman"/>
                <w:sz w:val="24"/>
              </w:rPr>
              <w:t>36.25</w:t>
            </w:r>
            <w:r>
              <w:rPr>
                <w:sz w:val="24"/>
              </w:rPr>
              <w:t>"</w:t>
            </w:r>
            <w:r>
              <w:rPr>
                <w:rFonts w:ascii="Times New Roman" w:hAnsi="Times New Roman" w:eastAsia="宋体" w:cs="Times New Roman"/>
                <w:sz w:val="24"/>
              </w:rPr>
              <w:t>，北纬25°</w:t>
            </w:r>
            <w:r>
              <w:rPr>
                <w:rFonts w:hint="eastAsia" w:ascii="Times New Roman" w:hAnsi="Times New Roman" w:eastAsia="宋体" w:cs="Times New Roman"/>
                <w:sz w:val="24"/>
              </w:rPr>
              <w:t>45</w:t>
            </w:r>
            <w:r>
              <w:rPr>
                <w:rFonts w:ascii="Times New Roman" w:hAnsi="Times New Roman" w:eastAsia="宋体" w:cs="Times New Roman"/>
                <w:sz w:val="24"/>
              </w:rPr>
              <w:t>′</w:t>
            </w:r>
            <w:r>
              <w:rPr>
                <w:rFonts w:hint="eastAsia"/>
                <w:sz w:val="24"/>
              </w:rPr>
              <w:t>38.12</w:t>
            </w:r>
            <w:r>
              <w:rPr>
                <w:sz w:val="24"/>
              </w:rPr>
              <w:t>"</w:t>
            </w:r>
            <w:r>
              <w:rPr>
                <w:rFonts w:hint="eastAsia" w:ascii="Times New Roman" w:hAnsi="Times New Roman" w:eastAsia="宋体" w:cs="Times New Roman"/>
                <w:sz w:val="24"/>
              </w:rPr>
              <w:t>；</w:t>
            </w:r>
            <w:r>
              <w:rPr>
                <w:rFonts w:ascii="Times New Roman" w:hAnsi="Times New Roman" w:eastAsia="宋体" w:cs="Times New Roman"/>
                <w:sz w:val="24"/>
              </w:rPr>
              <w:t>项目所在地详见附图1。</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Times New Roman" w:hAnsi="Times New Roman" w:eastAsia="宋体" w:cs="Times New Roman"/>
                <w:sz w:val="24"/>
              </w:rPr>
              <w:t>中海油贵州销售有限公司三都三荔高速三洞西加油站建设项目</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ascii="Times New Roman" w:hAnsi="Times New Roman" w:eastAsia="宋体" w:cs="Times New Roman"/>
                <w:sz w:val="24"/>
              </w:rPr>
              <w:t>贵州省黔南州三都水族自治县三荔高速三洞服务区西侧（桩点K27</w:t>
            </w:r>
            <w:r>
              <w:rPr>
                <w:rFonts w:ascii="Times New Roman" w:hAnsi="Times New Roman" w:eastAsia="宋体" w:cs="Times New Roman"/>
                <w:sz w:val="24"/>
              </w:rPr>
              <w:t>+</w:t>
            </w:r>
            <w:r>
              <w:rPr>
                <w:rFonts w:hint="eastAsia" w:ascii="Times New Roman" w:hAnsi="Times New Roman" w:eastAsia="宋体" w:cs="Times New Roman"/>
                <w:sz w:val="24"/>
              </w:rPr>
              <w:t>403）</w:t>
            </w:r>
          </w:p>
          <w:p>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建设规模：</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 罐 1 个、95 #汽油罐 1 个)，30m</w:t>
            </w:r>
            <w:r>
              <w:rPr>
                <w:sz w:val="24"/>
                <w:vertAlign w:val="superscript"/>
              </w:rPr>
              <w:t>3</w:t>
            </w:r>
            <w:r>
              <w:rPr>
                <w:sz w:val="24"/>
              </w:rPr>
              <w:t xml:space="preserve"> 汽油储罐 1 个（92 #汽油罐）。加油机 4 台(16 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版，属二级加油站。</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Times New Roman" w:hAnsi="Times New Roman" w:eastAsia="宋体" w:cs="Times New Roman"/>
                <w:sz w:val="24"/>
              </w:rPr>
              <w:t>中海油贵州销售有限公司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4450</w:t>
            </w:r>
            <w:r>
              <w:rPr>
                <w:rFonts w:ascii="Times New Roman" w:hAnsi="Times New Roman" w:cs="Times New Roman"/>
                <w:color w:val="000000"/>
                <w:sz w:val="24"/>
              </w:rPr>
              <w:t>万元</w:t>
            </w:r>
          </w:p>
          <w:p>
            <w:pPr>
              <w:pStyle w:val="37"/>
              <w:numPr>
                <w:ilvl w:val="0"/>
                <w:numId w:val="2"/>
              </w:numPr>
              <w:spacing w:line="360" w:lineRule="auto"/>
              <w:ind w:firstLineChars="0"/>
              <w:rPr>
                <w:rFonts w:cs="Times New Roman" w:asciiTheme="minorEastAsia" w:hAnsiTheme="minorEastAsia"/>
                <w:color w:val="000000"/>
                <w:sz w:val="24"/>
              </w:rPr>
            </w:pPr>
            <w:r>
              <w:rPr>
                <w:rFonts w:cs="Times New Roman" w:asciiTheme="minorEastAsia" w:hAnsiTheme="minorEastAsia"/>
                <w:color w:val="000000"/>
                <w:sz w:val="24"/>
              </w:rPr>
              <w:t xml:space="preserve"> </w:t>
            </w:r>
            <w:r>
              <w:t>占地面积：6670m</w:t>
            </w:r>
            <w:r>
              <w:rPr>
                <w:vertAlign w:val="superscript"/>
              </w:rPr>
              <w:t>2</w:t>
            </w:r>
          </w:p>
          <w:p>
            <w:pPr>
              <w:spacing w:line="360" w:lineRule="auto"/>
              <w:ind w:firstLine="480" w:firstLineChars="200"/>
              <w:rPr>
                <w:rFonts w:ascii="Times New Roman" w:hAnsi="Times New Roman" w:cs="Times New Roman"/>
                <w:color w:val="000000" w:themeColor="text1"/>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工作制度及劳动定员：每天</w:t>
            </w:r>
            <w:r>
              <w:rPr>
                <w:rFonts w:hint="eastAsia" w:ascii="Times New Roman" w:hAnsi="Times New Roman" w:cs="Times New Roman"/>
                <w:color w:val="000000" w:themeColor="text1"/>
                <w:sz w:val="24"/>
              </w:rPr>
              <w:t>2</w:t>
            </w:r>
            <w:r>
              <w:rPr>
                <w:rFonts w:ascii="Times New Roman" w:hAnsi="Times New Roman" w:cs="Times New Roman"/>
                <w:color w:val="000000" w:themeColor="text1"/>
                <w:sz w:val="24"/>
              </w:rPr>
              <w:t>班，每班</w:t>
            </w:r>
            <w:r>
              <w:rPr>
                <w:rFonts w:hint="eastAsia" w:ascii="Times New Roman" w:hAnsi="Times New Roman" w:cs="Times New Roman"/>
                <w:color w:val="000000" w:themeColor="text1"/>
                <w:sz w:val="24"/>
              </w:rPr>
              <w:t>12</w:t>
            </w:r>
            <w:r>
              <w:rPr>
                <w:rFonts w:ascii="Times New Roman" w:hAnsi="Times New Roman" w:cs="Times New Roman"/>
                <w:color w:val="000000" w:themeColor="text1"/>
                <w:sz w:val="24"/>
              </w:rPr>
              <w:t>小时，年工作365天；职工人数</w:t>
            </w:r>
            <w:r>
              <w:rPr>
                <w:rFonts w:hint="eastAsia" w:ascii="Times New Roman" w:hAnsi="Times New Roman" w:cs="Times New Roman"/>
                <w:color w:val="000000" w:themeColor="text1"/>
                <w:sz w:val="24"/>
              </w:rPr>
              <w:t>11</w:t>
            </w:r>
            <w:r>
              <w:rPr>
                <w:rFonts w:ascii="Times New Roman" w:hAnsi="Times New Roman" w:cs="Times New Roman"/>
                <w:color w:val="000000" w:themeColor="text1"/>
                <w:sz w:val="24"/>
              </w:rPr>
              <w:t>人。</w:t>
            </w: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6"/>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410"/>
              <w:gridCol w:w="2846"/>
              <w:gridCol w:w="30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2410"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2846"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3092"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2846" w:type="dxa"/>
                </w:tcPr>
                <w:p>
                  <w:pPr>
                    <w:jc w:val="center"/>
                  </w:pPr>
                </w:p>
                <w:p>
                  <w:pPr>
                    <w:jc w:val="center"/>
                    <w:rPr>
                      <w:rFonts w:ascii="Times New Roman" w:hAnsi="Times New Roman" w:cs="Times New Roman"/>
                      <w:color w:val="000000"/>
                      <w:szCs w:val="21"/>
                    </w:rPr>
                  </w:pPr>
                  <w:r>
                    <w:t>40m</w:t>
                  </w:r>
                  <w:r>
                    <w:rPr>
                      <w:vertAlign w:val="superscript"/>
                    </w:rPr>
                    <w:t>3</w:t>
                  </w:r>
                  <w:r>
                    <w:t xml:space="preserve"> 柴油储罐 1 个，50m</w:t>
                  </w:r>
                  <w:r>
                    <w:rPr>
                      <w:vertAlign w:val="superscript"/>
                    </w:rPr>
                    <w:t>3</w:t>
                  </w:r>
                  <w:r>
                    <w:t xml:space="preserve"> 汽油储罐 </w:t>
                  </w:r>
                  <w:r>
                    <w:rPr>
                      <w:rFonts w:hint="eastAsia"/>
                    </w:rPr>
                    <w:t>2</w:t>
                  </w:r>
                  <w:r>
                    <w:t xml:space="preserve"> 个，</w:t>
                  </w:r>
                  <w:r>
                    <w:rPr>
                      <w:rFonts w:hint="eastAsia"/>
                    </w:rPr>
                    <w:t>3</w:t>
                  </w:r>
                  <w:r>
                    <w:t>0m</w:t>
                  </w:r>
                  <w:r>
                    <w:rPr>
                      <w:vertAlign w:val="superscript"/>
                    </w:rPr>
                    <w:t>3</w:t>
                  </w:r>
                  <w:r>
                    <w:t xml:space="preserve"> 汽油储罐 </w:t>
                  </w:r>
                  <w:r>
                    <w:rPr>
                      <w:rFonts w:hint="eastAsia"/>
                    </w:rPr>
                    <w:t>1</w:t>
                  </w:r>
                  <w:r>
                    <w:t xml:space="preserve"> 个</w:t>
                  </w:r>
                  <w:r>
                    <w:rPr>
                      <w:rFonts w:hint="eastAsia"/>
                    </w:rPr>
                    <w:t>，</w:t>
                  </w:r>
                  <w:r>
                    <w:t>占地面积 155.8m</w:t>
                  </w:r>
                  <w:r>
                    <w:rPr>
                      <w:rFonts w:hint="eastAsia"/>
                      <w:vertAlign w:val="superscript"/>
                    </w:rPr>
                    <w:t>2</w:t>
                  </w:r>
                </w:p>
              </w:tc>
              <w:tc>
                <w:tcPr>
                  <w:tcW w:w="3092" w:type="dxa"/>
                </w:tcPr>
                <w:p>
                  <w:pPr>
                    <w:jc w:val="center"/>
                    <w:rPr>
                      <w:rFonts w:ascii="Times New Roman" w:hAnsi="Times New Roman" w:cs="Times New Roman"/>
                      <w:color w:val="000000"/>
                      <w:szCs w:val="21"/>
                    </w:rPr>
                  </w:pPr>
                  <w:r>
                    <w:t>油罐为地埋卧式，布置在 埋地油罐池内，为双层储 罐, 储罐位于加油区东面， 油罐采用地埋式方式安装 且罐顶上覆土厚度大于 0.5m。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vAlign w:val="center"/>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2846" w:type="dxa"/>
                </w:tcPr>
                <w:p>
                  <w:pPr>
                    <w:jc w:val="center"/>
                  </w:pPr>
                  <w:r>
                    <w:t>单层螺栓球网架，投影面积 695m</w:t>
                  </w:r>
                  <w:r>
                    <w:rPr>
                      <w:vertAlign w:val="superscript"/>
                    </w:rPr>
                    <w:t>2</w:t>
                  </w:r>
                </w:p>
                <w:p>
                  <w:pPr>
                    <w:pStyle w:val="19"/>
                    <w:ind w:firstLine="480"/>
                    <w:jc w:val="both"/>
                  </w:pPr>
                </w:p>
              </w:tc>
              <w:tc>
                <w:tcPr>
                  <w:tcW w:w="3092" w:type="dxa"/>
                </w:tcPr>
                <w:p>
                  <w:pPr>
                    <w:jc w:val="center"/>
                  </w:pPr>
                </w:p>
                <w:p>
                  <w:pPr>
                    <w:jc w:val="center"/>
                  </w:pPr>
                  <w:r>
                    <w:t>加油机 4 台，16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2410" w:type="dxa"/>
                </w:tcPr>
                <w:p>
                  <w:pPr>
                    <w:rPr>
                      <w:rFonts w:ascii="Times New Roman" w:hAnsi="Times New Roman" w:cs="Times New Roman"/>
                      <w:color w:val="000000"/>
                      <w:szCs w:val="21"/>
                    </w:rPr>
                  </w:pPr>
                </w:p>
                <w:p>
                  <w:pPr>
                    <w:ind w:firstLine="630" w:firstLineChars="300"/>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2846" w:type="dxa"/>
                </w:tcPr>
                <w:p>
                  <w:pPr>
                    <w:rPr>
                      <w:rFonts w:ascii="Times New Roman" w:hAnsi="Times New Roman" w:cs="Times New Roman"/>
                      <w:color w:val="000000"/>
                      <w:szCs w:val="21"/>
                    </w:rPr>
                  </w:pPr>
                  <w:r>
                    <w:t>1 层，砖混结构，含柴油发电 机房、配电室、便利店、储藏室、卫生间等。</w:t>
                  </w:r>
                </w:p>
              </w:tc>
              <w:tc>
                <w:tcPr>
                  <w:tcW w:w="3092" w:type="dxa"/>
                </w:tcPr>
                <w:p>
                  <w:pPr>
                    <w:rPr>
                      <w:rFonts w:ascii="Times New Roman" w:hAnsi="Times New Roman" w:cs="Times New Roman"/>
                      <w:color w:val="000000"/>
                      <w:szCs w:val="21"/>
                    </w:rPr>
                  </w:pPr>
                  <w:r>
                    <w:t xml:space="preserve">占地面积 </w:t>
                  </w:r>
                  <w:r>
                    <w:rPr>
                      <w:rFonts w:hint="eastAsia"/>
                    </w:rPr>
                    <w:t>149.3</w:t>
                  </w:r>
                  <w:r>
                    <w:t>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ind w:firstLine="420" w:firstLineChars="200"/>
                    <w:rPr>
                      <w:rFonts w:ascii="Times New Roman" w:hAnsi="Times New Roman" w:cs="Times New Roman"/>
                      <w:color w:val="000000"/>
                      <w:szCs w:val="21"/>
                    </w:rPr>
                  </w:pPr>
                  <w:r>
                    <w:t>宿舍楼</w:t>
                  </w:r>
                </w:p>
              </w:tc>
              <w:tc>
                <w:tcPr>
                  <w:tcW w:w="2846" w:type="dxa"/>
                </w:tcPr>
                <w:p>
                  <w:pPr>
                    <w:rPr>
                      <w:rFonts w:ascii="Times New Roman" w:hAnsi="Times New Roman" w:cs="Times New Roman"/>
                      <w:color w:val="000000"/>
                      <w:szCs w:val="21"/>
                    </w:rPr>
                  </w:pPr>
                  <w:r>
                    <w:t>2 层，砖混结构，含员工休息 室、餐厅、活动室等。</w:t>
                  </w:r>
                </w:p>
              </w:tc>
              <w:tc>
                <w:tcPr>
                  <w:tcW w:w="3092" w:type="dxa"/>
                </w:tcPr>
                <w:p>
                  <w:r>
                    <w:t>占地面积 442.26m2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停车位</w:t>
                  </w:r>
                </w:p>
              </w:tc>
              <w:tc>
                <w:tcPr>
                  <w:tcW w:w="2846" w:type="dxa"/>
                </w:tcPr>
                <w:p>
                  <w:pPr>
                    <w:rPr>
                      <w:rFonts w:ascii="Times New Roman" w:hAnsi="Times New Roman" w:cs="Times New Roman"/>
                      <w:color w:val="000000"/>
                      <w:szCs w:val="21"/>
                    </w:rPr>
                  </w:pPr>
                  <w:r>
                    <w:rPr>
                      <w:rFonts w:hint="eastAsia" w:ascii="Times New Roman" w:hAnsi="Times New Roman" w:cs="Times New Roman"/>
                      <w:color w:val="000000"/>
                      <w:szCs w:val="21"/>
                    </w:rPr>
                    <w:t>8个</w:t>
                  </w:r>
                </w:p>
              </w:tc>
              <w:tc>
                <w:tcPr>
                  <w:tcW w:w="3092" w:type="dxa"/>
                </w:tcPr>
                <w:p>
                  <w:pPr>
                    <w:rPr>
                      <w:rFonts w:ascii="Times New Roman" w:hAnsi="Times New Roman" w:cs="Times New Roman"/>
                      <w:color w:val="000000"/>
                      <w:szCs w:val="21"/>
                    </w:rPr>
                  </w:pPr>
                  <w:r>
                    <w:t>混凝土地坪(面层 250m2 )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水</w:t>
                  </w:r>
                </w:p>
              </w:tc>
              <w:tc>
                <w:tcPr>
                  <w:tcW w:w="2846" w:type="dxa"/>
                </w:tcPr>
                <w:p>
                  <w:pPr>
                    <w:rPr>
                      <w:rFonts w:ascii="Times New Roman" w:hAnsi="Times New Roman" w:cs="Times New Roman"/>
                      <w:color w:val="000000"/>
                      <w:szCs w:val="21"/>
                    </w:rPr>
                  </w:pPr>
                  <w:r>
                    <w:t>2</w:t>
                  </w:r>
                  <w:r>
                    <w:rPr>
                      <w:rFonts w:hint="eastAsia"/>
                    </w:rPr>
                    <w:t>749.55</w:t>
                  </w:r>
                  <w:r>
                    <w:t xml:space="preserve">m³/a </w:t>
                  </w:r>
                </w:p>
              </w:tc>
              <w:tc>
                <w:tcPr>
                  <w:tcW w:w="3092" w:type="dxa"/>
                </w:tcPr>
                <w:p>
                  <w:pPr>
                    <w:rPr>
                      <w:rFonts w:ascii="Times New Roman" w:hAnsi="Times New Roman" w:cs="Times New Roman"/>
                      <w:color w:val="000000"/>
                      <w:sz w:val="18"/>
                      <w:szCs w:val="18"/>
                    </w:rPr>
                  </w:pPr>
                  <w:r>
                    <w:rPr>
                      <w:sz w:val="18"/>
                      <w:szCs w:val="18"/>
                    </w:rPr>
                    <w:t>由三都县三洞乡市政供水管网供给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电</w:t>
                  </w:r>
                </w:p>
              </w:tc>
              <w:tc>
                <w:tcPr>
                  <w:tcW w:w="2846" w:type="dxa"/>
                </w:tcPr>
                <w:p>
                  <w:pPr>
                    <w:rPr>
                      <w:rFonts w:ascii="Times New Roman" w:hAnsi="Times New Roman" w:cs="Times New Roman"/>
                      <w:color w:val="000000"/>
                      <w:szCs w:val="21"/>
                    </w:rPr>
                  </w:pPr>
                  <w:r>
                    <w:t xml:space="preserve">年耗电量约 </w:t>
                  </w:r>
                  <w:r>
                    <w:rPr>
                      <w:rFonts w:hint="eastAsia"/>
                    </w:rPr>
                    <w:t>213400</w:t>
                  </w:r>
                  <w:r>
                    <w:t xml:space="preserve">kw·h </w:t>
                  </w:r>
                </w:p>
              </w:tc>
              <w:tc>
                <w:tcPr>
                  <w:tcW w:w="3092" w:type="dxa"/>
                </w:tcPr>
                <w:p>
                  <w:pPr>
                    <w:jc w:val="center"/>
                    <w:rPr>
                      <w:rFonts w:ascii="Times New Roman" w:hAnsi="Times New Roman" w:cs="Times New Roman"/>
                      <w:color w:val="000000"/>
                      <w:sz w:val="18"/>
                      <w:szCs w:val="18"/>
                    </w:rPr>
                  </w:pPr>
                  <w:r>
                    <w:rPr>
                      <w:sz w:val="18"/>
                      <w:szCs w:val="18"/>
                    </w:rPr>
                    <w:t>由三都县三洞乡市政供电电网引入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消防沙地</w:t>
                  </w:r>
                </w:p>
              </w:tc>
              <w:tc>
                <w:tcPr>
                  <w:tcW w:w="2846" w:type="dxa"/>
                </w:tcPr>
                <w:p>
                  <w:r>
                    <w:rPr>
                      <w:rFonts w:hint="eastAsia"/>
                    </w:rPr>
                    <w:t>1个，</w:t>
                  </w:r>
                  <w:r>
                    <w:t>2m</w:t>
                  </w:r>
                  <w:r>
                    <w:rPr>
                      <w:vertAlign w:val="superscript"/>
                    </w:rPr>
                    <w:t>3</w:t>
                  </w:r>
                </w:p>
              </w:tc>
              <w:tc>
                <w:tcPr>
                  <w:tcW w:w="3092" w:type="dxa"/>
                </w:tcPr>
                <w:p>
                  <w:pPr>
                    <w:jc w:val="center"/>
                  </w:pPr>
                  <w:r>
                    <w:t>占地 2m</w:t>
                  </w:r>
                  <w:r>
                    <w:rPr>
                      <w:vertAlign w:val="superscript"/>
                    </w:rPr>
                    <w:t>2</w:t>
                  </w:r>
                  <w:r>
                    <w:t>，高 1m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B050"/>
                      <w:szCs w:val="21"/>
                    </w:rPr>
                  </w:pPr>
                  <w:r>
                    <w:t>隔油池</w:t>
                  </w:r>
                </w:p>
              </w:tc>
              <w:tc>
                <w:tcPr>
                  <w:tcW w:w="2846" w:type="dxa"/>
                </w:tcPr>
                <w:p>
                  <w:pPr>
                    <w:rPr>
                      <w:rFonts w:ascii="Times New Roman" w:hAnsi="Times New Roman" w:cs="Times New Roman"/>
                      <w:color w:val="00B050"/>
                      <w:szCs w:val="21"/>
                    </w:rPr>
                  </w:pPr>
                  <w:r>
                    <w:t>1 个，1m</w:t>
                  </w:r>
                  <w:r>
                    <w:rPr>
                      <w:vertAlign w:val="superscript"/>
                    </w:rPr>
                    <w:t>3</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t>三级化粪池</w:t>
                  </w:r>
                </w:p>
              </w:tc>
              <w:tc>
                <w:tcPr>
                  <w:tcW w:w="2846" w:type="dxa"/>
                </w:tcPr>
                <w:p>
                  <w:pPr>
                    <w:rPr>
                      <w:rFonts w:ascii="Times New Roman" w:hAnsi="Times New Roman" w:cs="Times New Roman"/>
                      <w:color w:val="00B050"/>
                      <w:szCs w:val="21"/>
                    </w:rPr>
                  </w:pPr>
                  <w:r>
                    <w:t>1 个，5m³</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rPr>
                      <w:rFonts w:hint="eastAsia"/>
                    </w:rPr>
                    <w:t>危废</w:t>
                  </w:r>
                  <w:r>
                    <w:t>暂存间</w:t>
                  </w:r>
                </w:p>
              </w:tc>
              <w:tc>
                <w:tcPr>
                  <w:tcW w:w="2846" w:type="dxa"/>
                </w:tcPr>
                <w:p>
                  <w:pPr>
                    <w:rPr>
                      <w:rFonts w:ascii="Times New Roman" w:hAnsi="Times New Roman" w:cs="Times New Roman"/>
                      <w:color w:val="00B050"/>
                      <w:szCs w:val="21"/>
                    </w:rPr>
                  </w:pPr>
                  <w:r>
                    <w:t>1 个，20m³</w:t>
                  </w:r>
                </w:p>
              </w:tc>
              <w:tc>
                <w:tcPr>
                  <w:tcW w:w="3092"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vAlign w:val="center"/>
                </w:tcPr>
                <w:p>
                  <w:pPr>
                    <w:jc w:val="center"/>
                    <w:rPr>
                      <w:rFonts w:ascii="Times New Roman" w:hAnsi="Times New Roman" w:cs="Times New Roman"/>
                      <w:color w:val="00B050"/>
                      <w:szCs w:val="21"/>
                    </w:rPr>
                  </w:pPr>
                  <w:r>
                    <w:t>油气回收系统</w:t>
                  </w:r>
                </w:p>
              </w:tc>
              <w:tc>
                <w:tcPr>
                  <w:tcW w:w="2846" w:type="dxa"/>
                </w:tcPr>
                <w:p>
                  <w:pPr>
                    <w:rPr>
                      <w:rFonts w:ascii="Times New Roman" w:hAnsi="Times New Roman" w:cs="Times New Roman"/>
                      <w:color w:val="00B050"/>
                      <w:szCs w:val="21"/>
                    </w:rPr>
                  </w:pPr>
                  <w:r>
                    <w:t>卸油油气回收系统(即一次油 气回收)、加油油气回收系统 (即二次油气回收)</w:t>
                  </w:r>
                </w:p>
              </w:tc>
              <w:tc>
                <w:tcPr>
                  <w:tcW w:w="3092" w:type="dxa"/>
                </w:tcPr>
                <w:p/>
                <w:p>
                  <w:pPr>
                    <w:rPr>
                      <w:rFonts w:ascii="Times New Roman" w:hAnsi="Times New Roman" w:cs="Times New Roman"/>
                      <w:color w:val="00B050"/>
                      <w:szCs w:val="21"/>
                    </w:rPr>
                  </w:pPr>
                  <w:r>
                    <w:t>油罐、加油机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2410" w:type="dxa"/>
                </w:tcPr>
                <w:p>
                  <w:pPr>
                    <w:ind w:firstLine="630" w:firstLineChars="300"/>
                    <w:rPr>
                      <w:rFonts w:ascii="Times New Roman" w:hAnsi="Times New Roman" w:cs="Times New Roman"/>
                      <w:szCs w:val="21"/>
                    </w:rPr>
                  </w:pPr>
                </w:p>
                <w:p>
                  <w:pPr>
                    <w:ind w:firstLine="630" w:firstLineChars="300"/>
                    <w:rPr>
                      <w:rFonts w:ascii="Times New Roman" w:hAnsi="Times New Roman" w:cs="Times New Roman"/>
                      <w:szCs w:val="21"/>
                    </w:rPr>
                  </w:pPr>
                  <w:r>
                    <w:rPr>
                      <w:rFonts w:hint="eastAsia" w:ascii="Times New Roman" w:hAnsi="Times New Roman" w:cs="Times New Roman"/>
                      <w:szCs w:val="21"/>
                    </w:rPr>
                    <w:t>绿化</w:t>
                  </w:r>
                </w:p>
              </w:tc>
              <w:tc>
                <w:tcPr>
                  <w:tcW w:w="2846" w:type="dxa"/>
                </w:tcPr>
                <w:p>
                  <w:pPr>
                    <w:rPr>
                      <w:rFonts w:ascii="Times New Roman" w:hAnsi="Times New Roman" w:cs="Times New Roman"/>
                      <w:color w:val="00B050"/>
                      <w:szCs w:val="21"/>
                    </w:rPr>
                  </w:pPr>
                  <w:r>
                    <w:t xml:space="preserve">绿化面积 </w:t>
                  </w:r>
                  <w:r>
                    <w:rPr>
                      <w:rFonts w:hint="eastAsia"/>
                    </w:rPr>
                    <w:t>1310</w:t>
                  </w:r>
                  <w:r>
                    <w:t>m</w:t>
                  </w:r>
                  <w:r>
                    <w:rPr>
                      <w:vertAlign w:val="superscript"/>
                    </w:rPr>
                    <w:t>2</w:t>
                  </w:r>
                </w:p>
              </w:tc>
              <w:tc>
                <w:tcPr>
                  <w:tcW w:w="3092" w:type="dxa"/>
                </w:tcPr>
                <w:p>
                  <w:pPr>
                    <w:rPr>
                      <w:rFonts w:ascii="Times New Roman" w:hAnsi="Times New Roman" w:cs="Times New Roman"/>
                      <w:color w:val="00B050"/>
                      <w:szCs w:val="21"/>
                    </w:rPr>
                  </w:pPr>
                  <w:r>
                    <w:t>绿化率 1</w:t>
                  </w:r>
                  <w:r>
                    <w:rPr>
                      <w:rFonts w:hint="eastAsia"/>
                    </w:rPr>
                    <w:t>9.6</w:t>
                  </w:r>
                  <w:r>
                    <w:t>%</w:t>
                  </w:r>
                </w:p>
              </w:tc>
            </w:tr>
          </w:tbl>
          <w:p>
            <w:pPr>
              <w:ind w:firstLine="482" w:firstLineChars="200"/>
              <w:jc w:val="cente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129"/>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SF双层罐，V=40m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SF双层罐，V=30m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SF双层罐，V</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潜泵工艺</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4 机 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油汽回收系统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tcBorders>
                    <w:tl2br w:val="nil"/>
                    <w:tr2bl w:val="nil"/>
                  </w:tcBorders>
                  <w:vAlign w:val="center"/>
                </w:tcPr>
                <w:p>
                  <w:pPr>
                    <w:adjustRightInd w:val="0"/>
                    <w:snapToGrid w:val="0"/>
                    <w:ind w:firstLine="840" w:firstLineChars="400"/>
                    <w:rPr>
                      <w:rFonts w:ascii="Times New Roman" w:hAnsi="Times New Roman" w:cs="Times New Roman"/>
                      <w:szCs w:val="21"/>
                    </w:rPr>
                  </w:pPr>
                  <w:r>
                    <w:t>消防沙池</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vMerge w:val="restart"/>
                  <w:tcBorders>
                    <w:tl2br w:val="nil"/>
                    <w:tr2bl w:val="nil"/>
                  </w:tcBorders>
                  <w:vAlign w:val="center"/>
                </w:tcPr>
                <w:p>
                  <w:pPr>
                    <w:adjustRightInd w:val="0"/>
                    <w:snapToGrid w:val="0"/>
                    <w:jc w:val="center"/>
                    <w:rPr>
                      <w:kern w:val="0"/>
                    </w:rPr>
                  </w:pPr>
                  <w:r>
                    <w:t>干粉灭火器</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手提(4kg)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vMerge w:val="continue"/>
                  <w:tcBorders>
                    <w:tl2br w:val="nil"/>
                    <w:tr2bl w:val="nil"/>
                  </w:tcBorders>
                  <w:vAlign w:val="center"/>
                </w:tcPr>
                <w:p>
                  <w:pPr>
                    <w:adjustRightInd w:val="0"/>
                    <w:snapToGrid w:val="0"/>
                    <w:jc w:val="cente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推车(35kg)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tcBorders>
                    <w:tl2br w:val="nil"/>
                    <w:tr2bl w:val="nil"/>
                  </w:tcBorders>
                  <w:vAlign w:val="center"/>
                </w:tcPr>
                <w:p>
                  <w:pPr>
                    <w:adjustRightInd w:val="0"/>
                    <w:snapToGrid w:val="0"/>
                    <w:jc w:val="center"/>
                    <w:rPr>
                      <w:kern w:val="0"/>
                    </w:rPr>
                  </w:pP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XG-500GF</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w:t>
            </w:r>
            <w:r>
              <w:rPr>
                <w:sz w:val="24"/>
              </w:rPr>
              <w:t>加油站销售的成品油是从中海油贵州销售有限公司（湖南）经专用油罐车公路运输运至本站。</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5"/>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120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8807402"/>
            <w:bookmarkStart w:id="10" w:name="_Toc478807683"/>
            <w:bookmarkStart w:id="11" w:name="_Toc479078401"/>
            <w:r>
              <w:rPr>
                <w:rFonts w:hint="eastAsia" w:ascii="Times New Roman" w:hAnsi="Times New Roman" w:cs="Times New Roman"/>
                <w:sz w:val="24"/>
              </w:rPr>
              <w:t>新</w:t>
            </w:r>
            <w:r>
              <w:rPr>
                <w:rFonts w:ascii="Times New Roman" w:hAnsi="Times New Roman" w:cs="Times New Roman"/>
                <w:sz w:val="24"/>
              </w:rPr>
              <w:t>建项目共有职工</w:t>
            </w:r>
            <w:r>
              <w:rPr>
                <w:rFonts w:hint="eastAsia" w:ascii="Times New Roman" w:hAnsi="Times New Roman" w:cs="Times New Roman"/>
                <w:sz w:val="24"/>
              </w:rPr>
              <w:t>11</w:t>
            </w:r>
            <w:r>
              <w:rPr>
                <w:rFonts w:ascii="Times New Roman" w:hAnsi="Times New Roman" w:cs="Times New Roman"/>
                <w:sz w:val="24"/>
              </w:rPr>
              <w:t>人，</w:t>
            </w:r>
            <w:r>
              <w:rPr>
                <w:rFonts w:hint="eastAsia" w:ascii="Times New Roman" w:hAnsi="Times New Roman" w:cs="Times New Roman"/>
                <w:sz w:val="24"/>
              </w:rPr>
              <w:t>生产用水和</w:t>
            </w:r>
            <w:r>
              <w:rPr>
                <w:rFonts w:ascii="Times New Roman" w:hAnsi="Times New Roman" w:cs="Times New Roman"/>
                <w:sz w:val="24"/>
              </w:rPr>
              <w:t>生活用水</w:t>
            </w:r>
            <w:r>
              <w:rPr>
                <w:rFonts w:hint="eastAsia" w:ascii="Times New Roman" w:hAnsi="Times New Roman" w:cs="Times New Roman"/>
                <w:sz w:val="24"/>
              </w:rPr>
              <w:t>由</w:t>
            </w:r>
            <w:r>
              <w:rPr>
                <w:sz w:val="24"/>
              </w:rPr>
              <w:t>贵州省黔南州三都县三洞乡市政供水管网供给</w:t>
            </w:r>
            <w:r>
              <w:rPr>
                <w:rFonts w:ascii="Times New Roman" w:hAnsi="Times New Roman" w:cs="Times New Roman"/>
                <w:sz w:val="24"/>
              </w:rPr>
              <w:t>，项目用水主要为生活用水、场地清洗水、绿化用水等。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80" w:firstLineChars="200"/>
              <w:rPr>
                <w:rFonts w:ascii="Times New Roman" w:hAnsi="Times New Roman" w:cs="Times New Roman"/>
                <w:sz w:val="24"/>
              </w:rPr>
            </w:pPr>
            <w:r>
              <w:rPr>
                <w:sz w:val="24"/>
              </w:rPr>
              <w:t>项目采取雨污分流，屋面雨水经落水管流至地面，与地面雨水汇集到排雨水管沟(400mm*200mm，地面坡度为0.4%)，排出站外；项目废水场地冲洗水经隔油池预处理与其他生活</w:t>
            </w:r>
            <w:r>
              <w:rPr>
                <w:rFonts w:hint="eastAsia"/>
                <w:sz w:val="24"/>
              </w:rPr>
              <w:t>废水</w:t>
            </w:r>
            <w:r>
              <w:rPr>
                <w:sz w:val="24"/>
              </w:rPr>
              <w:t>一并进入三级生化池处理达《污水综合排放标准标准》(GB8978-1996) 中三级标准后，依托三都水族自治县三荔高速三洞服务</w:t>
            </w:r>
            <w:r>
              <w:rPr>
                <w:rFonts w:hint="eastAsia"/>
                <w:sz w:val="24"/>
              </w:rPr>
              <w:t>区西</w:t>
            </w:r>
            <w:r>
              <w:rPr>
                <w:sz w:val="24"/>
              </w:rPr>
              <w:t>区污水处理站处理达到 《城镇污水处理厂污染物排放标准》(GB18918-2002)一级B标准后，回用于绿化或农灌，不外排</w:t>
            </w:r>
            <w:r>
              <w:rPr>
                <w:rFonts w:hint="eastAsia" w:ascii="Times New Roman" w:hAnsi="Times New Roman" w:cs="Times New Roman"/>
                <w:sz w:val="24"/>
              </w:rPr>
              <w:t>。</w:t>
            </w:r>
            <w:r>
              <w:rPr>
                <w:rFonts w:ascii="Times New Roman" w:hAnsi="Times New Roman" w:cs="Times New Roman"/>
                <w:sz w:val="24"/>
              </w:rPr>
              <w:t>详情水平衡图见图1-2。</w:t>
            </w:r>
          </w:p>
          <w:p>
            <w:pPr>
              <w:pStyle w:val="19"/>
              <w:ind w:firstLine="480"/>
              <w:jc w:val="both"/>
            </w:pPr>
            <w:r>
              <w:drawing>
                <wp:inline distT="0" distB="0" distL="0" distR="0">
                  <wp:extent cx="5273040" cy="29184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3497" cy="2918713"/>
                          </a:xfrm>
                          <a:prstGeom prst="rect">
                            <a:avLst/>
                          </a:prstGeom>
                        </pic:spPr>
                      </pic:pic>
                    </a:graphicData>
                  </a:graphic>
                </wp:inline>
              </w:drawing>
            </w:r>
          </w:p>
          <w:p>
            <w:pPr>
              <w:adjustRightInd w:val="0"/>
              <w:snapToGrid w:val="0"/>
              <w:ind w:firstLine="2891" w:firstLineChars="1200"/>
              <w:rPr>
                <w:rFonts w:ascii="Times New Roman" w:hAnsi="Times New Roman" w:cs="Times New Roman"/>
                <w:b/>
                <w:bCs/>
                <w:sz w:val="24"/>
              </w:rPr>
            </w:pPr>
            <w:r>
              <w:rPr>
                <w:rFonts w:ascii="Times New Roman" w:hAnsi="Times New Roman" w:cs="Times New Roman"/>
                <w:b/>
                <w:bCs/>
                <w:sz w:val="24"/>
              </w:rPr>
              <w:t>图1-2 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spacing w:line="360" w:lineRule="auto"/>
              <w:ind w:firstLine="560"/>
              <w:rPr>
                <w:rFonts w:ascii="Times New Roman" w:hAnsi="Times New Roman" w:cs="Times New Roman"/>
                <w:sz w:val="24"/>
              </w:rPr>
            </w:pPr>
            <w:r>
              <w:rPr>
                <w:rFonts w:hint="eastAsia" w:ascii="Times New Roman" w:hAnsi="Times New Roman" w:cs="Times New Roman"/>
                <w:sz w:val="24"/>
              </w:rPr>
              <w:t>本项目</w:t>
            </w:r>
            <w:r>
              <w:rPr>
                <w:sz w:val="24"/>
              </w:rPr>
              <w:t>由三都县三洞乡市政供电电网引入。供电电源采用交流三相 380/220V。为确保工作电源故障时加油加气站仍能继续营业，由柴油发电机作为备用电源。</w:t>
            </w:r>
          </w:p>
          <w:p>
            <w:pPr>
              <w:pStyle w:val="3"/>
              <w:outlineLvl w:val="1"/>
              <w:rPr>
                <w:rFonts w:ascii="Times New Roman" w:hAnsi="Times New Roman" w:eastAsia="宋体"/>
              </w:rPr>
            </w:pPr>
          </w:p>
          <w:p>
            <w:pPr>
              <w:pStyle w:val="3"/>
              <w:outlineLvl w:val="1"/>
              <w:rPr>
                <w:rFonts w:ascii="Times New Roman" w:hAnsi="Times New Roman" w:eastAsia="宋体"/>
              </w:rPr>
            </w:pPr>
            <w:r>
              <w:rPr>
                <w:rFonts w:ascii="Times New Roman" w:hAnsi="Times New Roman" w:eastAsia="宋体"/>
              </w:rPr>
              <w:t>1.10 生产制度及劳动定员</w:t>
            </w:r>
          </w:p>
          <w:p>
            <w:pPr>
              <w:pStyle w:val="3"/>
              <w:ind w:firstLine="480" w:firstLineChars="200"/>
              <w:outlineLvl w:val="1"/>
              <w:rPr>
                <w:rFonts w:ascii="Times New Roman" w:hAnsi="Times New Roman" w:eastAsia="宋体"/>
                <w:b w:val="0"/>
                <w:bCs/>
              </w:rPr>
            </w:pPr>
            <w:r>
              <w:rPr>
                <w:rFonts w:ascii="Times New Roman" w:hAnsi="Times New Roman"/>
                <w:b w:val="0"/>
                <w:bCs/>
                <w:sz w:val="24"/>
              </w:rPr>
              <w:t>本项目劳动定员</w:t>
            </w:r>
            <w:r>
              <w:rPr>
                <w:rFonts w:hint="eastAsia" w:ascii="Times New Roman" w:hAnsi="Times New Roman"/>
                <w:b w:val="0"/>
                <w:bCs/>
                <w:sz w:val="24"/>
              </w:rPr>
              <w:t>11</w:t>
            </w:r>
            <w:r>
              <w:rPr>
                <w:rFonts w:ascii="Times New Roman" w:hAnsi="Times New Roman"/>
                <w:b w:val="0"/>
                <w:bCs/>
                <w:sz w:val="24"/>
              </w:rPr>
              <w:t>人，采用三班</w:t>
            </w:r>
            <w:r>
              <w:rPr>
                <w:rFonts w:hint="eastAsia" w:ascii="Times New Roman" w:hAnsi="Times New Roman"/>
                <w:b w:val="0"/>
                <w:bCs/>
                <w:sz w:val="24"/>
              </w:rPr>
              <w:t>二运转工作</w:t>
            </w:r>
            <w:r>
              <w:rPr>
                <w:rFonts w:ascii="Times New Roman" w:hAnsi="Times New Roman"/>
                <w:b w:val="0"/>
                <w:bCs/>
                <w:sz w:val="24"/>
              </w:rPr>
              <w:t>制，每班</w:t>
            </w:r>
            <w:r>
              <w:rPr>
                <w:rFonts w:hint="eastAsia" w:ascii="Times New Roman" w:hAnsi="Times New Roman"/>
                <w:b w:val="0"/>
                <w:bCs/>
                <w:sz w:val="24"/>
              </w:rPr>
              <w:t>12</w:t>
            </w:r>
            <w:r>
              <w:rPr>
                <w:rFonts w:ascii="Times New Roman" w:hAnsi="Times New Roman"/>
                <w:b w:val="0"/>
                <w:bCs/>
                <w:sz w:val="24"/>
              </w:rPr>
              <w:t>小时，年工作365天。</w:t>
            </w: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建设项目属于机动车燃料零售新建项目，不属于《产业结构调整指导目录（201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（1）加油工艺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本项目加油站设地下SF双层地埋储罐。其工艺流程为：</w:t>
            </w:r>
            <w:r>
              <w:rPr>
                <w:sz w:val="24"/>
              </w:rPr>
              <w:t>油类采用罐车运输至加油站，卸油过程是油泵将槽罐车内的油类注入地下卧式储油罐内，在此过程中停留在罐内的烃类气体被液体置换，大部分经进油口的油气回收装置从储油罐进入槽罐车，小部分通过呼吸口进入大气。加油过程是通过站内的双枪加油机把油类充入汽车的油箱内，达到给汽车加油的目的，该过程中油箱内的大部分非甲烷总烃经加油枪的油气回收装置回收入储油罐内，少部分烃类气体被液体置换排入大气</w:t>
            </w:r>
            <w:r>
              <w:rPr>
                <w:rFonts w:hint="eastAsia" w:ascii="Times New Roman" w:hAnsi="Times New Roman" w:cs="Times New Roman"/>
                <w:sz w:val="24"/>
              </w:rPr>
              <w:t>。加油站工艺流程</w:t>
            </w:r>
            <w:r>
              <w:rPr>
                <w:rFonts w:ascii="Times New Roman" w:hAnsi="Times New Roman" w:cs="Times New Roman"/>
                <w:sz w:val="24"/>
              </w:rPr>
              <w:t>及排污节点见图1-3。</w:t>
            </w:r>
          </w:p>
          <w:p>
            <w:pPr>
              <w:tabs>
                <w:tab w:val="left" w:pos="4320"/>
                <w:tab w:val="center" w:pos="4361"/>
              </w:tabs>
              <w:jc w:val="center"/>
            </w:pPr>
          </w:p>
          <w:p>
            <w:pPr>
              <w:tabs>
                <w:tab w:val="left" w:pos="4320"/>
                <w:tab w:val="center" w:pos="4361"/>
              </w:tabs>
              <w:jc w:val="center"/>
              <w:rPr>
                <w:rFonts w:ascii="Times New Roman" w:hAnsi="Times New Roman" w:cs="Times New Roman"/>
                <w:b/>
                <w:sz w:val="28"/>
                <w:szCs w:val="28"/>
              </w:rPr>
            </w:pPr>
            <w:r>
              <w:drawing>
                <wp:inline distT="0" distB="0" distL="0" distR="0">
                  <wp:extent cx="5024120" cy="21875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rcRect l="23693" t="27911" r="16591" b="25856"/>
                          <a:stretch>
                            <a:fillRect/>
                          </a:stretch>
                        </pic:blipFill>
                        <pic:spPr>
                          <a:xfrm>
                            <a:off x="0" y="0"/>
                            <a:ext cx="5094593" cy="2218613"/>
                          </a:xfrm>
                          <a:prstGeom prst="rect">
                            <a:avLst/>
                          </a:prstGeom>
                          <a:ln>
                            <a:noFill/>
                          </a:ln>
                        </pic:spPr>
                      </pic:pic>
                    </a:graphicData>
                  </a:graphic>
                </wp:inline>
              </w:drawing>
            </w: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图1-3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产物环节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pStyle w:val="37"/>
              <w:numPr>
                <w:ilvl w:val="0"/>
                <w:numId w:val="3"/>
              </w:numPr>
              <w:spacing w:line="360" w:lineRule="auto"/>
              <w:ind w:firstLineChars="0"/>
              <w:jc w:val="left"/>
              <w:rPr>
                <w:sz w:val="24"/>
              </w:rPr>
            </w:pP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7"/>
              <w:numPr>
                <w:ilvl w:val="0"/>
                <w:numId w:val="4"/>
              </w:numPr>
              <w:spacing w:line="360" w:lineRule="auto"/>
              <w:ind w:firstLineChars="0"/>
              <w:rPr>
                <w:sz w:val="24"/>
              </w:rPr>
            </w:pPr>
            <w:r>
              <w:rPr>
                <w:rFonts w:hint="eastAsia"/>
                <w:sz w:val="24"/>
              </w:rPr>
              <w:t>油罐的事故泄漏、着火或爆炸是引起大气及水污染的风险性因素；</w:t>
            </w:r>
          </w:p>
          <w:p>
            <w:pPr>
              <w:pStyle w:val="37"/>
              <w:numPr>
                <w:ilvl w:val="0"/>
                <w:numId w:val="4"/>
              </w:numPr>
              <w:spacing w:line="360" w:lineRule="auto"/>
              <w:ind w:firstLineChars="0"/>
              <w:rPr>
                <w:sz w:val="24"/>
              </w:rPr>
            </w:pPr>
            <w:r>
              <w:rPr>
                <w:rFonts w:hint="eastAsia"/>
                <w:sz w:val="24"/>
              </w:rPr>
              <w:t>地面冲洗会产生含油废水；</w:t>
            </w:r>
          </w:p>
          <w:p>
            <w:pPr>
              <w:pStyle w:val="37"/>
              <w:numPr>
                <w:ilvl w:val="0"/>
                <w:numId w:val="4"/>
              </w:numPr>
              <w:spacing w:line="360" w:lineRule="auto"/>
              <w:ind w:firstLineChars="0"/>
              <w:rPr>
                <w:sz w:val="24"/>
              </w:rPr>
            </w:pPr>
            <w:r>
              <w:rPr>
                <w:rFonts w:hint="eastAsia"/>
                <w:sz w:val="24"/>
              </w:rPr>
              <w:t>加油机、备用发电机组等机器设备运转将产生噪声，以及进出汽车产生的噪声；</w:t>
            </w:r>
          </w:p>
          <w:p>
            <w:pPr>
              <w:pStyle w:val="37"/>
              <w:numPr>
                <w:ilvl w:val="0"/>
                <w:numId w:val="4"/>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rPr>
                <w:rFonts w:ascii="Times New Roman" w:hAnsi="Times New Roman" w:cs="Times New Roman"/>
                <w:sz w:val="24"/>
              </w:rPr>
            </w:pP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tabs>
                <w:tab w:val="left" w:pos="1350"/>
              </w:tabs>
              <w:spacing w:line="360" w:lineRule="auto"/>
              <w:ind w:firstLine="480" w:firstLineChars="200"/>
              <w:rPr>
                <w:rFonts w:ascii="Times New Roman" w:hAnsi="Times New Roman" w:cs="Times New Roman"/>
                <w:sz w:val="24"/>
              </w:rPr>
            </w:pPr>
            <w:r>
              <w:rPr>
                <w:sz w:val="24"/>
              </w:rPr>
              <w:t>项目采取雨污分流，屋面雨水经落水管流至地面，与地面雨水汇集到排雨水管沟排</w:t>
            </w:r>
            <w:r>
              <w:rPr>
                <w:rFonts w:hint="eastAsia"/>
                <w:sz w:val="24"/>
              </w:rPr>
              <w:t>入附近地表水</w:t>
            </w:r>
            <w:r>
              <w:rPr>
                <w:sz w:val="24"/>
              </w:rPr>
              <w:t>；项目废水场地冲洗水经隔油池预处理与其他生活</w:t>
            </w:r>
            <w:r>
              <w:rPr>
                <w:rFonts w:hint="eastAsia"/>
                <w:sz w:val="24"/>
              </w:rPr>
              <w:t>废水</w:t>
            </w:r>
            <w:r>
              <w:rPr>
                <w:sz w:val="24"/>
              </w:rPr>
              <w:t>一并进入三级生化池处理达《污水综合排放标准标准》(GB8978-1996) 中三级标准后，依托三都水族自治县三荔高速三洞服务</w:t>
            </w:r>
            <w:r>
              <w:rPr>
                <w:rFonts w:hint="eastAsia"/>
                <w:sz w:val="24"/>
              </w:rPr>
              <w:t>西</w:t>
            </w:r>
            <w:r>
              <w:rPr>
                <w:sz w:val="24"/>
              </w:rPr>
              <w:t>区污水处理站处理达到 《城镇污水处理厂污染物排放标准》(GB18918-2002)一级B标准后，回用于绿化或农灌，不外排</w:t>
            </w:r>
            <w:r>
              <w:rPr>
                <w:rFonts w:hint="eastAsia"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rFonts w:ascii="Times New Roman" w:hAnsi="Times New Roman" w:cs="Times New Roman"/>
                <w:sz w:val="24"/>
              </w:rPr>
              <w:t>建设项目废气主要来自加油站作业过程中产生的</w:t>
            </w:r>
            <w:r>
              <w:rPr>
                <w:rFonts w:ascii="Times New Roman" w:hAnsi="Times New Roman" w:cs="Times New Roman"/>
                <w:spacing w:val="6"/>
                <w:sz w:val="24"/>
              </w:rPr>
              <w:t>非甲烷总烃类</w:t>
            </w:r>
            <w:r>
              <w:rPr>
                <w:rFonts w:ascii="Times New Roman" w:hAnsi="Times New Roman" w:cs="Times New Roman"/>
                <w:sz w:val="24"/>
              </w:rPr>
              <w:t>废气、汽车进出时的尾气和扬尘。</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w:t>
            </w:r>
            <w:r>
              <w:rPr>
                <w:rFonts w:hint="eastAsia" w:ascii="Times New Roman" w:hAnsi="Times New Roman" w:cs="Times New Roman"/>
                <w:sz w:val="24"/>
              </w:rPr>
              <w:t>大</w:t>
            </w:r>
            <w:r>
              <w:rPr>
                <w:rFonts w:ascii="Times New Roman" w:hAnsi="Times New Roman" w:cs="Times New Roman"/>
                <w:sz w:val="24"/>
              </w:rPr>
              <w:t>小呼吸油气后处理装置，并在通气管管口加装阻火器，对柴油系统设置卸油回气管。这样可以一定程度上减少非甲烷总烃的排放。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建设项目采用</w:t>
            </w:r>
            <w:r>
              <w:rPr>
                <w:rFonts w:hint="eastAsia" w:ascii="Times New Roman" w:hAnsi="Times New Roman" w:cs="Times New Roman"/>
                <w:sz w:val="24"/>
              </w:rPr>
              <w:t>SF双层地埋储罐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油气回收系统、加油油气回收系统及油罐小呼吸油气后处理装置，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spacing w:line="360" w:lineRule="auto"/>
              <w:ind w:firstLine="480" w:firstLineChars="200"/>
              <w:rPr>
                <w:rFonts w:ascii="Times New Roman" w:hAnsi="Times New Roman" w:cs="Times New Roman"/>
              </w:rPr>
            </w:pPr>
            <w:r>
              <w:rPr>
                <w:rFonts w:ascii="Times New Roman" w:hAnsi="Times New Roman" w:cs="Times New Roman"/>
              </w:rPr>
              <w:t>（2）对于汽车尾气：本项目通过加强绿化、加油车辆的管理及自然扩散，汽车尾气对环境影响较小。</w:t>
            </w:r>
          </w:p>
          <w:p>
            <w:pPr>
              <w:pStyle w:val="8"/>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本项目通过设置油气回收系统、自然扩散、加强绿化及加油车辆管理，项目产生的非甲烷总烃及汽车尾气对环境的影响较小。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来往的机动车产生的噪声和加油泵、备用柴油发电机等设备运行时产生的噪声及加油车辆</w:t>
            </w:r>
            <w:r>
              <w:rPr>
                <w:rFonts w:ascii="Times New Roman" w:hAnsi="Times New Roman" w:cs="Times New Roman"/>
                <w:sz w:val="24"/>
              </w:rPr>
              <w:t>产生的噪声。</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采用低噪声设备，对泵体等高噪声设备采取隔音降噪；在项目区域内加强交通管理，做好交通疏导，限制进入区域内车辆的车速，同时，禁止在区域内鸣喇叭；备用发电机噪声通过优选低噪声设备、建筑隔声、防振、消声措施控制，站区内、外加强绿化等措施，减小项目产生的噪声对周边环境的影响。</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加油站运营后产生的生活垃圾，经垃圾桶集中收集后，由当地环卫部门统一收集集中处理</w:t>
            </w:r>
            <w:r>
              <w:rPr>
                <w:rFonts w:ascii="Times New Roman" w:hAnsi="Times New Roman" w:cs="Times New Roman"/>
                <w:sz w:val="24"/>
              </w:rPr>
              <w:t>。</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油泥、废机油、含油棉纱等危险废物由加油站委托有资质单位</w:t>
            </w:r>
            <w:bookmarkStart w:id="83" w:name="_GoBack"/>
            <w:bookmarkEnd w:id="83"/>
            <w:r>
              <w:rPr>
                <w:rFonts w:hint="eastAsia" w:ascii="Times New Roman" w:hAnsi="Times New Roman" w:cs="Times New Roman"/>
              </w:rPr>
              <w:t>对产生的危废进行处理处置，不在加油站场区内贮存。</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采取上述措施后，固体废弃物对环境影响很小</w:t>
            </w:r>
            <w:r>
              <w:rPr>
                <w:rFonts w:ascii="Times New Roman" w:hAnsi="Times New Roman" w:cs="Times New Roman"/>
                <w:color w:val="000000" w:themeColor="text1"/>
              </w:rPr>
              <w:t>。</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5"/>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270"/>
              <w:gridCol w:w="2330"/>
              <w:gridCol w:w="1378"/>
              <w:gridCol w:w="992"/>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2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33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37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w:t>
                  </w:r>
                  <w:r>
                    <w:rPr>
                      <w:rFonts w:hint="eastAsia" w:ascii="Times New Roman" w:hAnsi="Times New Roman" w:cs="Times New Roman"/>
                      <w:szCs w:val="21"/>
                    </w:rPr>
                    <w:t>、</w:t>
                  </w:r>
                  <w:r>
                    <w:rPr>
                      <w:rFonts w:ascii="Times New Roman" w:hAnsi="Times New Roman" w:cs="Times New Roman"/>
                      <w:szCs w:val="21"/>
                    </w:rPr>
                    <w:t>油罐车</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330"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采用密闭加油、卸油设备，加强密封性，减少废气泄漏</w:t>
                  </w:r>
                  <w:r>
                    <w:rPr>
                      <w:rFonts w:hint="eastAsia" w:ascii="Times New Roman" w:hAnsi="Times New Roman" w:cs="Times New Roman"/>
                      <w:szCs w:val="21"/>
                    </w:rPr>
                    <w:t>。</w:t>
                  </w:r>
                  <w:r>
                    <w:t>设置油气回收装置，严格管理， 提高设备的自动化控制水平</w:t>
                  </w:r>
                </w:p>
              </w:tc>
              <w:tc>
                <w:tcPr>
                  <w:tcW w:w="1378"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34"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t>办公</w:t>
                  </w:r>
                  <w:r>
                    <w:rPr>
                      <w:rFonts w:hint="eastAsia"/>
                    </w:rPr>
                    <w:t>废水</w:t>
                  </w:r>
                  <w:r>
                    <w:t>、 外来人员入 厕用水</w:t>
                  </w:r>
                  <w:r>
                    <w:rPr>
                      <w:rFonts w:hint="eastAsia"/>
                    </w:rPr>
                    <w:t>、</w:t>
                  </w:r>
                  <w:r>
                    <w:t>食堂的含油污水及地坪冲洗水</w:t>
                  </w:r>
                </w:p>
              </w:tc>
              <w:tc>
                <w:tcPr>
                  <w:tcW w:w="12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w:t>
                  </w:r>
                  <w:r>
                    <w:rPr>
                      <w:rFonts w:hint="eastAsia" w:ascii="Times New Roman" w:hAnsi="Times New Roman" w:cs="Times New Roman"/>
                      <w:szCs w:val="21"/>
                    </w:rPr>
                    <w:t>p</w:t>
                  </w:r>
                  <w:r>
                    <w:rPr>
                      <w:rFonts w:ascii="Times New Roman" w:hAnsi="Times New Roman" w:cs="Times New Roman"/>
                      <w:szCs w:val="21"/>
                    </w:rPr>
                    <w:t>H</w:t>
                  </w:r>
                </w:p>
                <w:p>
                  <w:pPr>
                    <w:jc w:val="center"/>
                    <w:rPr>
                      <w:rFonts w:ascii="Times New Roman" w:hAnsi="Times New Roman" w:eastAsia="宋体" w:cs="Times New Roman"/>
                      <w:bCs/>
                      <w:szCs w:val="21"/>
                    </w:rPr>
                  </w:pPr>
                  <w:r>
                    <w:rPr>
                      <w:rFonts w:hint="eastAsia" w:ascii="Times New Roman" w:hAnsi="Times New Roman" w:cs="Times New Roman"/>
                      <w:szCs w:val="21"/>
                    </w:rPr>
                    <w:t>、</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330" w:type="dxa"/>
                  <w:tcBorders>
                    <w:tl2br w:val="nil"/>
                    <w:tr2bl w:val="nil"/>
                  </w:tcBorders>
                  <w:vAlign w:val="center"/>
                </w:tcPr>
                <w:p>
                  <w:pPr>
                    <w:rPr>
                      <w:rFonts w:ascii="Times New Roman" w:hAnsi="Times New Roman" w:cs="Times New Roman"/>
                      <w:bCs/>
                      <w:szCs w:val="21"/>
                    </w:rPr>
                  </w:pPr>
                  <w:r>
                    <w:t>场地冲洗水经隔油池预处理与其 他生活污水一并进入三级化粪池 处理达《污水综合排放标准标准》 (GB8978-1996)中三级标准后，依 托三都水族自治县三荔高速三洞 服务区污水处理站。处理达到《城 镇污水处理厂污染物排放标准》 (GB18918-2002)一级 B 标准后，回 用于绿化或农灌，不外排</w:t>
                  </w:r>
                </w:p>
              </w:tc>
              <w:tc>
                <w:tcPr>
                  <w:tcW w:w="1378"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34"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270"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330"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p>
              </w:tc>
              <w:tc>
                <w:tcPr>
                  <w:tcW w:w="3104"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隔油池</w:t>
                  </w:r>
                  <w:r>
                    <w:rPr>
                      <w:rFonts w:hint="eastAsia" w:ascii="Times New Roman" w:hAnsi="Times New Roman" w:cs="Times New Roman"/>
                      <w:szCs w:val="21"/>
                    </w:rPr>
                    <w:t>、生化池</w:t>
                  </w:r>
                </w:p>
              </w:tc>
              <w:tc>
                <w:tcPr>
                  <w:tcW w:w="12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330"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w:t>
                  </w:r>
                </w:p>
              </w:tc>
              <w:tc>
                <w:tcPr>
                  <w:tcW w:w="3104"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隔油池、生 化池</w:t>
                  </w:r>
                </w:p>
              </w:tc>
              <w:tc>
                <w:tcPr>
                  <w:tcW w:w="1270" w:type="dxa"/>
                  <w:tcBorders>
                    <w:tl2br w:val="nil"/>
                    <w:tr2bl w:val="nil"/>
                  </w:tcBorders>
                  <w:vAlign w:val="center"/>
                </w:tcPr>
                <w:p>
                  <w:pPr>
                    <w:rPr>
                      <w:rFonts w:ascii="Times New Roman" w:hAnsi="Times New Roman" w:eastAsia="宋体" w:cs="Times New Roman"/>
                      <w:szCs w:val="21"/>
                    </w:rPr>
                  </w:pPr>
                  <w:r>
                    <w:t>隔油沉淀池 废油</w:t>
                  </w:r>
                </w:p>
              </w:tc>
              <w:tc>
                <w:tcPr>
                  <w:tcW w:w="2330"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t>配备容积不小于100L的防腐铁桶，将隔油池的含水废油、油罐污泥定期打捞后装入铁桶 内，定期交由</w:t>
                  </w:r>
                  <w:r>
                    <w:rPr>
                      <w:rFonts w:hint="eastAsia"/>
                    </w:rPr>
                    <w:t>有资质</w:t>
                  </w:r>
                  <w:r>
                    <w:t>单位处理</w:t>
                  </w: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270" w:type="dxa"/>
                  <w:tcBorders>
                    <w:tl2br w:val="nil"/>
                    <w:tr2bl w:val="nil"/>
                  </w:tcBorders>
                  <w:vAlign w:val="center"/>
                </w:tcPr>
                <w:p>
                  <w:pPr>
                    <w:jc w:val="center"/>
                    <w:rPr>
                      <w:rFonts w:ascii="Times New Roman" w:hAnsi="Times New Roman" w:cs="Times New Roman"/>
                      <w:szCs w:val="21"/>
                    </w:rPr>
                  </w:pPr>
                  <w:r>
                    <w:t>废机油、含 油棉纱等</w:t>
                  </w:r>
                </w:p>
              </w:tc>
              <w:tc>
                <w:tcPr>
                  <w:tcW w:w="233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434"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通过采购低噪声设备，对泵体等高噪声设备采取隔音降噪；在项目区域内加强交通管理，做好交通疏导，限制进入区域内车辆的车速，同时，禁止在区域内鸣喇叭；备用发电机噪声通过优选低噪声设备、建筑隔声、防振、消声措施控制，主机房墙面贴吸声材料，站区内、外加强绿化等措施，尽量减小项目营运期噪声对周边环境的影响。</w:t>
                  </w:r>
                </w:p>
              </w:tc>
            </w:tr>
          </w:tbl>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b/>
                <w:bCs/>
                <w:sz w:val="24"/>
              </w:rPr>
            </w:pPr>
            <w:r>
              <w:rPr>
                <w:rFonts w:ascii="Times New Roman" w:hAnsi="Times New Roman" w:cs="Times New Roman"/>
                <w:sz w:val="24"/>
              </w:rPr>
              <w:t>本项目实际总投资</w:t>
            </w:r>
            <w:r>
              <w:rPr>
                <w:rFonts w:hint="eastAsia" w:ascii="Times New Roman" w:hAnsi="Times New Roman" w:cs="Times New Roman"/>
                <w:sz w:val="24"/>
              </w:rPr>
              <w:t>4450</w:t>
            </w:r>
            <w:r>
              <w:rPr>
                <w:rFonts w:ascii="Times New Roman" w:hAnsi="Times New Roman" w:cs="Times New Roman"/>
                <w:sz w:val="24"/>
              </w:rPr>
              <w:t>万元，环保投资</w:t>
            </w:r>
            <w:r>
              <w:rPr>
                <w:rFonts w:hint="eastAsia" w:ascii="Times New Roman" w:hAnsi="Times New Roman" w:cs="Times New Roman"/>
                <w:sz w:val="24"/>
              </w:rPr>
              <w:t>51.3</w:t>
            </w:r>
            <w:r>
              <w:rPr>
                <w:rFonts w:ascii="Times New Roman" w:hAnsi="Times New Roman" w:cs="Times New Roman"/>
                <w:sz w:val="24"/>
              </w:rPr>
              <w:t>万元，占总投资</w:t>
            </w:r>
            <w:r>
              <w:rPr>
                <w:rFonts w:hint="eastAsia" w:ascii="Times New Roman" w:hAnsi="Times New Roman" w:cs="Times New Roman"/>
                <w:sz w:val="24"/>
              </w:rPr>
              <w:t>1.15</w:t>
            </w:r>
            <w:r>
              <w:rPr>
                <w:rFonts w:ascii="Times New Roman" w:hAnsi="Times New Roman" w:cs="Times New Roman"/>
                <w:sz w:val="24"/>
              </w:rPr>
              <w:t>%。项目实际投资情况见下表2-2。</w:t>
            </w: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szCs w:val="21"/>
                    </w:rPr>
                    <w:t>三级化粪池</w:t>
                  </w:r>
                  <w:r>
                    <w:rPr>
                      <w:rFonts w:ascii="Times New Roman" w:hAnsi="Times New Roman" w:cs="Times New Roman"/>
                      <w:szCs w:val="21"/>
                    </w:rPr>
                    <w:t>（</w:t>
                  </w:r>
                  <w:r>
                    <w:rPr>
                      <w:rFonts w:hint="eastAsia" w:ascii="Times New Roman" w:hAnsi="Times New Roman" w:cs="Times New Roman"/>
                      <w:szCs w:val="21"/>
                    </w:rPr>
                    <w:t>1个，5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隔油</w:t>
                  </w:r>
                  <w:r>
                    <w:rPr>
                      <w:rFonts w:hint="eastAsia" w:ascii="Times New Roman" w:hAnsi="Times New Roman" w:cs="Times New Roman"/>
                      <w:szCs w:val="21"/>
                    </w:rPr>
                    <w:t>池</w:t>
                  </w:r>
                  <w:r>
                    <w:rPr>
                      <w:rFonts w:ascii="Times New Roman" w:hAnsi="Times New Roman" w:cs="Times New Roman"/>
                      <w:szCs w:val="21"/>
                    </w:rPr>
                    <w:t>（</w:t>
                  </w:r>
                  <w:r>
                    <w:rPr>
                      <w:rFonts w:hint="eastAsia" w:ascii="Times New Roman" w:hAnsi="Times New Roman" w:cs="Times New Roman"/>
                      <w:szCs w:val="21"/>
                    </w:rPr>
                    <w:t>1个，1</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减震安装，消声、吸声、隔声措施</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垃圾桶</w:t>
                  </w:r>
                  <w:r>
                    <w:rPr>
                      <w:rFonts w:hint="eastAsia" w:ascii="Times New Roman" w:hAnsi="Times New Roman" w:cs="Times New Roman"/>
                      <w:szCs w:val="21"/>
                    </w:rPr>
                    <w:t>2</w:t>
                  </w:r>
                  <w:r>
                    <w:rPr>
                      <w:rFonts w:ascii="Times New Roman" w:hAnsi="Times New Roman" w:cs="Times New Roman"/>
                      <w:szCs w:val="21"/>
                    </w:rPr>
                    <w:t>个</w:t>
                  </w:r>
                  <w:r>
                    <w:rPr>
                      <w:rFonts w:hint="eastAsia" w:ascii="Times New Roman" w:hAnsi="Times New Roman" w:cs="Times New Roman"/>
                      <w:szCs w:val="21"/>
                    </w:rPr>
                    <w:t>，铁通</w:t>
                  </w:r>
                  <w:r>
                    <w:t xml:space="preserve">100L(1 个)，用于收集隔油沉砂池废油； </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r>
                    <w:rPr>
                      <w:rFonts w:hint="eastAsia" w:ascii="Times New Roman" w:hAnsi="Times New Roman" w:cs="Times New Roman"/>
                      <w:szCs w:val="21"/>
                    </w:rPr>
                    <w:t>1个，20</w:t>
                  </w:r>
                  <w:r>
                    <w:rPr>
                      <w:rFonts w:ascii="Times New Roman" w:hAnsi="Times New Roman" w:cs="Times New Roman"/>
                      <w:szCs w:val="21"/>
                    </w:rPr>
                    <w:t>m</w:t>
                  </w:r>
                  <w:r>
                    <w:rPr>
                      <w:rFonts w:hint="eastAsia"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面积1310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t>地下水污染防治</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厂区、罐区的防渗、污水管道、污水处理设施的防渗处理</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环保管理</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环评、应急预案、油气回收监测、验收监测等</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51.3</w:t>
                  </w:r>
                </w:p>
              </w:tc>
            </w:tr>
          </w:tbl>
          <w:p>
            <w:pPr>
              <w:spacing w:line="360" w:lineRule="auto"/>
              <w:rPr>
                <w:rFonts w:ascii="Times New Roman" w:hAnsi="Times New Roman" w:eastAsia="宋体" w:cs="Times New Roman"/>
                <w:sz w:val="28"/>
                <w:szCs w:val="28"/>
              </w:rPr>
            </w:pPr>
          </w:p>
        </w:tc>
      </w:tr>
    </w:tbl>
    <w:p>
      <w:pPr>
        <w:pageBreakBefore/>
        <w:spacing w:line="360" w:lineRule="auto"/>
        <w:outlineLvl w:val="0"/>
        <w:rPr>
          <w:rFonts w:ascii="Times New Roman" w:hAnsi="Times New Roman" w:cs="Times New Roman"/>
          <w:b/>
          <w:sz w:val="28"/>
          <w:szCs w:val="28"/>
        </w:rPr>
      </w:pPr>
      <w:bookmarkStart w:id="13" w:name="_Toc21219"/>
      <w:bookmarkStart w:id="14" w:name="_Toc10223"/>
      <w:r>
        <w:rPr>
          <w:rFonts w:ascii="Times New Roman" w:hAnsi="Times New Roman" w:cs="Times New Roman"/>
          <w:b/>
          <w:sz w:val="28"/>
          <w:szCs w:val="28"/>
        </w:rPr>
        <w:t>表三</w:t>
      </w:r>
      <w:bookmarkEnd w:id="13"/>
      <w:r>
        <w:rPr>
          <w:rFonts w:ascii="Times New Roman" w:hAnsi="Times New Roman" w:cs="Times New Roman"/>
          <w:b/>
          <w:sz w:val="28"/>
          <w:szCs w:val="28"/>
        </w:rPr>
        <w:t xml:space="preserve">  环境影响评价报告表主要结论、建议及批复</w:t>
      </w:r>
      <w:bookmarkEnd w:id="14"/>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项目地处贵州省黔南州三都水族自治县三荔高速三洞服务区</w:t>
            </w:r>
            <w:r>
              <w:rPr>
                <w:rFonts w:hint="eastAsia"/>
                <w:sz w:val="24"/>
              </w:rPr>
              <w:t>西</w:t>
            </w:r>
            <w:r>
              <w:rPr>
                <w:sz w:val="24"/>
              </w:rPr>
              <w:t>侧。项目区地理位置为：东经</w:t>
            </w:r>
            <w:r>
              <w:rPr>
                <w:rFonts w:ascii="Times New Roman" w:hAnsi="Times New Roman" w:eastAsia="宋体" w:cs="Times New Roman"/>
                <w:sz w:val="24"/>
              </w:rPr>
              <w:t>107°</w:t>
            </w:r>
            <w:r>
              <w:rPr>
                <w:rFonts w:hint="eastAsia" w:ascii="Times New Roman" w:hAnsi="Times New Roman" w:eastAsia="宋体" w:cs="Times New Roman"/>
                <w:sz w:val="24"/>
              </w:rPr>
              <w:t>53</w:t>
            </w:r>
            <w:r>
              <w:rPr>
                <w:rFonts w:ascii="Times New Roman" w:hAnsi="Times New Roman" w:eastAsia="宋体" w:cs="Times New Roman"/>
                <w:sz w:val="24"/>
              </w:rPr>
              <w:t>′</w:t>
            </w:r>
            <w:r>
              <w:rPr>
                <w:rFonts w:hint="eastAsia" w:ascii="Times New Roman" w:hAnsi="Times New Roman" w:eastAsia="宋体" w:cs="Times New Roman"/>
                <w:sz w:val="24"/>
              </w:rPr>
              <w:t>36.25</w:t>
            </w:r>
            <w:r>
              <w:rPr>
                <w:sz w:val="24"/>
              </w:rPr>
              <w:t>"</w:t>
            </w:r>
            <w:r>
              <w:rPr>
                <w:rFonts w:ascii="Times New Roman" w:hAnsi="Times New Roman" w:eastAsia="宋体" w:cs="Times New Roman"/>
                <w:sz w:val="24"/>
              </w:rPr>
              <w:t>，北纬25°</w:t>
            </w:r>
            <w:r>
              <w:rPr>
                <w:rFonts w:hint="eastAsia" w:ascii="Times New Roman" w:hAnsi="Times New Roman" w:eastAsia="宋体" w:cs="Times New Roman"/>
                <w:sz w:val="24"/>
              </w:rPr>
              <w:t>45</w:t>
            </w:r>
            <w:r>
              <w:rPr>
                <w:rFonts w:ascii="Times New Roman" w:hAnsi="Times New Roman" w:eastAsia="宋体" w:cs="Times New Roman"/>
                <w:sz w:val="24"/>
              </w:rPr>
              <w:t>′</w:t>
            </w:r>
            <w:r>
              <w:rPr>
                <w:rFonts w:hint="eastAsia"/>
                <w:sz w:val="24"/>
              </w:rPr>
              <w:t>38.12</w:t>
            </w:r>
            <w:r>
              <w:rPr>
                <w:sz w:val="24"/>
              </w:rPr>
              <w:t>"</w:t>
            </w:r>
            <w:r>
              <w:rPr>
                <w:rFonts w:hint="eastAsia" w:ascii="Times New Roman" w:hAnsi="Times New Roman" w:eastAsia="宋体" w:cs="Times New Roman"/>
                <w:sz w:val="24"/>
              </w:rPr>
              <w:t>。</w:t>
            </w:r>
            <w:r>
              <w:rPr>
                <w:sz w:val="24"/>
              </w:rPr>
              <w:t>项目规模为 40m</w:t>
            </w:r>
            <w:r>
              <w:rPr>
                <w:sz w:val="24"/>
                <w:vertAlign w:val="superscript"/>
              </w:rPr>
              <w:t>3</w:t>
            </w:r>
            <w:r>
              <w:rPr>
                <w:sz w:val="24"/>
              </w:rPr>
              <w:t xml:space="preserve"> 柴油储罐 1 个，50m</w:t>
            </w:r>
            <w:r>
              <w:rPr>
                <w:sz w:val="24"/>
                <w:vertAlign w:val="superscript"/>
              </w:rPr>
              <w:t xml:space="preserve">3 </w:t>
            </w:r>
            <w:r>
              <w:rPr>
                <w:sz w:val="24"/>
              </w:rPr>
              <w:t>汽油储罐 2 个(92 #汽油罐 1 个、95 #汽油罐 1 个)，30m</w:t>
            </w:r>
            <w:r>
              <w:rPr>
                <w:sz w:val="24"/>
                <w:vertAlign w:val="superscript"/>
              </w:rPr>
              <w:t xml:space="preserve">3 </w:t>
            </w:r>
            <w:r>
              <w:rPr>
                <w:sz w:val="24"/>
              </w:rPr>
              <w:t>汽油储罐 1 个（92 #汽油罐 1 个）。加油机 4 台(16 枪)。油罐总容积 150m</w:t>
            </w:r>
            <w:r>
              <w:rPr>
                <w:sz w:val="24"/>
                <w:vertAlign w:val="superscript"/>
              </w:rPr>
              <w:t>3</w:t>
            </w:r>
            <w:r>
              <w:rPr>
                <w:sz w:val="24"/>
              </w:rPr>
              <w:t xml:space="preserve"> (柴油罐容积折半 计入油罐总容积)，单罐容积小于或等于 50m</w:t>
            </w:r>
            <w:r>
              <w:rPr>
                <w:sz w:val="24"/>
                <w:vertAlign w:val="superscript"/>
              </w:rPr>
              <w:t>3</w:t>
            </w:r>
            <w:r>
              <w:rPr>
                <w:sz w:val="24"/>
              </w:rPr>
              <w:t>，根据《汽车加油加气站设计与施 工规范》(GB50156-2012)2014 版，属二级加油站。项目生活设施依托于现有服务区，不设食宿，仅设置临时休息间</w:t>
            </w:r>
            <w:r>
              <w:rPr>
                <w:rFonts w:hint="eastAsia"/>
                <w:sz w:val="24"/>
              </w:rPr>
              <w:t>，</w:t>
            </w:r>
            <w:r>
              <w:rPr>
                <w:sz w:val="24"/>
              </w:rPr>
              <w:t>项目共计投资：4450 万元。</w:t>
            </w: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项目周边无饮用水源保护区、</w:t>
            </w:r>
            <w:r>
              <w:rPr>
                <w:rFonts w:hint="eastAsia"/>
                <w:sz w:val="24"/>
              </w:rPr>
              <w:t>无</w:t>
            </w:r>
            <w:r>
              <w:rPr>
                <w:sz w:val="24"/>
              </w:rPr>
              <w:t>生态环境敏感区。项目用水、用电、路等基础设施齐全，因此，从环保的角度分析，本项目选址是合理的。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autoSpaceDE w:val="0"/>
              <w:autoSpaceDN w:val="0"/>
              <w:adjustRightInd w:val="0"/>
              <w:spacing w:line="360" w:lineRule="auto"/>
              <w:ind w:firstLine="480" w:firstLineChars="200"/>
              <w:rPr>
                <w:rFonts w:ascii="Times New Roman" w:hAnsi="Times New Roman" w:cs="Times New Roman"/>
                <w:sz w:val="24"/>
              </w:rPr>
            </w:pPr>
            <w:r>
              <w:rPr>
                <w:sz w:val="24"/>
              </w:rPr>
              <w:t xml:space="preserve">根据站场的功能，大致分为 4 个功能设施区。分别为加油区、办公区、卸油区、停车区等。 加油区布置在地块前端，面向站外道路，连接高速公路的出入口，方便加油 车辆的进出；留有满足车辆回转的回车场地；办公区布置于地块中部，位于加油棚的中间；总平面布置合理。 根据《石油与天然气工程设计防火规范》(GB20183-2015)、《汽车加油加气设计与施工规范》，本项目周围建筑物距油罐、通气管管口、加油机中最近距离为 </w:t>
            </w:r>
            <w:r>
              <w:rPr>
                <w:rFonts w:hint="eastAsia"/>
                <w:sz w:val="24"/>
              </w:rPr>
              <w:t>70</w:t>
            </w:r>
            <w:r>
              <w:rPr>
                <w:sz w:val="24"/>
              </w:rPr>
              <w:t>m，50m范围内无重要公共建筑物</w:t>
            </w:r>
            <w:r>
              <w:rPr>
                <w:rFonts w:hint="eastAsia"/>
                <w:sz w:val="24"/>
              </w:rPr>
              <w:t>，</w:t>
            </w:r>
            <w:r>
              <w:rPr>
                <w:sz w:val="24"/>
              </w:rPr>
              <w:t>符合二级加油加气站与民用建筑物防火距离的要求</w:t>
            </w:r>
            <w:r>
              <w:rPr>
                <w:rFonts w:hint="eastAsia"/>
                <w:sz w:val="24"/>
              </w:rPr>
              <w:t>。</w:t>
            </w: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项目周边</w:t>
            </w:r>
            <w:r>
              <w:rPr>
                <w:rFonts w:ascii="Times New Roman" w:hAnsi="Times New Roman" w:cs="Times New Roman"/>
                <w:sz w:val="24"/>
                <w:szCs w:val="24"/>
              </w:rPr>
              <w:t>地表水</w:t>
            </w:r>
            <w:r>
              <w:rPr>
                <w:rFonts w:hint="eastAsia" w:ascii="Times New Roman" w:hAnsi="Times New Roman" w:cs="Times New Roman"/>
                <w:sz w:val="24"/>
                <w:szCs w:val="24"/>
              </w:rPr>
              <w:t>环境</w:t>
            </w:r>
            <w:r>
              <w:rPr>
                <w:rFonts w:ascii="Times New Roman" w:hAnsi="Times New Roman" w:cs="Times New Roman"/>
                <w:sz w:val="24"/>
                <w:szCs w:val="24"/>
              </w:rPr>
              <w:t>质量可达到《地表水环境质量标准》(GB3838-2002)Ⅲ类标准</w:t>
            </w:r>
            <w:r>
              <w:rPr>
                <w:rFonts w:hint="eastAsia" w:ascii="Times New Roman" w:hAnsi="Times New Roman" w:cs="Times New Roman"/>
                <w:sz w:val="24"/>
                <w:szCs w:val="24"/>
              </w:rPr>
              <w:t>；</w:t>
            </w:r>
            <w:r>
              <w:rPr>
                <w:sz w:val="24"/>
                <w:szCs w:val="24"/>
              </w:rPr>
              <w:t>地下水环境质量 满足《地下水质量标准》 (GB/T14848-2017)III 类水质标准。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评价区域环境空气质量可达到《环境空气质量标准》(GB3095-1996)及修改单中的二级标准；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项目区域声环境质量较好，可以达到《声环境质量标准》（GB3096-2008）中的</w:t>
            </w:r>
            <w:r>
              <w:rPr>
                <w:rFonts w:hint="eastAsia" w:ascii="Times New Roman" w:hAnsi="Times New Roman" w:cs="Times New Roman"/>
                <w:sz w:val="24"/>
                <w:szCs w:val="24"/>
              </w:rPr>
              <w:t>2</w:t>
            </w:r>
            <w:r>
              <w:rPr>
                <w:rFonts w:ascii="Times New Roman" w:hAnsi="Times New Roman" w:cs="Times New Roman"/>
                <w:sz w:val="24"/>
                <w:szCs w:val="24"/>
              </w:rPr>
              <w:t>类标准</w:t>
            </w:r>
            <w:r>
              <w:rPr>
                <w:rFonts w:hint="eastAsia" w:ascii="Times New Roman" w:hAnsi="Times New Roman" w:cs="Times New Roman"/>
                <w:sz w:val="24"/>
                <w:szCs w:val="24"/>
              </w:rPr>
              <w:t>。</w:t>
            </w:r>
          </w:p>
          <w:p>
            <w:pPr>
              <w:pStyle w:val="6"/>
              <w:spacing w:line="360" w:lineRule="auto"/>
              <w:ind w:firstLine="480"/>
              <w:rPr>
                <w:rFonts w:ascii="Times New Roman" w:hAnsi="Times New Roman" w:cs="Times New Roman"/>
                <w:sz w:val="24"/>
                <w:szCs w:val="24"/>
              </w:rPr>
            </w:pPr>
            <w:r>
              <w:rPr>
                <w:rFonts w:hint="eastAsia"/>
                <w:sz w:val="24"/>
                <w:szCs w:val="24"/>
              </w:rPr>
              <w:t>（</w:t>
            </w:r>
            <w:r>
              <w:rPr>
                <w:sz w:val="24"/>
                <w:szCs w:val="24"/>
              </w:rPr>
              <w:t>4</w:t>
            </w:r>
            <w:r>
              <w:rPr>
                <w:rFonts w:hint="eastAsia"/>
                <w:sz w:val="24"/>
                <w:szCs w:val="24"/>
              </w:rPr>
              <w:t>）</w:t>
            </w:r>
            <w:r>
              <w:rPr>
                <w:sz w:val="24"/>
                <w:szCs w:val="24"/>
              </w:rPr>
              <w:t>生态环境现状：目前建设项目区域内的生态环境质量一般。</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360" w:lineRule="auto"/>
              <w:ind w:firstLine="482"/>
              <w:rPr>
                <w:sz w:val="24"/>
              </w:rPr>
            </w:pPr>
            <w:r>
              <w:rPr>
                <w:sz w:val="24"/>
              </w:rPr>
              <w:t>(1)废水：施工废水经沉砂池收集回用，施工人员生活污水利用该停车区现有卫生服务设施，对环境的影响较小。</w:t>
            </w:r>
          </w:p>
          <w:p>
            <w:pPr>
              <w:spacing w:line="360" w:lineRule="auto"/>
              <w:ind w:firstLine="482"/>
              <w:rPr>
                <w:sz w:val="24"/>
              </w:rPr>
            </w:pPr>
            <w:r>
              <w:rPr>
                <w:sz w:val="24"/>
              </w:rPr>
              <w:t xml:space="preserve"> (2)废气：施工期勤洒水保持施工作业面具有一定的湿度，严禁高空抛物， 做到轻拿轻放，严禁将粉状物料露天堆放，降低风力作用产生扬尘造成二次污染； 装修废气在装修时选用使用环保漆，保持室内通风等，可以降低施工期废气对环 境的影响。</w:t>
            </w:r>
          </w:p>
          <w:p>
            <w:pPr>
              <w:spacing w:line="360" w:lineRule="auto"/>
              <w:ind w:firstLine="482"/>
              <w:rPr>
                <w:sz w:val="24"/>
              </w:rPr>
            </w:pPr>
            <w:r>
              <w:rPr>
                <w:sz w:val="24"/>
              </w:rPr>
              <w:t xml:space="preserve"> (3)噪声：通过选用低噪声设备，合理安排施工时间段，加强管理，减少人 为噪声，对运输车辆采取限速限载，禁止鸣笛等措施，噪声对环境的影响较小。 </w:t>
            </w:r>
          </w:p>
          <w:p>
            <w:pPr>
              <w:spacing w:line="360" w:lineRule="auto"/>
              <w:ind w:firstLine="482"/>
              <w:rPr>
                <w:rFonts w:ascii="Times New Roman" w:hAnsi="Times New Roman" w:cs="Times New Roman"/>
                <w:sz w:val="24"/>
              </w:rPr>
            </w:pPr>
            <w:r>
              <w:rPr>
                <w:sz w:val="24"/>
              </w:rPr>
              <w:t>(4)固体废物：产生的建筑垃圾分类收集，不能回收利用的运至政府制定堆 场；生活垃圾经收集后交由环卫部门统一清运处理；装修期间产生废油漆桶、废 涂料桶等，经过收集后交由厂家回收利用或有资质的单位处理。</w:t>
            </w:r>
          </w:p>
          <w:p>
            <w:pPr>
              <w:spacing w:line="360" w:lineRule="auto"/>
              <w:ind w:firstLine="482"/>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sz w:val="24"/>
              </w:rPr>
            </w:pPr>
            <w:r>
              <w:rPr>
                <w:rFonts w:hint="eastAsia" w:ascii="Times New Roman" w:hAnsi="Times New Roman" w:cs="Times New Roman"/>
                <w:b/>
                <w:sz w:val="24"/>
              </w:rPr>
              <w:t>7、营运期环境影响及防治措施</w:t>
            </w:r>
          </w:p>
          <w:p>
            <w:pPr>
              <w:spacing w:line="348" w:lineRule="auto"/>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(1)废水：项目采取雨污分流制。场地冲洗水经隔油池预处理与其他生活污 水一并进入三级生化池处理达《污水综合排放标准标准》(GB8978-1996)中三级 标准后，排到三都水族自治县三荔高速三洞服务</w:t>
            </w:r>
            <w:r>
              <w:rPr>
                <w:rFonts w:hint="eastAsia"/>
                <w:sz w:val="24"/>
              </w:rPr>
              <w:t>西</w:t>
            </w:r>
            <w:r>
              <w:rPr>
                <w:sz w:val="24"/>
              </w:rPr>
              <w:t>区污水处理站处理达到《城镇 污水处理厂污染物排放标准》(GB18918-2002)一级 B 标准后，回用于绿化或农灌， 不外排。 项目地下水采取分区防治措施后对地下水基本无影响。</w:t>
            </w:r>
          </w:p>
          <w:p>
            <w:pPr>
              <w:spacing w:line="348" w:lineRule="auto"/>
              <w:rPr>
                <w:sz w:val="24"/>
              </w:rPr>
            </w:pPr>
            <w:r>
              <w:rPr>
                <w:sz w:val="24"/>
              </w:rPr>
              <w:t xml:space="preserve">     (2)废气：项目设置油气回收装置，非甲烷总烃排放量较小，无组织排放监 控浓度限值周接外最高浓度点：非甲烷总烃≤4.0mg/m</w:t>
            </w:r>
            <w:r>
              <w:rPr>
                <w:sz w:val="24"/>
                <w:vertAlign w:val="superscript"/>
              </w:rPr>
              <w:t>3</w:t>
            </w:r>
            <w:r>
              <w:rPr>
                <w:sz w:val="24"/>
              </w:rPr>
              <w:t xml:space="preserve">。项目可不设置大气环境防护距离，卫生防护距离为 50m，加油车辆、备用发电机废气对环境的影响较小。 </w:t>
            </w:r>
          </w:p>
          <w:p>
            <w:pPr>
              <w:spacing w:line="348" w:lineRule="auto"/>
              <w:ind w:firstLine="480" w:firstLineChars="200"/>
              <w:rPr>
                <w:sz w:val="24"/>
              </w:rPr>
            </w:pPr>
            <w:r>
              <w:rPr>
                <w:sz w:val="24"/>
              </w:rPr>
              <w:t xml:space="preserve">(3)噪声：所有设备安装厂房内，对产噪设备首先选用低噪声设备，采取封闭厂房、减震、隔声、消声、绿化、距离衰减措施降低对周边环境影响；对进出 车辆进行限速，禁止鸣笛等措施后，噪声对环境的影响可接受。 </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项目存在的环境风险主要是加油站可能发生的泄漏、爆炸、火灾等，主要起因是管线及储油罐缺陷、焊缝开裂、基础工程不合格、管道腐蚀、违规操作、自然灾害等。如上述事故发生，则会破坏建筑物、危及人身安全、污染周围环境等后果。因此必须在实施过程中加强环境风险管理，落实报告表中提出的风险防范措施，杜绝环境风险事故的发生。</w:t>
            </w: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综上所述，</w:t>
            </w:r>
            <w:r>
              <w:rPr>
                <w:sz w:val="24"/>
              </w:rPr>
              <w:t>中海油贵州销售有限公司三都三荔 高速三洞</w:t>
            </w:r>
            <w:r>
              <w:rPr>
                <w:rFonts w:hint="eastAsia"/>
                <w:sz w:val="24"/>
              </w:rPr>
              <w:t>西</w:t>
            </w:r>
            <w:r>
              <w:rPr>
                <w:sz w:val="24"/>
              </w:rPr>
              <w:t>加油站建设项目建设符合当地城镇建设总体规划及相关产业政策。项目在建设及生产过程中产生一定程度的污水、废气、噪声及固体废物的污染，在建设单位严格要求按照本报告表提出的各项规定，切实落实各项污染防治措施后，项目对周围环境的影响可以控制在国家有关标准和要求的允许范围内。从环保的角度分析，本项目建设可行。</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1）对油气的运输贮存、输送设备应加强管理与维护，杜绝出现各有关设备跑、冒、漏现象和人为导致的安全事故。对可能产生泄漏的贮油设备，应加建防泄漏设施和油品收集设施，在万一发生泄漏的情况下，不致油品向外排放造成环境污染事故。事故发生后必须及时通知安全、消防、环保部门，共同防止安全和污染事故事态的扩大。</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（2）加油区和油气贮存区禁止明火、禁止使用易产生火花的设备与工具，所有照明、通风、空调等设施及其它用电设施均采用防爆型装置。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（3）定期对操作人员进行安全生产与知识培训，并制定严格的操作规程，切实加强油气贮存、输送生产过程中的安全控制，保证生产安全、防止意外事故发生。</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（4）在营运期，项目应设置卸油及加油油气回收系统，以减少非甲烷总烃排放量。</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（5）加强环保治理设施的管理，确保设施的处理效果与运行率不低于设计标准。</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（6）对储油系统及管道定期进行检查和维护，定期检查加油机内各油管、油泵及流量计是否有渗漏情况发生，并在火灾危险场所设置报警装置。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（7）建设项目按要求落实消防措施，保证消防道路基消防水源的贮备，并按照《建筑灭火器配置设计规范》（GBJ140-90）的规定，配置相应类型与数量的灭火器。</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（8）严格落实油罐、加油机的位置与周边建筑物的距离，确保达到《汽车加油加气站设计与施工规范》（GB50156－2012）的要求。加油站正式运行前必须通过安全、消防等部门的验收。</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9）按照油品质量管理要求，必须在规定的时间内委托专业清罐废水处理公司对油罐进行清罐，对清罐清出的油水混合物进行沉淀回收，对无法回收的合格油品及沉淀物，必需统一放置到规定的容器内妥善保管，然后交由具有危险废物处置资质的单位进行处置。</w:t>
            </w:r>
          </w:p>
          <w:p>
            <w:pPr>
              <w:ind w:firstLine="480" w:firstLineChars="200"/>
              <w:rPr>
                <w:sz w:val="24"/>
              </w:rPr>
            </w:pPr>
          </w:p>
          <w:p>
            <w:pPr>
              <w:ind w:firstLine="480" w:firstLineChars="200"/>
              <w:rPr>
                <w:sz w:val="24"/>
              </w:rPr>
            </w:pPr>
            <w:r>
              <w:rPr>
                <w:rFonts w:hint="eastAsia"/>
                <w:sz w:val="24"/>
              </w:rPr>
              <w:t>（10）</w:t>
            </w:r>
            <w:r>
              <w:rPr>
                <w:sz w:val="24"/>
              </w:rPr>
              <w:t>加强管理，从源头抓起，确保环保设施正常运行确保 各污染物达标排放。</w:t>
            </w:r>
          </w:p>
          <w:p>
            <w:pPr>
              <w:rPr>
                <w:sz w:val="24"/>
              </w:rPr>
            </w:pPr>
            <w:r>
              <w:rPr>
                <w:sz w:val="24"/>
              </w:rPr>
              <w:t xml:space="preserve">    </w:t>
            </w:r>
          </w:p>
          <w:p>
            <w:pPr>
              <w:ind w:firstLine="480" w:firstLineChars="200"/>
              <w:rPr>
                <w:sz w:val="24"/>
              </w:rPr>
            </w:pPr>
            <w:r>
              <w:rPr>
                <w:rFonts w:hint="eastAsia"/>
                <w:sz w:val="24"/>
              </w:rPr>
              <w:t>（11）</w:t>
            </w:r>
            <w:r>
              <w:rPr>
                <w:sz w:val="24"/>
              </w:rPr>
              <w:t>重视和加强对企业内部环境保护工作的督导，把各项规章制度和环保考 核</w:t>
            </w:r>
          </w:p>
          <w:p>
            <w:pPr>
              <w:ind w:firstLine="480" w:firstLineChars="200"/>
              <w:rPr>
                <w:sz w:val="24"/>
              </w:rPr>
            </w:pPr>
          </w:p>
          <w:p>
            <w:pPr>
              <w:rPr>
                <w:rFonts w:ascii="Times New Roman" w:hAnsi="Times New Roman" w:cs="Times New Roman"/>
                <w:b/>
                <w:bCs/>
                <w:sz w:val="24"/>
              </w:rPr>
            </w:pPr>
            <w:r>
              <w:rPr>
                <w:sz w:val="24"/>
              </w:rPr>
              <w:t>定量指标落到实处，落实好运营期的各项污染防治措施，确保污染物达标排放</w:t>
            </w:r>
            <w:r>
              <w:rPr>
                <w:rFonts w:hint="eastAsia"/>
                <w:sz w:val="24"/>
              </w:rPr>
              <w:t>。</w:t>
            </w:r>
          </w:p>
          <w:p>
            <w:pPr>
              <w:rPr>
                <w:rFonts w:ascii="Times New Roman" w:hAnsi="Times New Roman" w:cs="Times New Roman"/>
                <w:b/>
                <w:bCs/>
                <w:sz w:val="24"/>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rPr>
                <w:rFonts w:ascii="Times New Roman" w:hAnsi="Times New Roman" w:eastAsia="宋体" w:cs="Times New Roman"/>
                <w:b/>
                <w:bCs/>
                <w:sz w:val="28"/>
                <w:szCs w:val="28"/>
              </w:rPr>
              <w:drawing>
                <wp:anchor distT="0" distB="0" distL="114300" distR="114300" simplePos="0" relativeHeight="251648000" behindDoc="0" locked="0" layoutInCell="1" allowOverlap="1">
                  <wp:simplePos x="0" y="0"/>
                  <wp:positionH relativeFrom="column">
                    <wp:posOffset>-1284605</wp:posOffset>
                  </wp:positionH>
                  <wp:positionV relativeFrom="paragraph">
                    <wp:posOffset>408940</wp:posOffset>
                  </wp:positionV>
                  <wp:extent cx="5432425" cy="767905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32400" cy="7678800"/>
                          </a:xfrm>
                          <a:prstGeom prst="rect">
                            <a:avLst/>
                          </a:prstGeom>
                          <a:noFill/>
                        </pic:spPr>
                      </pic:pic>
                    </a:graphicData>
                  </a:graphic>
                </wp:anchor>
              </w:drawing>
            </w:r>
            <w:r>
              <w:rPr>
                <w:rFonts w:hint="eastAsia" w:ascii="Times New Roman" w:hAnsi="Times New Roman" w:cs="Times New Roman"/>
                <w:b/>
                <w:sz w:val="24"/>
              </w:rPr>
              <w:t>环境保护部门审查意见</w:t>
            </w:r>
            <w:r>
              <w:rPr>
                <w:rFonts w:ascii="Times New Roman" w:hAnsi="Times New Roman" w:cs="Times New Roman"/>
                <w:b/>
                <w:sz w:val="24"/>
              </w:rPr>
              <w:t>：</w:t>
            </w:r>
          </w:p>
          <w:p>
            <w:pPr>
              <w:pStyle w:val="19"/>
              <w:ind w:firstLine="480"/>
              <w:jc w:val="both"/>
            </w:pPr>
          </w:p>
          <w:p>
            <w:pPr>
              <w:pStyle w:val="19"/>
              <w:ind w:firstLine="0" w:firstLineChars="0"/>
              <w:jc w:val="both"/>
            </w:pPr>
          </w:p>
          <w:p>
            <w:pPr>
              <w:pStyle w:val="19"/>
              <w:ind w:firstLine="480"/>
              <w:jc w:val="both"/>
            </w:pPr>
          </w:p>
          <w:p>
            <w:pPr>
              <w:pStyle w:val="19"/>
              <w:ind w:firstLine="480"/>
              <w:jc w:val="both"/>
            </w:pPr>
            <w:r>
              <w:rPr>
                <w:rFonts w:ascii="宋体" w:hAnsi="宋体" w:cs="宋体"/>
                <w:szCs w:val="24"/>
              </w:rPr>
              <w:drawing>
                <wp:anchor distT="0" distB="0" distL="114300" distR="114300" simplePos="0" relativeHeight="251651072" behindDoc="1" locked="0" layoutInCell="1" allowOverlap="1">
                  <wp:simplePos x="0" y="0"/>
                  <wp:positionH relativeFrom="page">
                    <wp:posOffset>-298450</wp:posOffset>
                  </wp:positionH>
                  <wp:positionV relativeFrom="page">
                    <wp:posOffset>-157480</wp:posOffset>
                  </wp:positionV>
                  <wp:extent cx="5760720" cy="814387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720" cy="8143875"/>
                          </a:xfrm>
                          <a:prstGeom prst="rect">
                            <a:avLst/>
                          </a:prstGeom>
                          <a:noFill/>
                        </pic:spPr>
                      </pic:pic>
                    </a:graphicData>
                  </a:graphic>
                </wp:anchor>
              </w:drawing>
            </w: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rPr>
                <w:color w:val="FF0000"/>
              </w:rPr>
            </w:pPr>
          </w:p>
          <w:p>
            <w:pPr>
              <w:pStyle w:val="19"/>
              <w:ind w:firstLine="480"/>
              <w:jc w:val="both"/>
              <w:rPr>
                <w:color w:val="FF0000"/>
              </w:rPr>
            </w:pPr>
          </w:p>
          <w:p>
            <w:pPr>
              <w:pStyle w:val="19"/>
              <w:ind w:firstLine="480"/>
              <w:jc w:val="both"/>
              <w:rPr>
                <w:color w:val="FF0000"/>
              </w:rPr>
            </w:pPr>
          </w:p>
          <w:p>
            <w:pPr>
              <w:pStyle w:val="19"/>
              <w:ind w:firstLine="480"/>
              <w:jc w:val="both"/>
              <w:rPr>
                <w:color w:val="FF0000"/>
              </w:rPr>
            </w:pPr>
          </w:p>
          <w:p>
            <w:pPr>
              <w:pStyle w:val="19"/>
              <w:ind w:firstLine="480"/>
              <w:jc w:val="both"/>
              <w:rPr>
                <w:color w:val="FF0000"/>
              </w:rPr>
            </w:pPr>
          </w:p>
          <w:p>
            <w:pPr>
              <w:pStyle w:val="19"/>
              <w:ind w:firstLine="480"/>
              <w:jc w:val="both"/>
              <w:rPr>
                <w:color w:val="FF0000"/>
              </w:rPr>
            </w:pPr>
          </w:p>
          <w:p>
            <w:pPr>
              <w:pStyle w:val="19"/>
              <w:ind w:firstLine="480"/>
              <w:jc w:val="both"/>
              <w:rPr>
                <w:color w:val="FF0000"/>
              </w:rPr>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0" w:firstLineChars="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r>
              <w:rPr>
                <w:rFonts w:ascii="宋体" w:hAnsi="宋体" w:cs="宋体"/>
                <w:szCs w:val="24"/>
              </w:rPr>
              <w:drawing>
                <wp:anchor distT="0" distB="0" distL="114300" distR="114300" simplePos="0" relativeHeight="251653120" behindDoc="1" locked="0" layoutInCell="1" allowOverlap="1">
                  <wp:simplePos x="0" y="0"/>
                  <wp:positionH relativeFrom="page">
                    <wp:posOffset>-298450</wp:posOffset>
                  </wp:positionH>
                  <wp:positionV relativeFrom="page">
                    <wp:posOffset>-157480</wp:posOffset>
                  </wp:positionV>
                  <wp:extent cx="5760720" cy="814387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0720" cy="8143875"/>
                          </a:xfrm>
                          <a:prstGeom prst="rect">
                            <a:avLst/>
                          </a:prstGeom>
                          <a:noFill/>
                        </pic:spPr>
                      </pic:pic>
                    </a:graphicData>
                  </a:graphic>
                </wp:anchor>
              </w:drawing>
            </w: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r>
              <w:rPr>
                <w:rFonts w:ascii="宋体" w:hAnsi="宋体" w:cs="宋体"/>
                <w:szCs w:val="24"/>
              </w:rPr>
              <w:drawing>
                <wp:anchor distT="0" distB="0" distL="114300" distR="114300" simplePos="0" relativeHeight="251655168" behindDoc="1" locked="0" layoutInCell="1" allowOverlap="1">
                  <wp:simplePos x="0" y="0"/>
                  <wp:positionH relativeFrom="page">
                    <wp:posOffset>-298450</wp:posOffset>
                  </wp:positionH>
                  <wp:positionV relativeFrom="page">
                    <wp:posOffset>-157480</wp:posOffset>
                  </wp:positionV>
                  <wp:extent cx="5760720" cy="814387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0720" cy="8143875"/>
                          </a:xfrm>
                          <a:prstGeom prst="rect">
                            <a:avLst/>
                          </a:prstGeom>
                          <a:noFill/>
                        </pic:spPr>
                      </pic:pic>
                    </a:graphicData>
                  </a:graphic>
                </wp:anchor>
              </w:drawing>
            </w: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p>
          <w:p>
            <w:pPr>
              <w:pStyle w:val="19"/>
              <w:ind w:firstLine="0" w:firstLineChars="0"/>
              <w:jc w:val="both"/>
            </w:pPr>
            <w:r>
              <w:drawing>
                <wp:anchor distT="0" distB="0" distL="114300" distR="114300" simplePos="0" relativeHeight="251649024" behindDoc="0" locked="0" layoutInCell="1" allowOverlap="1">
                  <wp:simplePos x="0" y="0"/>
                  <wp:positionH relativeFrom="column">
                    <wp:posOffset>-24765</wp:posOffset>
                  </wp:positionH>
                  <wp:positionV relativeFrom="paragraph">
                    <wp:posOffset>127000</wp:posOffset>
                  </wp:positionV>
                  <wp:extent cx="5373370" cy="7620000"/>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extLst>
                              <a:ext uri="{28A0092B-C50C-407E-A947-70E740481C1C}">
                                <a14:useLocalDpi xmlns:a14="http://schemas.microsoft.com/office/drawing/2010/main" val="0"/>
                              </a:ext>
                            </a:extLst>
                          </a:blip>
                          <a:srcRect l="35417" t="13275" r="36130" b="14995"/>
                          <a:stretch>
                            <a:fillRect/>
                          </a:stretch>
                        </pic:blipFill>
                        <pic:spPr>
                          <a:xfrm>
                            <a:off x="0" y="0"/>
                            <a:ext cx="5373370" cy="7620000"/>
                          </a:xfrm>
                          <a:prstGeom prst="rect">
                            <a:avLst/>
                          </a:prstGeom>
                          <a:ln>
                            <a:noFill/>
                          </a:ln>
                        </pic:spPr>
                      </pic:pic>
                    </a:graphicData>
                  </a:graphic>
                </wp:anchor>
              </w:drawing>
            </w:r>
            <w:r>
              <w:br w:type="textWrapping"/>
            </w:r>
          </w:p>
        </w:tc>
      </w:tr>
    </w:tbl>
    <w:p>
      <w:pPr>
        <w:pageBreakBefore/>
        <w:spacing w:line="360" w:lineRule="auto"/>
        <w:outlineLvl w:val="0"/>
        <w:rPr>
          <w:rFonts w:ascii="Times New Roman" w:hAnsi="Times New Roman" w:eastAsia="宋体" w:cs="Times New Roman"/>
          <w:b/>
          <w:sz w:val="28"/>
          <w:szCs w:val="28"/>
        </w:rPr>
      </w:pPr>
      <w:bookmarkStart w:id="15" w:name="_Toc22230"/>
      <w:r>
        <w:rPr>
          <w:rFonts w:ascii="Times New Roman" w:hAnsi="Times New Roman" w:cs="Times New Roman"/>
          <w:b/>
          <w:sz w:val="28"/>
          <w:szCs w:val="28"/>
        </w:rPr>
        <w:t>表四  验收监测标准</w:t>
      </w:r>
      <w:bookmarkEnd w:id="15"/>
    </w:p>
    <w:tbl>
      <w:tblPr>
        <w:tblStyle w:val="1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6"/>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w:t>
                  </w:r>
                  <w:r>
                    <w:rPr>
                      <w:rFonts w:ascii="Times New Roman" w:hAnsi="Times New Roman" w:cs="Times New Roman"/>
                      <w:bCs/>
                      <w:szCs w:val="21"/>
                    </w:rPr>
                    <w:t>类</w:t>
                  </w:r>
                  <w:r>
                    <w:rPr>
                      <w:rFonts w:hint="eastAsia" w:ascii="Times New Roman" w:hAnsi="Times New Roman" w:cs="Times New Roman"/>
                      <w:bCs/>
                      <w:szCs w:val="21"/>
                    </w:rPr>
                    <w:t>及4a类</w:t>
                  </w:r>
                  <w:r>
                    <w:rPr>
                      <w:rFonts w:ascii="Times New Roman" w:hAnsi="Times New Roman" w:cs="Times New Roman"/>
                      <w:bCs/>
                      <w:szCs w:val="21"/>
                    </w:rPr>
                    <w:t>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《污水综合排放标准》</w:t>
                  </w:r>
                  <w:r>
                    <w:rPr>
                      <w:rFonts w:hint="eastAsia"/>
                    </w:rPr>
                    <w:t xml:space="preserve"> </w:t>
                  </w:r>
                  <w:r>
                    <w:t>(GB8978-1996) 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w:t>
                  </w:r>
                  <w:r>
                    <w:rPr>
                      <w:rFonts w:ascii="Times New Roman" w:hAnsi="Times New Roman" w:cs="Times New Roman"/>
                      <w:bCs/>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6" w:name="_Toc22536"/>
      <w:bookmarkStart w:id="17" w:name="_Toc26604"/>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6"/>
      <w:bookmarkEnd w:id="17"/>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8" w:name="_Toc3687"/>
            <w:r>
              <w:rPr>
                <w:rFonts w:ascii="Times New Roman" w:hAnsi="Times New Roman" w:cs="Times New Roman"/>
                <w:b/>
                <w:sz w:val="28"/>
                <w:szCs w:val="28"/>
              </w:rPr>
              <w:t>5.1</w:t>
            </w:r>
            <w:bookmarkStart w:id="19" w:name="_Toc346805210"/>
            <w:bookmarkStart w:id="20" w:name="_Toc352244157"/>
            <w:bookmarkStart w:id="21" w:name="_Toc338171815"/>
            <w:bookmarkStart w:id="22" w:name="_Toc338170898"/>
            <w:r>
              <w:rPr>
                <w:rFonts w:ascii="Times New Roman" w:hAnsi="Times New Roman" w:eastAsia="宋体" w:cs="Times New Roman"/>
                <w:b/>
                <w:bCs/>
                <w:sz w:val="28"/>
                <w:szCs w:val="28"/>
              </w:rPr>
              <w:t>监测质量保证</w:t>
            </w:r>
            <w:bookmarkEnd w:id="19"/>
            <w:bookmarkEnd w:id="20"/>
            <w:bookmarkEnd w:id="21"/>
            <w:bookmarkEnd w:id="22"/>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保证数据的合理、有效</w:t>
            </w:r>
            <w:r>
              <w:rPr>
                <w:rFonts w:ascii="Times New Roman" w:hAnsi="Times New Roman" w:eastAsia="宋体" w:cs="Times New Roman"/>
                <w:sz w:val="24"/>
              </w:rPr>
              <w:t>。</w:t>
            </w:r>
            <w:bookmarkEnd w:id="18"/>
          </w:p>
        </w:tc>
      </w:tr>
    </w:tbl>
    <w:p>
      <w:pPr>
        <w:rPr>
          <w:rFonts w:ascii="Times New Roman" w:hAnsi="Times New Roman" w:cs="Times New Roman"/>
        </w:rPr>
      </w:pPr>
    </w:p>
    <w:p>
      <w:pPr>
        <w:pStyle w:val="2"/>
        <w:rPr>
          <w:rFonts w:ascii="Times New Roman" w:hAnsi="Times New Roman"/>
        </w:rPr>
      </w:pPr>
      <w:bookmarkStart w:id="23" w:name="_Toc8246"/>
      <w:bookmarkStart w:id="24" w:name="_Toc10699"/>
      <w:r>
        <w:rPr>
          <w:rFonts w:ascii="Times New Roman" w:hAnsi="Times New Roman"/>
        </w:rPr>
        <w:t>表六  验收监测内容</w:t>
      </w:r>
      <w:bookmarkEnd w:id="23"/>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pStyle w:val="3"/>
              <w:outlineLvl w:val="1"/>
              <w:rPr>
                <w:rFonts w:ascii="Times New Roman" w:hAnsi="Times New Roman" w:eastAsia="宋体"/>
              </w:rPr>
            </w:pPr>
            <w:bookmarkStart w:id="25" w:name="_Toc23272"/>
            <w:bookmarkStart w:id="26" w:name="_Toc9364"/>
            <w:bookmarkStart w:id="27" w:name="_Toc29098"/>
            <w:bookmarkStart w:id="28" w:name="_Toc32648"/>
            <w:bookmarkStart w:id="29" w:name="_Toc32652"/>
            <w:bookmarkStart w:id="30" w:name="_Toc7635"/>
            <w:bookmarkStart w:id="31" w:name="_Toc8191"/>
            <w:bookmarkStart w:id="32" w:name="_Toc3050"/>
            <w:bookmarkStart w:id="33" w:name="_Toc20884"/>
            <w:bookmarkStart w:id="34" w:name="_Toc1076"/>
            <w:bookmarkStart w:id="35" w:name="_Toc6960"/>
            <w:bookmarkStart w:id="36" w:name="_Toc12471"/>
            <w:r>
              <w:rPr>
                <w:rFonts w:ascii="Times New Roman" w:hAnsi="Times New Roman"/>
              </w:rPr>
              <w:t>6</w:t>
            </w:r>
            <w:r>
              <w:rPr>
                <w:rFonts w:ascii="Times New Roman" w:hAnsi="Times New Roman" w:eastAsia="宋体"/>
              </w:rPr>
              <w:t>.1 环境保护设施调试效果</w:t>
            </w:r>
            <w:bookmarkEnd w:id="25"/>
            <w:bookmarkEnd w:id="26"/>
            <w:bookmarkEnd w:id="27"/>
            <w:bookmarkEnd w:id="28"/>
            <w:bookmarkEnd w:id="29"/>
            <w:bookmarkEnd w:id="30"/>
            <w:bookmarkEnd w:id="31"/>
            <w:bookmarkEnd w:id="32"/>
            <w:bookmarkEnd w:id="33"/>
            <w:bookmarkEnd w:id="34"/>
            <w:bookmarkEnd w:id="35"/>
            <w:bookmarkEnd w:id="36"/>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通过对各类污染物达标排放及各类污染治理设施去除效率的监测，来说明环境保护设施调试效果，具体监测内容如下：</w:t>
            </w:r>
          </w:p>
          <w:p>
            <w:pPr>
              <w:spacing w:line="360" w:lineRule="auto"/>
              <w:rPr>
                <w:rFonts w:ascii="Times New Roman" w:hAnsi="Times New Roman" w:cs="Times New Roman"/>
                <w:b/>
                <w:bCs/>
                <w:sz w:val="24"/>
              </w:rPr>
            </w:pPr>
            <w:bookmarkStart w:id="37" w:name="_Toc21542"/>
            <w:bookmarkStart w:id="38" w:name="_Toc9704"/>
            <w:bookmarkStart w:id="39" w:name="_Toc23731"/>
            <w:bookmarkStart w:id="40"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19"/>
              <w:ind w:firstLine="480"/>
              <w:jc w:val="both"/>
            </w:pPr>
            <w:r>
              <w:rPr>
                <w:rFonts w:hint="eastAsia"/>
              </w:rPr>
              <w:t xml:space="preserve"> 本次废水监测在废水处理设施进出口各设一个监测点，监测项目见表6-1；</w:t>
            </w:r>
          </w:p>
          <w:p>
            <w:pPr>
              <w:pStyle w:val="19"/>
              <w:ind w:firstLine="480"/>
              <w:jc w:val="both"/>
            </w:pPr>
            <w:r>
              <w:rPr>
                <w:rFonts w:hint="eastAsia"/>
              </w:rPr>
              <w:t xml:space="preserve"> </w:t>
            </w:r>
            <w:r>
              <w:t xml:space="preserve">                </w:t>
            </w:r>
            <w:r>
              <w:rPr>
                <w:rFonts w:hint="eastAsia"/>
              </w:rPr>
              <w:t>表6-1废水监测点位和监测项目</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left"/>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污水处理设施进口</w:t>
                  </w:r>
                </w:p>
              </w:tc>
              <w:tc>
                <w:tcPr>
                  <w:tcW w:w="2758" w:type="dxa"/>
                  <w:vMerge w:val="restart"/>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 xml:space="preserve">PH </w:t>
                  </w:r>
                  <w:r>
                    <w:rPr>
                      <w:rFonts w:hint="eastAsia" w:ascii="Times New Roman" w:hAnsi="Times New Roman" w:eastAsia="宋体" w:cs="Times New Roman"/>
                      <w:szCs w:val="21"/>
                    </w:rPr>
                    <w:t>、</w:t>
                  </w:r>
                  <w:r>
                    <w:rPr>
                      <w:rFonts w:ascii="Times New Roman" w:hAnsi="Times New Roman" w:eastAsia="宋体" w:cs="Times New Roman"/>
                      <w:szCs w:val="21"/>
                    </w:rPr>
                    <w:t>SS</w:t>
                  </w:r>
                  <w:r>
                    <w:rPr>
                      <w:rFonts w:hint="eastAsia" w:ascii="Times New Roman" w:hAnsi="Times New Roman" w:eastAsia="宋体" w:cs="Times New Roman"/>
                      <w:szCs w:val="21"/>
                    </w:rPr>
                    <w:t>、</w:t>
                  </w:r>
                  <w:r>
                    <w:rPr>
                      <w:rFonts w:ascii="Times New Roman" w:hAnsi="Times New Roman" w:eastAsia="宋体" w:cs="Times New Roman"/>
                      <w:szCs w:val="21"/>
                    </w:rPr>
                    <w:t>COD</w:t>
                  </w:r>
                  <w:r>
                    <w:rPr>
                      <w:rFonts w:hint="eastAsia" w:ascii="Times New Roman" w:hAnsi="Times New Roman" w:eastAsia="宋体" w:cs="Times New Roman"/>
                      <w:szCs w:val="21"/>
                    </w:rPr>
                    <w:t>cr、</w:t>
                  </w:r>
                  <w:r>
                    <w:rPr>
                      <w:rFonts w:ascii="Times New Roman" w:hAnsi="Times New Roman" w:eastAsia="宋体" w:cs="Times New Roman"/>
                      <w:szCs w:val="21"/>
                    </w:rPr>
                    <w:t>BOD</w:t>
                  </w:r>
                  <w:r>
                    <w:rPr>
                      <w:rFonts w:hint="eastAsia" w:ascii="Times New Roman" w:hAnsi="Times New Roman" w:eastAsia="宋体" w:cs="Times New Roman"/>
                      <w:szCs w:val="21"/>
                    </w:rPr>
                    <w:t>、氨氮、石油、动植物油</w:t>
                  </w:r>
                </w:p>
              </w:tc>
              <w:tc>
                <w:tcPr>
                  <w:tcW w:w="2448"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监测两天，每天4次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污水处理设施出口</w:t>
                  </w:r>
                </w:p>
              </w:tc>
              <w:tc>
                <w:tcPr>
                  <w:tcW w:w="275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448"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19"/>
              <w:ind w:firstLine="480"/>
              <w:jc w:val="both"/>
            </w:pPr>
            <w:r>
              <w:rPr>
                <w:rFonts w:hint="eastAsia"/>
              </w:rPr>
              <w:t>2、废水监测分析方法</w:t>
            </w:r>
          </w:p>
          <w:p>
            <w:pPr>
              <w:pStyle w:val="19"/>
              <w:ind w:firstLine="480"/>
              <w:jc w:val="both"/>
            </w:pPr>
            <w:r>
              <w:rPr>
                <w:rFonts w:hint="eastAsia"/>
              </w:rPr>
              <w:t>废水监测分析方法见表6-2</w:t>
            </w:r>
          </w:p>
          <w:p>
            <w:pPr>
              <w:pStyle w:val="19"/>
              <w:ind w:firstLine="480"/>
              <w:jc w:val="both"/>
            </w:pPr>
            <w:r>
              <w:rPr>
                <w:rFonts w:hint="eastAsia"/>
              </w:rPr>
              <w:t xml:space="preserve"> </w:t>
            </w:r>
            <w:r>
              <w:t xml:space="preserve">                </w:t>
            </w:r>
            <w:r>
              <w:rPr>
                <w:rFonts w:hint="eastAsia"/>
              </w:rPr>
              <w:t>表6-2废水监测分析方法</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402"/>
              <w:gridCol w:w="2268"/>
              <w:gridCol w:w="2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
                      <w:szCs w:val="21"/>
                    </w:rPr>
                  </w:pPr>
                  <w:r>
                    <w:rPr>
                      <w:rFonts w:hint="eastAsia" w:ascii="Times New Roman" w:hAnsi="Times New Roman" w:eastAsia="宋体" w:cs="Times New Roman"/>
                      <w:b/>
                      <w:szCs w:val="21"/>
                    </w:rPr>
                    <w:t>项目</w:t>
                  </w:r>
                </w:p>
              </w:tc>
              <w:tc>
                <w:tcPr>
                  <w:tcW w:w="3402"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方法依据</w:t>
                  </w:r>
                </w:p>
              </w:tc>
              <w:tc>
                <w:tcPr>
                  <w:tcW w:w="2268"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设备</w:t>
                  </w:r>
                </w:p>
              </w:tc>
              <w:tc>
                <w:tcPr>
                  <w:tcW w:w="2254"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p</w:t>
                  </w:r>
                  <w:r>
                    <w:rPr>
                      <w:rFonts w:ascii="Times New Roman" w:hAnsi="Times New Roman" w:eastAsia="宋体" w:cs="Times New Roman"/>
                      <w:bCs/>
                      <w:szCs w:val="21"/>
                    </w:rPr>
                    <w:t>H</w:t>
                  </w:r>
                </w:p>
              </w:tc>
              <w:tc>
                <w:tcPr>
                  <w:tcW w:w="3402" w:type="dxa"/>
                  <w:tcBorders>
                    <w:tl2br w:val="nil"/>
                    <w:tr2bl w:val="nil"/>
                  </w:tcBorders>
                  <w:vAlign w:val="center"/>
                </w:tcPr>
                <w:p>
                  <w:pPr>
                    <w:ind w:left="630" w:hanging="630" w:hangingChars="300"/>
                    <w:rPr>
                      <w:rFonts w:ascii="Times New Roman" w:hAnsi="Times New Roman" w:eastAsia="宋体" w:cs="Times New Roman"/>
                      <w:bCs/>
                      <w:szCs w:val="21"/>
                    </w:rPr>
                  </w:pPr>
                </w:p>
              </w:tc>
              <w:tc>
                <w:tcPr>
                  <w:tcW w:w="2268" w:type="dxa"/>
                  <w:tcBorders>
                    <w:tl2br w:val="nil"/>
                    <w:tr2bl w:val="nil"/>
                  </w:tcBorders>
                  <w:vAlign w:val="center"/>
                </w:tcPr>
                <w:p>
                  <w:pPr>
                    <w:ind w:firstLine="480"/>
                    <w:jc w:val="center"/>
                    <w:rPr>
                      <w:rFonts w:ascii="Times New Roman" w:hAnsi="Times New Roman" w:eastAsia="宋体" w:cs="Times New Roman"/>
                      <w:szCs w:val="21"/>
                    </w:rPr>
                  </w:pPr>
                </w:p>
              </w:tc>
              <w:tc>
                <w:tcPr>
                  <w:tcW w:w="2254" w:type="dxa"/>
                  <w:tcBorders>
                    <w:tl2br w:val="nil"/>
                    <w:tr2bl w:val="nil"/>
                  </w:tcBorders>
                  <w:vAlign w:val="center"/>
                </w:tcPr>
                <w:p>
                  <w:pPr>
                    <w:ind w:firstLine="480"/>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悬浮物</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悬浮物的测定 重量法</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11901-89）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电子天平</w:t>
                  </w:r>
                </w:p>
                <w:p>
                  <w:pPr>
                    <w:ind w:firstLine="480"/>
                    <w:jc w:val="center"/>
                    <w:rPr>
                      <w:rFonts w:ascii="Times New Roman" w:hAnsi="Times New Roman" w:eastAsia="宋体" w:cs="Times New Roman"/>
                      <w:szCs w:val="21"/>
                    </w:rPr>
                  </w:pPr>
                  <w:r>
                    <w:rPr>
                      <w:rFonts w:ascii="Times New Roman" w:hAnsi="Times New Roman" w:eastAsia="宋体" w:cs="Times New Roman"/>
                      <w:szCs w:val="21"/>
                    </w:rPr>
                    <w:t>MD-114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化学需氧量</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化学需氧量 重铬酸盐法</w:t>
                  </w:r>
                  <w:r>
                    <w:rPr>
                      <w:rFonts w:ascii="Times New Roman" w:hAnsi="Times New Roman" w:eastAsia="宋体" w:cs="Times New Roman"/>
                      <w:bCs/>
                      <w:szCs w:val="21"/>
                    </w:rPr>
                    <w:t>》</w:t>
                  </w:r>
                  <w:r>
                    <w:rPr>
                      <w:rFonts w:hint="eastAsia" w:ascii="Times New Roman" w:hAnsi="Times New Roman" w:eastAsia="宋体" w:cs="Times New Roman"/>
                      <w:bCs/>
                      <w:szCs w:val="21"/>
                    </w:rPr>
                    <w:t>（</w:t>
                  </w:r>
                  <w:r>
                    <w:rPr>
                      <w:rFonts w:ascii="Times New Roman" w:hAnsi="Times New Roman" w:eastAsia="宋体" w:cs="Times New Roman"/>
                      <w:bCs/>
                      <w:szCs w:val="21"/>
                    </w:rPr>
                    <w:t>HJ828-2017</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酸式滴定管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018110102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4mg/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五日生化需氧量（B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r>
                    <w:rPr>
                      <w:rFonts w:hint="eastAsia" w:ascii="Times New Roman" w:hAnsi="Times New Roman" w:eastAsia="宋体" w:cs="Times New Roman"/>
                      <w:bCs/>
                      <w:szCs w:val="21"/>
                    </w:rPr>
                    <w:t>的测定 稀释与接种法》（</w:t>
                  </w:r>
                  <w:r>
                    <w:rPr>
                      <w:rFonts w:ascii="Times New Roman" w:hAnsi="Times New Roman" w:eastAsia="宋体" w:cs="Times New Roman"/>
                      <w:bCs/>
                      <w:szCs w:val="21"/>
                    </w:rPr>
                    <w:t>HJ505-2009</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生化培养箱</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 5mg/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氨氮</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氨氮的测定 纳氏试剂分光光度法》（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535-2009）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D-004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0.025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石油</w:t>
                  </w:r>
                </w:p>
              </w:tc>
              <w:tc>
                <w:tcPr>
                  <w:tcW w:w="3402"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石油类和动植物油类的测定 红外分光光度法》（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637-2018）</w:t>
                  </w:r>
                </w:p>
              </w:tc>
              <w:tc>
                <w:tcPr>
                  <w:tcW w:w="226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红外分光光度测油仪</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D-089</w:t>
                  </w:r>
                </w:p>
              </w:tc>
              <w:tc>
                <w:tcPr>
                  <w:tcW w:w="2254"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0.06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动植物油</w:t>
                  </w:r>
                </w:p>
              </w:tc>
              <w:tc>
                <w:tcPr>
                  <w:tcW w:w="3402"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6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54"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19"/>
              <w:ind w:firstLine="480"/>
              <w:jc w:val="both"/>
            </w:pP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7"/>
            <w:bookmarkEnd w:id="38"/>
            <w:bookmarkEnd w:id="39"/>
            <w:bookmarkEnd w:id="40"/>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cs="Times New Roman"/>
                <w:bCs/>
                <w:sz w:val="24"/>
              </w:rPr>
              <w:t>3</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3</w:t>
            </w:r>
            <w:r>
              <w:rPr>
                <w:rFonts w:ascii="Times New Roman" w:hAnsi="Times New Roman" w:eastAsia="宋体" w:cs="Times New Roman"/>
                <w:b/>
                <w:sz w:val="24"/>
              </w:rPr>
              <w:t>无组织废气监测点位和监测项目</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w:t>
                  </w:r>
                  <w:r>
                    <w:rPr>
                      <w:rFonts w:hint="eastAsia" w:ascii="Times New Roman" w:hAnsi="Times New Roman" w:eastAsia="宋体" w:cs="Times New Roman"/>
                      <w:szCs w:val="21"/>
                    </w:rPr>
                    <w:t>监测</w:t>
                  </w:r>
                  <w:r>
                    <w:rPr>
                      <w:rFonts w:ascii="Times New Roman" w:hAnsi="Times New Roman" w:eastAsia="宋体" w:cs="Times New Roman"/>
                      <w:szCs w:val="21"/>
                    </w:rPr>
                    <w:t>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4</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4</w:t>
            </w:r>
            <w:r>
              <w:rPr>
                <w:rFonts w:ascii="Times New Roman" w:hAnsi="Times New Roman" w:eastAsia="宋体" w:cs="Times New Roman"/>
                <w:b/>
                <w:sz w:val="24"/>
              </w:rPr>
              <w:t xml:space="preserve"> 废气监测分析方法</w:t>
            </w:r>
          </w:p>
          <w:tbl>
            <w:tblPr>
              <w:tblStyle w:val="16"/>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41" w:name="_Toc20647"/>
            <w:bookmarkStart w:id="42" w:name="_Toc30098"/>
            <w:bookmarkStart w:id="43" w:name="_Toc13649"/>
            <w:bookmarkStart w:id="44" w:name="_Toc22872"/>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噪声</w:t>
            </w:r>
            <w:bookmarkEnd w:id="41"/>
            <w:bookmarkEnd w:id="42"/>
            <w:bookmarkEnd w:id="43"/>
            <w:bookmarkEnd w:id="44"/>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-5。监测布点图见图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-5</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噪声监测点位和监测项目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5"/>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 xml:space="preserve">-6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ascii="Times New Roman" w:hAnsi="Times New Roman" w:eastAsia="宋体" w:cs="Times New Roman"/>
                      <w:szCs w:val="21"/>
                    </w:rPr>
                  </w:pPr>
                  <w:r>
                    <w:rPr>
                      <w:rFonts w:ascii="Times New Roman" w:hAnsi="Times New Roman" w:eastAsia="宋体" w:cs="Times New Roman"/>
                      <w:szCs w:val="21"/>
                    </w:rPr>
                    <w:t>MD-</w:t>
                  </w:r>
                  <w:r>
                    <w:rPr>
                      <w:rFonts w:hint="eastAsia" w:ascii="Times New Roman" w:hAnsi="Times New Roman" w:eastAsia="宋体" w:cs="Times New Roman"/>
                      <w:szCs w:val="21"/>
                    </w:rPr>
                    <w:t>095-02</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6.1.3油汽回收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本次油汽回收对加油站油汽系统进行监测；监测点位和监测项目见表6-7；</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7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14</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油汽回收监测分析方法见表6-8</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8  油汽回收</w:t>
            </w:r>
            <w:r>
              <w:rPr>
                <w:rFonts w:ascii="Times New Roman" w:hAnsi="Times New Roman" w:eastAsia="宋体" w:cs="Times New Roman"/>
                <w:b/>
                <w:sz w:val="24"/>
              </w:rPr>
              <w:t>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Merge w:val="restart"/>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Merge w:val="continue"/>
                  <w:vAlign w:val="center"/>
                </w:tcPr>
                <w:p>
                  <w:pPr>
                    <w:rPr>
                      <w:rFonts w:ascii="Times New Roman" w:hAnsi="Times New Roman" w:eastAsia="宋体" w:cs="Times New Roman"/>
                      <w:szCs w:val="21"/>
                    </w:rPr>
                  </w:pP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Merge w:val="continue"/>
                  <w:vAlign w:val="center"/>
                </w:tcPr>
                <w:p>
                  <w:pPr>
                    <w:rPr>
                      <w:rFonts w:ascii="Times New Roman" w:hAnsi="Times New Roman" w:eastAsia="宋体" w:cs="Times New Roman"/>
                      <w:szCs w:val="21"/>
                    </w:rPr>
                  </w:pP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cs="Times New Roman"/>
                <w:b/>
                <w:sz w:val="24"/>
              </w:rPr>
              <w:t>4</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eastAsia="宋体" w:cs="Times New Roman"/>
                <w:b/>
                <w:bCs/>
                <w:sz w:val="24"/>
              </w:rPr>
            </w:pPr>
            <w:r>
              <w:rPr>
                <w:rFonts w:ascii="Times New Roman" w:hAnsi="Times New Roman" w:cs="Times New Roman"/>
                <w:b/>
                <w:bCs/>
                <w:sz w:val="24"/>
              </w:rPr>
              <w:t>6</w:t>
            </w:r>
            <w:r>
              <w:rPr>
                <w:rFonts w:ascii="Times New Roman" w:hAnsi="Times New Roman" w:eastAsia="宋体" w:cs="Times New Roman"/>
                <w:b/>
                <w:bCs/>
                <w:sz w:val="24"/>
              </w:rPr>
              <w:t>.1.</w:t>
            </w:r>
            <w:r>
              <w:rPr>
                <w:rFonts w:ascii="Times New Roman" w:hAnsi="Times New Roman" w:cs="Times New Roman"/>
                <w:b/>
                <w:bCs/>
                <w:sz w:val="24"/>
              </w:rPr>
              <w:t>4</w:t>
            </w:r>
            <w:r>
              <w:rPr>
                <w:rFonts w:ascii="Times New Roman" w:hAnsi="Times New Roman" w:eastAsia="宋体" w:cs="Times New Roman"/>
                <w:b/>
                <w:bCs/>
                <w:sz w:val="24"/>
              </w:rPr>
              <w:t>监测布点图及现场监测图</w:t>
            </w:r>
          </w:p>
          <w:p>
            <w:pPr>
              <w:spacing w:line="360" w:lineRule="auto"/>
              <w:jc w:val="center"/>
            </w:pPr>
          </w:p>
          <w:p>
            <w:pPr>
              <w:spacing w:line="360" w:lineRule="auto"/>
              <w:jc w:val="center"/>
            </w:pPr>
          </w:p>
          <w:p>
            <w:pPr>
              <w:spacing w:line="360" w:lineRule="auto"/>
              <w:jc w:val="center"/>
            </w:pPr>
            <w:r>
              <w:drawing>
                <wp:inline distT="0" distB="0" distL="0" distR="0">
                  <wp:extent cx="5857240" cy="3505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l="7672" t="6820" r="9656" b="5232"/>
                          <a:stretch>
                            <a:fillRect/>
                          </a:stretch>
                        </pic:blipFill>
                        <pic:spPr>
                          <a:xfrm>
                            <a:off x="0" y="0"/>
                            <a:ext cx="5881799" cy="3519668"/>
                          </a:xfrm>
                          <a:prstGeom prst="rect">
                            <a:avLst/>
                          </a:prstGeom>
                          <a:ln>
                            <a:noFill/>
                          </a:ln>
                        </pic:spPr>
                      </pic:pic>
                    </a:graphicData>
                  </a:graphic>
                </wp:inline>
              </w:drawing>
            </w: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b/>
                <w:sz w:val="24"/>
              </w:rPr>
            </w:pPr>
            <w:r>
              <w:rPr>
                <w:rFonts w:ascii="Times New Roman" w:hAnsi="Times New Roman" w:cs="Times New Roman"/>
                <w:b/>
                <w:bCs/>
                <w:sz w:val="24"/>
              </w:rPr>
              <w:t>图6-1 监测布点图</w:t>
            </w:r>
            <w:bookmarkStart w:id="45" w:name="_Toc30705"/>
            <w:bookmarkStart w:id="46" w:name="_Toc17845"/>
            <w:bookmarkStart w:id="47" w:name="_Toc24325"/>
            <w:bookmarkStart w:id="48" w:name="_Toc20816"/>
            <w:r>
              <w:rPr>
                <w:rFonts w:ascii="Times New Roman" w:hAnsi="Times New Roman" w:cs="Times New Roman"/>
                <w:b/>
                <w:sz w:val="24"/>
              </w:rPr>
              <w:t xml:space="preserve">   </w:t>
            </w:r>
            <w:bookmarkEnd w:id="45"/>
            <w:bookmarkEnd w:id="46"/>
            <w:bookmarkEnd w:id="47"/>
            <w:bookmarkEnd w:id="48"/>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rPr>
                <w:rFonts w:ascii="Times New Roman" w:hAnsi="Times New Roman" w:cs="Times New Roman"/>
              </w:rPr>
            </w:pPr>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9" w:name="_Toc9058"/>
      <w:bookmarkStart w:id="50" w:name="_Toc18169"/>
      <w:r>
        <w:rPr>
          <w:rFonts w:ascii="Times New Roman" w:hAnsi="Times New Roman" w:cs="Times New Roman"/>
          <w:b/>
          <w:sz w:val="28"/>
          <w:szCs w:val="28"/>
        </w:rPr>
        <w:t xml:space="preserve">表七  </w:t>
      </w:r>
      <w:bookmarkEnd w:id="24"/>
      <w:bookmarkEnd w:id="49"/>
      <w:r>
        <w:rPr>
          <w:rFonts w:ascii="Times New Roman" w:hAnsi="Times New Roman" w:cs="Times New Roman"/>
          <w:b/>
          <w:sz w:val="28"/>
          <w:szCs w:val="28"/>
        </w:rPr>
        <w:t>验收监测结果</w:t>
      </w:r>
      <w:bookmarkEnd w:id="5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2020年04月</w:t>
            </w:r>
            <w:r>
              <w:rPr>
                <w:rFonts w:ascii="Times New Roman" w:hAnsi="Times New Roman" w:cs="Times New Roman"/>
                <w:kern w:val="0"/>
                <w:sz w:val="24"/>
              </w:rPr>
              <w:t>14</w:t>
            </w:r>
            <w:r>
              <w:rPr>
                <w:rFonts w:hint="eastAsia" w:ascii="Times New Roman" w:hAnsi="Times New Roman" w:cs="Times New Roman"/>
                <w:kern w:val="0"/>
                <w:sz w:val="24"/>
              </w:rPr>
              <w:t>日</w:t>
            </w:r>
            <w:r>
              <w:rPr>
                <w:rFonts w:ascii="Times New Roman" w:hAnsi="Times New Roman" w:cs="Times New Roman"/>
                <w:kern w:val="0"/>
                <w:sz w:val="24"/>
              </w:rPr>
              <w:t>至</w:t>
            </w:r>
            <w:r>
              <w:rPr>
                <w:rFonts w:hint="eastAsia" w:ascii="Times New Roman" w:hAnsi="Times New Roman" w:cs="Times New Roman"/>
                <w:kern w:val="0"/>
                <w:sz w:val="24"/>
              </w:rPr>
              <w:t>2020年04月</w:t>
            </w:r>
            <w:r>
              <w:rPr>
                <w:rFonts w:ascii="Times New Roman" w:hAnsi="Times New Roman" w:cs="Times New Roman"/>
                <w:kern w:val="0"/>
                <w:sz w:val="24"/>
              </w:rPr>
              <w:t>15</w:t>
            </w:r>
            <w:r>
              <w:rPr>
                <w:rFonts w:hint="eastAsia" w:ascii="Times New Roman" w:hAnsi="Times New Roman" w:cs="Times New Roman"/>
                <w:kern w:val="0"/>
                <w:sz w:val="24"/>
              </w:rPr>
              <w:t>日</w:t>
            </w:r>
            <w:r>
              <w:rPr>
                <w:rFonts w:ascii="Times New Roman" w:hAnsi="Times New Roman" w:cs="Times New Roman"/>
                <w:kern w:val="0"/>
                <w:sz w:val="24"/>
              </w:rPr>
              <w:t>，</w:t>
            </w:r>
            <w:r>
              <w:rPr>
                <w:rFonts w:hint="eastAsia" w:ascii="Times New Roman" w:hAnsi="Times New Roman" w:cs="Times New Roman"/>
                <w:kern w:val="0"/>
                <w:sz w:val="24"/>
              </w:rPr>
              <w:t>2020年05月06日</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三都三荔高速三洞西加油站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1</w:t>
            </w:r>
            <w:r>
              <w:rPr>
                <w:rFonts w:ascii="Times New Roman" w:hAnsi="Times New Roman" w:eastAsia="宋体" w:cs="Times New Roman"/>
                <w:b/>
                <w:bCs/>
                <w:sz w:val="24"/>
              </w:rPr>
              <w:t xml:space="preserve"> 废</w:t>
            </w:r>
            <w:r>
              <w:rPr>
                <w:rFonts w:ascii="Times New Roman" w:hAnsi="Times New Roman" w:cs="Times New Roman"/>
                <w:b/>
                <w:bCs/>
                <w:sz w:val="24"/>
              </w:rPr>
              <w:t>水</w:t>
            </w:r>
            <w:r>
              <w:rPr>
                <w:rFonts w:ascii="Times New Roman" w:hAnsi="Times New Roman" w:eastAsia="宋体" w:cs="Times New Roman"/>
                <w:b/>
                <w:bCs/>
                <w:sz w:val="24"/>
              </w:rPr>
              <w:t>监测及评价结果</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废水监测结果见表7-1</w:t>
            </w:r>
          </w:p>
          <w:p>
            <w:pPr>
              <w:tabs>
                <w:tab w:val="left" w:pos="1350"/>
              </w:tabs>
              <w:spacing w:line="360" w:lineRule="auto"/>
              <w:ind w:firstLine="480" w:firstLineChars="200"/>
              <w:rPr>
                <w:rFonts w:ascii="Times New Roman" w:hAnsi="Times New Roman" w:cs="Times New Roman"/>
                <w:sz w:val="24"/>
              </w:rPr>
            </w:pP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rFonts w:hint="eastAsia" w:ascii="Times New Roman" w:hAnsi="Times New Roman" w:cs="Times New Roman"/>
                <w:sz w:val="24"/>
              </w:rPr>
              <w:t>表7-1废水监测结果</w:t>
            </w:r>
          </w:p>
          <w:tbl>
            <w:tblPr>
              <w:tblStyle w:val="15"/>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监测结果（mg/L）</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w:t>
                  </w:r>
                  <w:r>
                    <w:rPr>
                      <w:rFonts w:hint="eastAsia" w:ascii="Times New Roman" w:hAnsi="Times New Roman" w:eastAsia="宋体" w:cs="Times New Roman"/>
                      <w:b/>
                      <w:szCs w:val="21"/>
                    </w:rPr>
                    <w:t>四</w:t>
                  </w:r>
                  <w:r>
                    <w:rPr>
                      <w:rFonts w:ascii="Times New Roman" w:hAnsi="Times New Roman" w:eastAsia="宋体" w:cs="Times New Roman"/>
                      <w:b/>
                      <w:szCs w:val="21"/>
                    </w:rPr>
                    <w:t>频次</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污水处理设施进水口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widowControl/>
                    <w:jc w:val="center"/>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9.72</w:t>
                  </w:r>
                </w:p>
              </w:tc>
              <w:tc>
                <w:tcPr>
                  <w:tcW w:w="933"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9.74</w:t>
                  </w:r>
                </w:p>
              </w:tc>
              <w:tc>
                <w:tcPr>
                  <w:tcW w:w="933"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9.88</w:t>
                  </w:r>
                </w:p>
              </w:tc>
              <w:tc>
                <w:tcPr>
                  <w:tcW w:w="936"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9.84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19</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18</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27</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29</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28</w:t>
                  </w:r>
                </w:p>
              </w:tc>
              <w:tc>
                <w:tcPr>
                  <w:tcW w:w="936" w:type="dxa"/>
                  <w:vAlign w:val="center"/>
                </w:tcPr>
                <w:p>
                  <w:pPr>
                    <w:widowControl/>
                    <w:jc w:val="center"/>
                    <w:textAlignment w:val="center"/>
                    <w:rPr>
                      <w:rFonts w:ascii="Times New Roman" w:hAnsi="Times New Roman" w:eastAsia="等线" w:cs="Times New Roman"/>
                      <w:color w:val="FF0000"/>
                      <w:kern w:val="0"/>
                      <w:szCs w:val="21"/>
                      <w:lang w:bidi="ar"/>
                    </w:rPr>
                  </w:pPr>
                  <w:r>
                    <w:rPr>
                      <w:rFonts w:hint="eastAsia" w:ascii="Times New Roman" w:hAnsi="Times New Roman" w:eastAsia="等线" w:cs="Times New Roman"/>
                      <w:color w:val="FF0000"/>
                      <w:kern w:val="0"/>
                      <w:szCs w:val="21"/>
                      <w:lang w:bidi="ar"/>
                    </w:rPr>
                    <w:t>29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3.65</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3.79</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3.55</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hint="eastAsia" w:ascii="Times New Roman" w:hAnsi="Times New Roman" w:eastAsia="等线" w:cs="Times New Roman"/>
                      <w:color w:val="000000" w:themeColor="text1"/>
                      <w:kern w:val="0"/>
                      <w:szCs w:val="21"/>
                      <w:lang w:bidi="ar"/>
                    </w:rPr>
                    <w:t>3.46</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5.2</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w:t>
                  </w:r>
                  <w:r>
                    <w:rPr>
                      <w:rFonts w:ascii="Times New Roman" w:hAnsi="Times New Roman" w:eastAsia="宋体" w:cs="Times New Roman"/>
                      <w:color w:val="FF0000"/>
                      <w:szCs w:val="21"/>
                    </w:rPr>
                    <w:t>8</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4.</w:t>
                  </w:r>
                  <w:r>
                    <w:rPr>
                      <w:rFonts w:ascii="Times New Roman" w:hAnsi="Times New Roman" w:eastAsia="宋体" w:cs="Times New Roman"/>
                      <w:color w:val="FF0000"/>
                      <w:szCs w:val="21"/>
                    </w:rPr>
                    <w:t>8</w:t>
                  </w:r>
                </w:p>
              </w:tc>
              <w:tc>
                <w:tcPr>
                  <w:tcW w:w="936" w:type="dxa"/>
                  <w:vAlign w:val="center"/>
                </w:tcPr>
                <w:p>
                  <w:pPr>
                    <w:widowControl/>
                    <w:jc w:val="center"/>
                    <w:textAlignment w:val="center"/>
                    <w:rPr>
                      <w:rFonts w:ascii="Times New Roman" w:hAnsi="Times New Roman" w:eastAsia="等线" w:cs="Times New Roman"/>
                      <w:color w:val="FF0000"/>
                      <w:kern w:val="0"/>
                      <w:szCs w:val="21"/>
                      <w:lang w:bidi="ar"/>
                    </w:rPr>
                  </w:pPr>
                  <w:r>
                    <w:rPr>
                      <w:rFonts w:hint="eastAsia" w:ascii="Times New Roman" w:hAnsi="Times New Roman" w:eastAsia="等线" w:cs="Times New Roman"/>
                      <w:color w:val="FF0000"/>
                      <w:kern w:val="0"/>
                      <w:szCs w:val="21"/>
                      <w:lang w:bidi="ar"/>
                    </w:rPr>
                    <w:t>5.2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widowControl/>
                    <w:ind w:firstLine="210" w:firstLineChars="100"/>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0.25</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0.25</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0.27</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0.24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widowControl/>
                    <w:textAlignment w:val="center"/>
                    <w:rPr>
                      <w:rFonts w:ascii="Times New Roman" w:hAnsi="Times New Roman" w:eastAsia="宋体" w:cs="Times New Roman"/>
                      <w:szCs w:val="21"/>
                    </w:rPr>
                  </w:pPr>
                  <w:r>
                    <w:rPr>
                      <w:rFonts w:hint="eastAsia" w:ascii="Times New Roman" w:hAnsi="Times New Roman" w:eastAsia="宋体" w:cs="Times New Roman"/>
                      <w:szCs w:val="21"/>
                    </w:rPr>
                    <w:t>0.26</w:t>
                  </w:r>
                </w:p>
              </w:tc>
              <w:tc>
                <w:tcPr>
                  <w:tcW w:w="933" w:type="dxa"/>
                  <w:vAlign w:val="center"/>
                </w:tcPr>
                <w:p>
                  <w:pPr>
                    <w:widowControl/>
                    <w:textAlignment w:val="center"/>
                    <w:rPr>
                      <w:rFonts w:ascii="Times New Roman" w:hAnsi="Times New Roman" w:eastAsia="宋体" w:cs="Times New Roman"/>
                      <w:szCs w:val="21"/>
                    </w:rPr>
                  </w:pPr>
                  <w:r>
                    <w:rPr>
                      <w:rFonts w:hint="eastAsia" w:ascii="Times New Roman" w:hAnsi="Times New Roman" w:eastAsia="宋体" w:cs="Times New Roman"/>
                      <w:szCs w:val="21"/>
                    </w:rPr>
                    <w:t>0.26</w:t>
                  </w:r>
                </w:p>
              </w:tc>
              <w:tc>
                <w:tcPr>
                  <w:tcW w:w="933" w:type="dxa"/>
                  <w:vAlign w:val="center"/>
                </w:tcPr>
                <w:p>
                  <w:pPr>
                    <w:widowControl/>
                    <w:textAlignment w:val="center"/>
                    <w:rPr>
                      <w:rFonts w:ascii="Times New Roman" w:hAnsi="Times New Roman" w:eastAsia="宋体" w:cs="Times New Roman"/>
                      <w:szCs w:val="21"/>
                    </w:rPr>
                  </w:pPr>
                  <w:r>
                    <w:rPr>
                      <w:rFonts w:hint="eastAsia" w:ascii="Times New Roman" w:hAnsi="Times New Roman" w:eastAsia="宋体" w:cs="Times New Roman"/>
                      <w:szCs w:val="21"/>
                    </w:rPr>
                    <w:t>0.23</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0.26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8.89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9.08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9.48</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9.34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18</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31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34</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35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3.30</w:t>
                  </w:r>
                </w:p>
              </w:tc>
              <w:tc>
                <w:tcPr>
                  <w:tcW w:w="933" w:type="dxa"/>
                  <w:vAlign w:val="center"/>
                </w:tcPr>
                <w:p>
                  <w:pP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3.38</w:t>
                  </w:r>
                </w:p>
              </w:tc>
              <w:tc>
                <w:tcPr>
                  <w:tcW w:w="933" w:type="dxa"/>
                  <w:vAlign w:val="center"/>
                </w:tcPr>
                <w:p>
                  <w:pP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3.52</w:t>
                  </w:r>
                </w:p>
              </w:tc>
              <w:tc>
                <w:tcPr>
                  <w:tcW w:w="936" w:type="dxa"/>
                  <w:vAlign w:val="center"/>
                </w:tcPr>
                <w:p>
                  <w:pPr>
                    <w:widowControl/>
                    <w:textAlignment w:val="center"/>
                    <w:rPr>
                      <w:rFonts w:ascii="Times New Roman" w:hAnsi="Times New Roman" w:eastAsia="等线" w:cs="Times New Roman"/>
                      <w:color w:val="000000" w:themeColor="text1"/>
                      <w:kern w:val="0"/>
                      <w:szCs w:val="21"/>
                      <w:lang w:bidi="ar"/>
                    </w:rPr>
                  </w:pPr>
                  <w:r>
                    <w:rPr>
                      <w:rFonts w:hint="eastAsia" w:ascii="Times New Roman" w:hAnsi="Times New Roman" w:eastAsia="等线" w:cs="Times New Roman"/>
                      <w:color w:val="000000" w:themeColor="text1"/>
                      <w:kern w:val="0"/>
                      <w:szCs w:val="21"/>
                      <w:lang w:bidi="ar"/>
                    </w:rPr>
                    <w:t>3.82</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w:t>
                  </w:r>
                  <w:r>
                    <w:rPr>
                      <w:rFonts w:ascii="Times New Roman" w:hAnsi="Times New Roman" w:eastAsia="宋体" w:cs="Times New Roman"/>
                      <w:color w:val="FF0000"/>
                      <w:szCs w:val="21"/>
                    </w:rPr>
                    <w:t>.2</w:t>
                  </w:r>
                </w:p>
              </w:tc>
              <w:tc>
                <w:tcPr>
                  <w:tcW w:w="933" w:type="dxa"/>
                  <w:vAlign w:val="center"/>
                </w:tcPr>
                <w:p>
                  <w:pPr>
                    <w:rPr>
                      <w:rFonts w:ascii="Times New Roman" w:hAnsi="Times New Roman" w:eastAsia="宋体" w:cs="Times New Roman"/>
                      <w:color w:val="FF0000"/>
                      <w:kern w:val="0"/>
                      <w:szCs w:val="21"/>
                      <w:lang w:bidi="ar"/>
                    </w:rPr>
                  </w:pPr>
                  <w:r>
                    <w:rPr>
                      <w:rFonts w:hint="eastAsia" w:ascii="Times New Roman" w:hAnsi="Times New Roman" w:eastAsia="宋体" w:cs="Times New Roman"/>
                      <w:color w:val="FF0000"/>
                      <w:kern w:val="0"/>
                      <w:szCs w:val="21"/>
                      <w:lang w:bidi="ar"/>
                    </w:rPr>
                    <w:t>6</w:t>
                  </w:r>
                  <w:r>
                    <w:rPr>
                      <w:rFonts w:ascii="Times New Roman" w:hAnsi="Times New Roman" w:eastAsia="宋体" w:cs="Times New Roman"/>
                      <w:color w:val="FF0000"/>
                      <w:kern w:val="0"/>
                      <w:szCs w:val="21"/>
                      <w:lang w:bidi="ar"/>
                    </w:rPr>
                    <w:t>.1</w:t>
                  </w:r>
                </w:p>
              </w:tc>
              <w:tc>
                <w:tcPr>
                  <w:tcW w:w="933" w:type="dxa"/>
                  <w:vAlign w:val="center"/>
                </w:tcPr>
                <w:p>
                  <w:pPr>
                    <w:rPr>
                      <w:rFonts w:ascii="Times New Roman" w:hAnsi="Times New Roman" w:eastAsia="宋体" w:cs="Times New Roman"/>
                      <w:color w:val="FF0000"/>
                      <w:kern w:val="0"/>
                      <w:szCs w:val="21"/>
                      <w:lang w:bidi="ar"/>
                    </w:rPr>
                  </w:pPr>
                  <w:r>
                    <w:rPr>
                      <w:rFonts w:hint="eastAsia" w:ascii="Times New Roman" w:hAnsi="Times New Roman" w:eastAsia="宋体" w:cs="Times New Roman"/>
                      <w:color w:val="FF0000"/>
                      <w:kern w:val="0"/>
                      <w:szCs w:val="21"/>
                      <w:lang w:bidi="ar"/>
                    </w:rPr>
                    <w:t>6</w:t>
                  </w:r>
                  <w:r>
                    <w:rPr>
                      <w:rFonts w:ascii="Times New Roman" w:hAnsi="Times New Roman" w:eastAsia="宋体" w:cs="Times New Roman"/>
                      <w:color w:val="FF0000"/>
                      <w:kern w:val="0"/>
                      <w:szCs w:val="21"/>
                      <w:lang w:bidi="ar"/>
                    </w:rPr>
                    <w:t>.1</w:t>
                  </w:r>
                </w:p>
              </w:tc>
              <w:tc>
                <w:tcPr>
                  <w:tcW w:w="936" w:type="dxa"/>
                  <w:vAlign w:val="center"/>
                </w:tcPr>
                <w:p>
                  <w:pPr>
                    <w:widowControl/>
                    <w:textAlignment w:val="center"/>
                    <w:rPr>
                      <w:rFonts w:ascii="Times New Roman" w:hAnsi="Times New Roman" w:eastAsia="等线" w:cs="Times New Roman"/>
                      <w:color w:val="FF0000"/>
                      <w:kern w:val="0"/>
                      <w:szCs w:val="21"/>
                      <w:lang w:bidi="ar"/>
                    </w:rPr>
                  </w:pPr>
                  <w:r>
                    <w:rPr>
                      <w:rFonts w:hint="eastAsia" w:ascii="Times New Roman" w:hAnsi="Times New Roman" w:eastAsia="等线" w:cs="Times New Roman"/>
                      <w:color w:val="FF0000"/>
                      <w:kern w:val="0"/>
                      <w:szCs w:val="21"/>
                      <w:lang w:bidi="ar"/>
                    </w:rPr>
                    <w:t>6</w:t>
                  </w:r>
                  <w:r>
                    <w:rPr>
                      <w:rFonts w:ascii="Times New Roman" w:hAnsi="Times New Roman" w:eastAsia="等线" w:cs="Times New Roman"/>
                      <w:color w:val="FF0000"/>
                      <w:kern w:val="0"/>
                      <w:szCs w:val="21"/>
                      <w:lang w:bidi="ar"/>
                    </w:rPr>
                    <w:t>.4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ind w:firstLine="420" w:firstLineChars="200"/>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0.24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0.22</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0.22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ind w:firstLine="210" w:firstLineChars="100"/>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0.26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0.29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0.30</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0.28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restart"/>
                  <w:vAlign w:val="center"/>
                </w:tcPr>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污水处理设施出口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8.32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8.24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8.34</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8.13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10</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17</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16</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1.98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2.11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1.95</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2.01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4.8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w:t>
                  </w:r>
                  <w:r>
                    <w:rPr>
                      <w:rFonts w:ascii="Times New Roman" w:hAnsi="Times New Roman" w:eastAsia="宋体" w:cs="Times New Roman"/>
                      <w:kern w:val="0"/>
                      <w:szCs w:val="21"/>
                      <w:lang w:bidi="ar"/>
                    </w:rPr>
                    <w:t>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w:t>
                  </w:r>
                  <w:r>
                    <w:rPr>
                      <w:rFonts w:ascii="Times New Roman" w:hAnsi="Times New Roman" w:eastAsia="宋体" w:cs="Times New Roman"/>
                      <w:kern w:val="0"/>
                      <w:szCs w:val="21"/>
                      <w:lang w:bidi="ar"/>
                    </w:rPr>
                    <w:t>4</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5.2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N</w:t>
                  </w:r>
                  <w:r>
                    <w:rPr>
                      <w:rFonts w:ascii="Times New Roman" w:hAnsi="Times New Roman" w:eastAsia="宋体" w:cs="Times New Roman"/>
                      <w:szCs w:val="21"/>
                    </w:rPr>
                    <w:t>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w:t>
                  </w:r>
                  <w:r>
                    <w:rPr>
                      <w:rFonts w:ascii="Times New Roman" w:hAnsi="Times New Roman" w:eastAsia="宋体" w:cs="Times New Roman"/>
                      <w:kern w:val="0"/>
                      <w:szCs w:val="21"/>
                      <w:lang w:bidi="ar"/>
                    </w:rPr>
                    <w:t>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w:t>
                  </w:r>
                  <w:r>
                    <w:rPr>
                      <w:rFonts w:ascii="Times New Roman" w:hAnsi="Times New Roman" w:eastAsia="宋体" w:cs="Times New Roman"/>
                      <w:kern w:val="0"/>
                      <w:szCs w:val="21"/>
                      <w:lang w:bidi="ar"/>
                    </w:rPr>
                    <w:t>D</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N</w:t>
                  </w:r>
                  <w:r>
                    <w:rPr>
                      <w:rFonts w:ascii="Times New Roman" w:hAnsi="Times New Roman" w:eastAsia="等线" w:cs="Times New Roman"/>
                      <w:kern w:val="0"/>
                      <w:szCs w:val="21"/>
                      <w:lang w:bidi="ar"/>
                    </w:rPr>
                    <w:t>D</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.17</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2020.04.15</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.19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w:t>
                  </w:r>
                  <w:r>
                    <w:rPr>
                      <w:rFonts w:ascii="Times New Roman" w:hAnsi="Times New Roman" w:eastAsia="宋体" w:cs="Times New Roman"/>
                      <w:kern w:val="0"/>
                      <w:szCs w:val="21"/>
                      <w:lang w:bidi="ar"/>
                    </w:rPr>
                    <w:t>.13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.93</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7</w:t>
                  </w:r>
                  <w:r>
                    <w:rPr>
                      <w:rFonts w:ascii="Times New Roman" w:hAnsi="Times New Roman" w:eastAsia="等线" w:cs="Times New Roman"/>
                      <w:kern w:val="0"/>
                      <w:szCs w:val="21"/>
                      <w:lang w:bidi="ar"/>
                    </w:rPr>
                    <w:t>.98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1</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rPr>
                      <w:rFonts w:ascii="Times New Roman" w:hAnsi="Times New Roman" w:eastAsia="宋体" w:cs="Times New Roman"/>
                      <w:szCs w:val="21"/>
                    </w:rPr>
                  </w:pPr>
                  <w:r>
                    <w:rPr>
                      <w:rFonts w:ascii="Times New Roman" w:hAnsi="Times New Roman" w:eastAsia="宋体" w:cs="Times New Roman"/>
                      <w:szCs w:val="21"/>
                    </w:rPr>
                    <w:t>21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20</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2</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w:t>
                  </w:r>
                  <w:r>
                    <w:rPr>
                      <w:rFonts w:ascii="Times New Roman" w:hAnsi="Times New Roman" w:eastAsia="等线" w:cs="Times New Roman"/>
                      <w:kern w:val="0"/>
                      <w:szCs w:val="21"/>
                      <w:lang w:bidi="ar"/>
                    </w:rPr>
                    <w:t>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1.95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2.06</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1.90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4.9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6.0</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6.0</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5.6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0.06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w:t>
                  </w:r>
                  <w:r>
                    <w:rPr>
                      <w:rFonts w:ascii="Times New Roman" w:hAnsi="Times New Roman" w:eastAsia="宋体" w:cs="Times New Roman"/>
                      <w:kern w:val="0"/>
                      <w:szCs w:val="21"/>
                      <w:lang w:bidi="ar"/>
                    </w:rPr>
                    <w:t>D</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N</w:t>
                  </w:r>
                  <w:r>
                    <w:rPr>
                      <w:rFonts w:ascii="Times New Roman" w:hAnsi="Times New Roman" w:eastAsia="宋体" w:cs="Times New Roman"/>
                      <w:kern w:val="0"/>
                      <w:szCs w:val="21"/>
                      <w:lang w:bidi="ar"/>
                    </w:rPr>
                    <w:t>D</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N</w:t>
                  </w:r>
                  <w:r>
                    <w:rPr>
                      <w:rFonts w:ascii="Times New Roman" w:hAnsi="Times New Roman" w:eastAsia="等线" w:cs="Times New Roman"/>
                      <w:kern w:val="0"/>
                      <w:szCs w:val="21"/>
                      <w:lang w:bidi="ar"/>
                    </w:rPr>
                    <w:t>D</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0.11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0.14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9072" w:type="dxa"/>
                  <w:gridSpan w:val="9"/>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备注：</w:t>
                  </w:r>
                  <w:r>
                    <w:rPr>
                      <w:rFonts w:ascii="Times New Roman" w:hAnsi="Times New Roman" w:cs="Times New Roman"/>
                      <w:szCs w:val="21"/>
                    </w:rPr>
                    <w:t>执行标准</w:t>
                  </w:r>
                  <w:r>
                    <w:t>《污水综合排放标准》(GB8978-1996)三级标准</w:t>
                  </w:r>
                </w:p>
              </w:tc>
            </w:tr>
          </w:tbl>
          <w:p>
            <w:pPr>
              <w:tabs>
                <w:tab w:val="left" w:pos="1350"/>
              </w:tabs>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.2.2 废气监测及评价结果</w:t>
            </w:r>
          </w:p>
          <w:p>
            <w:pPr>
              <w:spacing w:line="360" w:lineRule="auto"/>
              <w:ind w:firstLine="564"/>
              <w:rPr>
                <w:rFonts w:ascii="Times New Roman" w:hAnsi="Times New Roman" w:eastAsia="宋体" w:cs="Times New Roman"/>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spacing w:line="360" w:lineRule="auto"/>
              <w:rPr>
                <w:rFonts w:ascii="Times New Roman" w:hAnsi="Times New Roman" w:eastAsia="宋体" w:cs="Times New Roman"/>
                <w:b/>
                <w:bCs/>
                <w:sz w:val="24"/>
              </w:rPr>
            </w:pP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无组织废气监测结果</w:t>
            </w:r>
          </w:p>
          <w:tbl>
            <w:tblPr>
              <w:tblStyle w:val="15"/>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.05</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.63</w:t>
                  </w:r>
                </w:p>
              </w:tc>
              <w:tc>
                <w:tcPr>
                  <w:tcW w:w="933"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.61</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.05</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.97</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.65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.51</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.97</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.79</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.63</w:t>
                  </w:r>
                </w:p>
              </w:tc>
              <w:tc>
                <w:tcPr>
                  <w:tcW w:w="933" w:type="dxa"/>
                  <w:vAlign w:val="center"/>
                </w:tcPr>
                <w:p>
                  <w:pP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.58</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.79</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.82</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.63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.58</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.82</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.71</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.29</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.29</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.77</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.62</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.77</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.63</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.42</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.50</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.42</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.60</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.40</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.43</w:t>
                  </w:r>
                </w:p>
              </w:tc>
              <w:tc>
                <w:tcPr>
                  <w:tcW w:w="936" w:type="dxa"/>
                  <w:vAlign w:val="center"/>
                </w:tcPr>
                <w:p>
                  <w:pPr>
                    <w:widowControl/>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.43</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eastAsia="宋体" w:cs="Times New Roman"/>
                <w:b/>
                <w:bCs/>
                <w:sz w:val="24"/>
              </w:rPr>
            </w:pPr>
            <w:bookmarkStart w:id="51" w:name="_Toc32477"/>
            <w:bookmarkStart w:id="52" w:name="_Toc15557"/>
            <w:bookmarkStart w:id="53" w:name="_Toc20321"/>
            <w:bookmarkStart w:id="54" w:name="_Toc25309"/>
            <w:bookmarkStart w:id="55" w:name="_Toc9250"/>
            <w:bookmarkStart w:id="56" w:name="_Toc13103"/>
            <w:r>
              <w:rPr>
                <w:rFonts w:ascii="Times New Roman" w:hAnsi="Times New Roman" w:cs="Times New Roman"/>
                <w:b/>
                <w:sz w:val="24"/>
              </w:rPr>
              <w:t>7</w:t>
            </w:r>
            <w:r>
              <w:rPr>
                <w:rFonts w:ascii="Times New Roman" w:hAnsi="Times New Roman" w:eastAsia="宋体" w:cs="Times New Roman"/>
                <w:b/>
                <w:sz w:val="24"/>
              </w:rPr>
              <w:t>.2.</w:t>
            </w:r>
            <w:r>
              <w:rPr>
                <w:rFonts w:ascii="Times New Roman" w:hAnsi="Times New Roman" w:cs="Times New Roman"/>
                <w:b/>
                <w:sz w:val="24"/>
              </w:rPr>
              <w:t>3</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51"/>
            <w:bookmarkEnd w:id="52"/>
            <w:bookmarkEnd w:id="53"/>
            <w:bookmarkEnd w:id="54"/>
            <w:bookmarkEnd w:id="55"/>
            <w:bookmarkEnd w:id="56"/>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-3</w:t>
            </w:r>
            <w:r>
              <w:rPr>
                <w:rFonts w:ascii="Times New Roman" w:hAnsi="Times New Roman" w:cs="Times New Roman"/>
                <w:sz w:val="24"/>
              </w:rPr>
              <w:t>。</w:t>
            </w:r>
          </w:p>
          <w:p>
            <w:pPr>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-3</w:t>
            </w:r>
            <w:r>
              <w:rPr>
                <w:rFonts w:hint="eastAsia" w:ascii="Times New Roman" w:hAnsi="Times New Roman" w:cs="Times New Roman"/>
                <w:b/>
                <w:bCs/>
                <w:sz w:val="24"/>
              </w:rPr>
              <w:t xml:space="preserve"> </w:t>
            </w:r>
            <w:r>
              <w:rPr>
                <w:rFonts w:ascii="Times New Roman" w:hAnsi="Times New Roman" w:eastAsia="宋体" w:cs="Times New Roman"/>
                <w:b/>
                <w:bCs/>
                <w:sz w:val="24"/>
              </w:rPr>
              <w:t>噪声监测结果</w:t>
            </w:r>
          </w:p>
          <w:tbl>
            <w:tblPr>
              <w:tblStyle w:val="15"/>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4.6</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1.0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7.5</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2.1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3.5</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7.7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8.8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6.7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8.8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8.1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6.2</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6.3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1.4</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7.6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2.6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2.3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监测结果表明：现场监测期间，项目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4</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rPr>
                <w:rFonts w:ascii="Times New Roman" w:hAnsi="Times New Roman" w:eastAsia="宋体" w:cs="Times New Roman"/>
                <w:b/>
                <w:bCs/>
                <w:sz w:val="24"/>
              </w:rPr>
            </w:pPr>
            <w:r>
              <w:rPr>
                <w:rFonts w:ascii="Times New Roman" w:hAnsi="Times New Roman" w:cs="Times New Roman"/>
                <w:b/>
                <w:sz w:val="24"/>
              </w:rPr>
              <w:t>7</w:t>
            </w:r>
            <w:r>
              <w:rPr>
                <w:rFonts w:ascii="Times New Roman" w:hAnsi="Times New Roman" w:eastAsia="宋体" w:cs="Times New Roman"/>
                <w:b/>
                <w:sz w:val="24"/>
              </w:rPr>
              <w:t>.2.</w:t>
            </w:r>
            <w:r>
              <w:rPr>
                <w:rFonts w:ascii="Times New Roman" w:hAnsi="Times New Roman" w:cs="Times New Roman"/>
                <w:b/>
                <w:sz w:val="24"/>
              </w:rPr>
              <w:t>3</w:t>
            </w:r>
            <w:r>
              <w:rPr>
                <w:rFonts w:hint="eastAsia" w:ascii="Times New Roman" w:hAnsi="Times New Roman" w:cs="Times New Roman"/>
                <w:b/>
                <w:sz w:val="24"/>
              </w:rPr>
              <w:t>油气回收</w:t>
            </w:r>
            <w:r>
              <w:rPr>
                <w:rFonts w:ascii="Times New Roman" w:hAnsi="Times New Roman" w:eastAsia="宋体" w:cs="Times New Roman"/>
                <w:b/>
                <w:sz w:val="24"/>
              </w:rPr>
              <w:t>监测结果</w:t>
            </w:r>
            <w:r>
              <w:rPr>
                <w:rFonts w:ascii="Times New Roman" w:hAnsi="Times New Roman" w:eastAsia="宋体" w:cs="Times New Roman"/>
                <w:b/>
                <w:bCs/>
                <w:sz w:val="24"/>
              </w:rPr>
              <w:t>与评价</w:t>
            </w:r>
          </w:p>
          <w:p>
            <w:pPr>
              <w:spacing w:line="360" w:lineRule="auto"/>
              <w:ind w:firstLine="480"/>
              <w:rPr>
                <w:rFonts w:ascii="Times New Roman" w:hAnsi="Times New Roman" w:cs="Times New Roman"/>
                <w:bCs/>
                <w:sz w:val="24"/>
              </w:rPr>
            </w:pPr>
            <w:r>
              <w:rPr>
                <w:rFonts w:hint="eastAsia" w:ascii="Times New Roman" w:hAnsi="Times New Roman" w:eastAsia="宋体" w:cs="Times New Roman"/>
                <w:sz w:val="24"/>
              </w:rPr>
              <w:t>油气回收</w:t>
            </w:r>
            <w:r>
              <w:rPr>
                <w:rFonts w:ascii="Times New Roman" w:hAnsi="Times New Roman" w:eastAsia="宋体" w:cs="Times New Roman"/>
                <w:sz w:val="24"/>
              </w:rPr>
              <w:t>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4</w:t>
            </w:r>
            <w:r>
              <w:rPr>
                <w:rFonts w:ascii="Times New Roman" w:hAnsi="Times New Roman" w:cs="Times New Roman"/>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-4</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w:t>
            </w:r>
            <w:r>
              <w:rPr>
                <w:rFonts w:hint="eastAsia" w:ascii="Times New Roman" w:hAnsi="Times New Roman" w:eastAsia="宋体" w:cs="Times New Roman"/>
                <w:b/>
                <w:sz w:val="24"/>
              </w:rPr>
              <w:t>项目</w:t>
            </w:r>
            <w:r>
              <w:rPr>
                <w:rFonts w:ascii="Times New Roman" w:hAnsi="Times New Roman" w:eastAsia="宋体" w:cs="Times New Roman"/>
                <w:b/>
                <w:sz w:val="24"/>
              </w:rPr>
              <w:t>和监测</w:t>
            </w:r>
            <w:r>
              <w:rPr>
                <w:rFonts w:hint="eastAsia" w:ascii="Times New Roman" w:hAnsi="Times New Roman" w:eastAsia="宋体" w:cs="Times New Roman"/>
                <w:b/>
                <w:sz w:val="24"/>
              </w:rPr>
              <w:t>结果</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993"/>
              <w:gridCol w:w="984"/>
              <w:gridCol w:w="577"/>
              <w:gridCol w:w="415"/>
              <w:gridCol w:w="1146"/>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99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99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8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992"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993" w:type="dxa"/>
                  <w:vMerge w:val="continue"/>
                  <w:tcBorders>
                    <w:tl2br w:val="nil"/>
                    <w:tr2bl w:val="nil"/>
                  </w:tcBorders>
                  <w:vAlign w:val="center"/>
                </w:tcPr>
                <w:p>
                  <w:pPr>
                    <w:jc w:val="center"/>
                    <w:rPr>
                      <w:rFonts w:ascii="Times New Roman" w:hAnsi="Times New Roman" w:eastAsia="宋体" w:cs="Times New Roman"/>
                      <w:szCs w:val="21"/>
                    </w:rPr>
                  </w:pPr>
                </w:p>
              </w:tc>
              <w:tc>
                <w:tcPr>
                  <w:tcW w:w="984"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6</w:t>
                  </w:r>
                </w:p>
              </w:tc>
              <w:tc>
                <w:tcPr>
                  <w:tcW w:w="992"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r>
                    <w:rPr>
                      <w:rFonts w:ascii="Times New Roman" w:hAnsi="Times New Roman" w:eastAsia="宋体" w:cs="Times New Roman"/>
                      <w:bCs/>
                      <w:szCs w:val="21"/>
                    </w:rPr>
                    <w:t>5</w:t>
                  </w:r>
                </w:p>
              </w:tc>
              <w:tc>
                <w:tcPr>
                  <w:tcW w:w="11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17</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6</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9</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0</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8</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4</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84"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p>
              </w:tc>
              <w:tc>
                <w:tcPr>
                  <w:tcW w:w="992"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5</w:t>
                  </w:r>
                </w:p>
              </w:tc>
              <w:tc>
                <w:tcPr>
                  <w:tcW w:w="11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continue"/>
                  <w:tcBorders>
                    <w:tl2br w:val="nil"/>
                    <w:tr2bl w:val="nil"/>
                  </w:tcBorders>
                  <w:vAlign w:val="center"/>
                </w:tcPr>
                <w:p>
                  <w:pPr>
                    <w:jc w:val="center"/>
                    <w:rPr>
                      <w:rFonts w:ascii="Times New Roman" w:hAnsi="Times New Roman" w:eastAsia="宋体" w:cs="Times New Roman"/>
                      <w:szCs w:val="21"/>
                    </w:rPr>
                  </w:pP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512</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487</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.04</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.08</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.10</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8"/>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备注：监测结果表明，液阻、密闭性、汽液比均满足</w:t>
                  </w:r>
                  <w:r>
                    <w:t>《加油站大气污染物排放标准》(GB20952-2007)</w:t>
                  </w:r>
                  <w:r>
                    <w:rPr>
                      <w:rFonts w:hint="eastAsia"/>
                    </w:rPr>
                    <w:t>要求</w:t>
                  </w:r>
                  <w:r>
                    <w:t>。</w:t>
                  </w:r>
                </w:p>
              </w:tc>
            </w:tr>
          </w:tbl>
          <w:p>
            <w:pPr>
              <w:spacing w:line="360" w:lineRule="auto"/>
              <w:rPr>
                <w:rFonts w:ascii="Times New Roman" w:hAnsi="Times New Roman" w:cs="Times New Roman"/>
                <w:bCs/>
                <w:sz w:val="24"/>
              </w:rPr>
            </w:pPr>
          </w:p>
          <w:p>
            <w:pPr>
              <w:spacing w:line="360" w:lineRule="auto"/>
              <w:ind w:firstLine="562" w:firstLineChars="200"/>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7" w:name="_Toc2044"/>
      <w:bookmarkStart w:id="58" w:name="_Toc27235"/>
      <w:bookmarkStart w:id="59" w:name="_Toc20547"/>
      <w:r>
        <w:rPr>
          <w:rFonts w:ascii="Times New Roman" w:hAnsi="Times New Roman" w:cs="Times New Roman"/>
          <w:b/>
          <w:sz w:val="28"/>
          <w:szCs w:val="28"/>
        </w:rPr>
        <w:t>表八  环境管理检查</w:t>
      </w:r>
      <w:bookmarkEnd w:id="57"/>
    </w:p>
    <w:tbl>
      <w:tblPr>
        <w:tblStyle w:val="1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三都县经济、交通、运输业的发展，不断增加了该地区汽油、柴油的需求。因此，三都县三荔高速三洞西加油站的建设可缓解当地对油品的需求。该项目由中海油贵州销售公司投资建设，设3个SF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92#、95#汽油储罐各1个，40m</w:t>
            </w:r>
            <w:r>
              <w:rPr>
                <w:rFonts w:hint="eastAsia" w:ascii="Times New Roman" w:hAnsi="Times New Roman" w:cs="Times New Roman"/>
                <w:sz w:val="24"/>
                <w:vertAlign w:val="superscript"/>
              </w:rPr>
              <w:t>3</w:t>
            </w:r>
            <w:r>
              <w:rPr>
                <w:rFonts w:hint="eastAsia" w:ascii="Times New Roman" w:hAnsi="Times New Roman" w:cs="Times New Roman"/>
                <w:sz w:val="24"/>
              </w:rPr>
              <w:t>柴油储罐1个，4台加油机，预计5年后销年售柴油品2500吨，汽油7000吨。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中海油贵州销售公司三都三荔高速三洞西加油站建设项目</w:t>
            </w:r>
            <w:r>
              <w:rPr>
                <w:rFonts w:ascii="Times New Roman" w:hAnsi="Times New Roman" w:cs="Times New Roman"/>
                <w:spacing w:val="-4"/>
                <w:kern w:val="0"/>
                <w:sz w:val="24"/>
              </w:rPr>
              <w:t>环境影响评价报告表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6</w:t>
            </w:r>
            <w:r>
              <w:rPr>
                <w:rFonts w:ascii="Times New Roman" w:hAnsi="Times New Roman" w:cs="Times New Roman"/>
                <w:sz w:val="24"/>
              </w:rPr>
              <w:t>日取得</w:t>
            </w:r>
            <w:r>
              <w:rPr>
                <w:rFonts w:hint="eastAsia" w:ascii="Times New Roman" w:hAnsi="Times New Roman" w:cs="Times New Roman"/>
                <w:sz w:val="24"/>
              </w:rPr>
              <w:t>黔南州生态</w:t>
            </w:r>
            <w:r>
              <w:rPr>
                <w:rFonts w:ascii="Times New Roman" w:hAnsi="Times New Roman" w:cs="Times New Roman"/>
                <w:sz w:val="24"/>
              </w:rPr>
              <w:t>环境局对《</w:t>
            </w:r>
            <w:r>
              <w:rPr>
                <w:rFonts w:hint="eastAsia" w:ascii="Times New Roman" w:hAnsi="Times New Roman" w:eastAsia="宋体" w:cs="Times New Roman"/>
                <w:sz w:val="24"/>
              </w:rPr>
              <w:t>中海油贵州销售公司三都三荔高速三洞西加油站</w:t>
            </w:r>
            <w:r>
              <w:rPr>
                <w:rFonts w:ascii="Times New Roman" w:hAnsi="Times New Roman" w:cs="Times New Roman"/>
                <w:spacing w:val="-4"/>
                <w:kern w:val="0"/>
                <w:sz w:val="24"/>
              </w:rPr>
              <w:t>环境影响评价报告表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黔南环审[2019]42号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4450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51.3</w:t>
            </w:r>
            <w:r>
              <w:rPr>
                <w:rFonts w:ascii="Times New Roman" w:hAnsi="Times New Roman" w:cs="Times New Roman"/>
                <w:sz w:val="24"/>
              </w:rPr>
              <w:t>万元，占总投资</w:t>
            </w:r>
            <w:r>
              <w:rPr>
                <w:rFonts w:hint="eastAsia" w:ascii="Times New Roman" w:hAnsi="Times New Roman" w:cs="Times New Roman"/>
                <w:sz w:val="24"/>
              </w:rPr>
              <w:t>1.15</w:t>
            </w:r>
            <w:r>
              <w:rPr>
                <w:rFonts w:ascii="Times New Roman" w:hAnsi="Times New Roman" w:cs="Times New Roman"/>
                <w:sz w:val="24"/>
              </w:rPr>
              <w:t>%，环保设施基本按环评要求建设，目前已经落实到位，运行正常，环保治理设施由使用工段负责运行维护。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（522700-2020-045-</w:t>
            </w:r>
            <w:r>
              <w:rPr>
                <w:rFonts w:ascii="Times New Roman" w:hAnsi="Times New Roman" w:cs="Times New Roman"/>
                <w:sz w:val="24"/>
              </w:rPr>
              <w:t>L</w:t>
            </w:r>
            <w:r>
              <w:rPr>
                <w:rFonts w:hint="eastAsia" w:ascii="Times New Roman" w:hAnsi="Times New Roman" w:cs="Times New Roman"/>
                <w:sz w:val="24"/>
              </w:rPr>
              <w:t>）</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w:t>
            </w:r>
            <w:r>
              <w:rPr>
                <w:rFonts w:hint="eastAsia" w:ascii="Times New Roman" w:hAnsi="Times New Roman" w:cs="Times New Roman"/>
                <w:color w:val="000000" w:themeColor="text1"/>
                <w:sz w:val="24"/>
              </w:rPr>
              <w:t>区域</w:t>
            </w:r>
            <w:r>
              <w:rPr>
                <w:rFonts w:ascii="Times New Roman" w:hAnsi="Times New Roman" w:cs="Times New Roman"/>
                <w:color w:val="000000" w:themeColor="text1"/>
                <w:sz w:val="24"/>
              </w:rPr>
              <w:t>有</w:t>
            </w:r>
            <w:r>
              <w:rPr>
                <w:rFonts w:hint="eastAsia" w:ascii="Times New Roman" w:hAnsi="Times New Roman" w:cs="Times New Roman"/>
                <w:color w:val="000000" w:themeColor="text1"/>
                <w:sz w:val="24"/>
              </w:rPr>
              <w:t>1310m</w:t>
            </w:r>
            <w:r>
              <w:rPr>
                <w:rFonts w:hint="eastAsia" w:ascii="Times New Roman" w:hAnsi="Times New Roman" w:cs="Times New Roman"/>
                <w:color w:val="000000" w:themeColor="text1"/>
                <w:sz w:val="24"/>
                <w:vertAlign w:val="superscript"/>
              </w:rPr>
              <w:t>2</w:t>
            </w:r>
            <w:r>
              <w:rPr>
                <w:rFonts w:ascii="Times New Roman" w:hAnsi="Times New Roman" w:cs="Times New Roman"/>
                <w:color w:val="000000" w:themeColor="text1"/>
                <w:sz w:val="24"/>
              </w:rPr>
              <w:t>绿化，项目应加强</w:t>
            </w:r>
            <w:r>
              <w:rPr>
                <w:rFonts w:hint="eastAsia" w:ascii="Times New Roman" w:hAnsi="Times New Roman" w:cs="Times New Roman"/>
                <w:color w:val="000000" w:themeColor="text1"/>
                <w:sz w:val="24"/>
              </w:rPr>
              <w:t>区域</w:t>
            </w:r>
            <w:r>
              <w:rPr>
                <w:rFonts w:ascii="Times New Roman" w:hAnsi="Times New Roman" w:cs="Times New Roman"/>
                <w:color w:val="000000" w:themeColor="text1"/>
                <w:sz w:val="24"/>
              </w:rPr>
              <w:t>绿化维护。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6"/>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本项目产生废水主要为生活废水、地坪冲洗水。</w:t>
                  </w:r>
                </w:p>
                <w:p>
                  <w:pPr>
                    <w:adjustRightInd w:val="0"/>
                    <w:snapToGrid w:val="0"/>
                    <w:ind w:firstLine="420" w:firstLineChars="200"/>
                    <w:rPr>
                      <w:rFonts w:ascii="Times New Roman" w:hAnsi="Times New Roman" w:eastAsia="宋体" w:cs="Times New Roman"/>
                      <w:kern w:val="0"/>
                      <w:szCs w:val="21"/>
                    </w:rPr>
                  </w:pPr>
                  <w:r>
                    <w:t>场地冲洗水经隔油池预处理与其他生活污水一并进入三级化 粪池处理达《污水综合排放标 准标准》(GB8978-1996)中三级 标准后，依托三都水族自治县 三荔高速三洞服务区污水处理 站。处理达到《城镇污水处理 厂污染物排放标准》 (GB18918-2002)一级 B 标准后， 回用于绿化或农灌，不外排</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场地冲洗水经隔油池预处理与其他生活废水一并进入三级化粪池处理达</w:t>
                  </w:r>
                  <w:r>
                    <w:t>《污水综合排放标准》(GB8978-1996)三级</w:t>
                  </w:r>
                  <w:r>
                    <w:rPr>
                      <w:rFonts w:hint="eastAsia"/>
                    </w:rPr>
                    <w:t>标准后，依托三荔高速三洞服务区污水处理站处理达</w:t>
                  </w:r>
                  <w:r>
                    <w:t>《</w:t>
                  </w:r>
                  <w:r>
                    <w:rPr>
                      <w:rFonts w:hint="eastAsia"/>
                    </w:rPr>
                    <w:t>城镇污水处理厂污染物</w:t>
                  </w:r>
                  <w:r>
                    <w:t>排放标准》</w:t>
                  </w:r>
                  <w:r>
                    <w:rPr>
                      <w:rFonts w:hint="eastAsia"/>
                    </w:rPr>
                    <w:t>（G</w:t>
                  </w:r>
                  <w:r>
                    <w:t>B18918-2002</w:t>
                  </w:r>
                  <w:r>
                    <w:rPr>
                      <w:rFonts w:hint="eastAsia"/>
                    </w:rPr>
                    <w:t>）一级B标准后，回用于绿化或农灌，禁止未处理达标废水排入外环境。</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：项目区内排水采用雨污分流。</w:t>
                  </w:r>
                </w:p>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雨水</w:t>
                  </w:r>
                  <w:r>
                    <w:t>水经落水管流至地面，与地面雨水汇集到排雨水管(400mm*200mm，地面坡度为0.4%)，排出站外；</w:t>
                  </w:r>
                  <w:r>
                    <w:rPr>
                      <w:rFonts w:hint="eastAsia" w:ascii="Times New Roman" w:hAnsi="Times New Roman" w:eastAsia="宋体" w:cs="Times New Roman"/>
                      <w:kern w:val="0"/>
                      <w:szCs w:val="21"/>
                    </w:rPr>
                    <w:t>；</w:t>
                  </w:r>
                </w:p>
                <w:p>
                  <w:pPr>
                    <w:widowControl/>
                    <w:ind w:firstLine="420" w:firstLineChars="200"/>
                    <w:jc w:val="left"/>
                    <w:rPr>
                      <w:rFonts w:ascii="Times New Roman" w:hAnsi="Times New Roman" w:eastAsia="宋体" w:cs="Times New Roman"/>
                      <w:kern w:val="0"/>
                      <w:szCs w:val="21"/>
                    </w:rPr>
                  </w:pPr>
                  <w:r>
                    <w:t>场地冲洗水经隔油池预处理与其他生活污水一并进入三级化 粪池处理达《污水综合排放标 准标(GB8978-1996)中三级 标准后，依托三都水族自治县 三荔高速三洞服务区污水处理站。处理达到《城镇污水处理 厂污染物排放标准》 (GB18918-2002)一级 B 标准后， 回用于绿化或农灌，不外排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运营期大气环境影响主要为油品挥发产生的非甲烷烃类和汽车尾气。储存罐应采用地埋式工艺安放储罐，保持油罐的恒温，减少烃类物质的排放；加强加油站的管理减少汽车滞留时间，加油工人的操作规范教育，减少因人为因素而造成的成品油的损失对大气的影响；并设置油气回收装置，严格管理，提高设备的自动化控制水平。该套油气回收系统的液阻、气液比、密闭性均需达到《加油站大气污染物排放标（GB20952-2007）的要求。</w:t>
                  </w:r>
                </w:p>
              </w:tc>
              <w:tc>
                <w:tcPr>
                  <w:tcW w:w="2361" w:type="dxa"/>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油罐选用双层防渗罐体，油罐区、卸油区隔池、暂存间按照规定配套相关防渗措施，定期巡查维护油罐设施及防渗措施，确保地下水及土壤安全。油罐大小呼吸机、加油作业机等设备配套油气回收装置，并加强油气回收设施设备维护理，保证油气回收设施设备正常运行，油气排放满足《加油站大气污染物排放标准</w:t>
                  </w:r>
                  <w:r>
                    <w:t>》</w:t>
                  </w:r>
                  <w:r>
                    <w:rPr>
                      <w:rFonts w:hint="eastAsia" w:ascii="Times New Roman" w:hAnsi="Times New Roman" w:eastAsia="宋体" w:cs="Times New Roman"/>
                      <w:kern w:val="0"/>
                      <w:szCs w:val="21"/>
                    </w:rPr>
                    <w:t>( GB20952-2007)限值要求。</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建设项目采用</w:t>
                  </w:r>
                  <w:r>
                    <w:rPr>
                      <w:rFonts w:hint="eastAsia" w:ascii="Times New Roman" w:hAnsi="Times New Roman" w:cs="Times New Roman"/>
                      <w:szCs w:val="21"/>
                    </w:rPr>
                    <w:t>SF双层地埋储罐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8"/>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本项目通过设置油气回收系统、自然扩散、加强绿化及加油车辆管理，项目产生的非甲烷总烃及汽车尾气对环境的影响较小。</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6"/>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防振、绿化、消声等措施控制，可以大大降低噪声，对外环境影响小；风机、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选用低噪声设备，采取限速限载，禁止鸣笛，减震、消声、绿化等防治措施减少对周边环境的影响。</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防振、消声措施控制；站区内、外加强绿化等措施，减小项目产生的噪声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集中收集后暂存于不小于100</w:t>
                  </w:r>
                  <w:r>
                    <w:rPr>
                      <w:szCs w:val="21"/>
                    </w:rPr>
                    <w:t>L</w:t>
                  </w:r>
                  <w:r>
                    <w:rPr>
                      <w:rFonts w:hint="eastAsia"/>
                      <w:szCs w:val="21"/>
                    </w:rPr>
                    <w:t>防腐铁桶，定期委托具有危险废物处置资质的单位进行处置。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由环卫部门统一处理集中处理。隔油池油泥、储油罐油泥、设备维修产生的废机油等属于危险废物，须按照《危险废物贮存污染控制标准》(GB18597-2001)的有关规定收集、暂存交由有资质的单位进行处置，并按《危险废物转移联单管理办法》进行登记处理。</w:t>
                  </w:r>
                </w:p>
              </w:tc>
              <w:tc>
                <w:tcPr>
                  <w:tcW w:w="3889" w:type="dxa"/>
                  <w:tcBorders>
                    <w:top w:val="single" w:color="auto" w:sz="4" w:space="0"/>
                    <w:bottom w:val="single" w:color="auto" w:sz="12" w:space="0"/>
                    <w:right w:val="nil"/>
                  </w:tcBorders>
                  <w:vAlign w:val="center"/>
                </w:tcPr>
                <w:p>
                  <w:pPr>
                    <w:pStyle w:val="8"/>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w:t>
                  </w:r>
                </w:p>
                <w:p>
                  <w:pPr>
                    <w:pStyle w:val="8"/>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油泥与废机油等危险废物由加油站委托有资质单位对产生的危废进行现场处理，不在加油站场区内贮存。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60"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8"/>
      <w:bookmarkEnd w:id="59"/>
      <w:bookmarkEnd w:id="6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61"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61"/>
          </w:p>
          <w:p>
            <w:pPr>
              <w:tabs>
                <w:tab w:val="left" w:pos="395"/>
              </w:tabs>
              <w:spacing w:line="360" w:lineRule="auto"/>
              <w:ind w:firstLine="480" w:firstLineChars="200"/>
              <w:rPr>
                <w:rFonts w:ascii="Times New Roman" w:hAnsi="Times New Roman" w:eastAsia="宋体" w:cs="Times New Roman"/>
                <w:b/>
                <w:sz w:val="24"/>
              </w:rPr>
            </w:pPr>
            <w:bookmarkStart w:id="62" w:name="_Toc18451"/>
            <w:r>
              <w:rPr>
                <w:rFonts w:hint="eastAsia" w:ascii="Times New Roman" w:hAnsi="Times New Roman" w:cs="Times New Roman"/>
                <w:sz w:val="24"/>
              </w:rPr>
              <w:t>中海油贵州销售公司三都三荔高速三洞西加油站建设项目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雨水经雨水收集管收集排出项目区外；</w:t>
            </w:r>
            <w:r>
              <w:rPr>
                <w:sz w:val="24"/>
              </w:rPr>
              <w:t>场地冲洗水经隔油池预处理与其他生活污水一并进入三级化粪池处理</w:t>
            </w:r>
            <w:r>
              <w:rPr>
                <w:rFonts w:hint="eastAsia"/>
                <w:sz w:val="24"/>
              </w:rPr>
              <w:t>经监测</w:t>
            </w:r>
            <w:r>
              <w:rPr>
                <w:sz w:val="24"/>
              </w:rPr>
              <w:t>达《污水综合排放标准标》(GB8978-1996)中三级标准后，依托三都水族自治县三荔高速三洞服务区污水处理站</w:t>
            </w:r>
            <w:r>
              <w:rPr>
                <w:rFonts w:hint="eastAsia"/>
                <w:sz w:val="24"/>
              </w:rPr>
              <w:t>，</w:t>
            </w:r>
            <w:r>
              <w:rPr>
                <w:sz w:val="24"/>
              </w:rPr>
              <w:t>处理达到《城镇污水处理厂污染物排放标准》 (GB18918-2002)一级 B 标准后</w:t>
            </w:r>
            <w:r>
              <w:rPr>
                <w:rFonts w:hint="eastAsia"/>
                <w:sz w:val="24"/>
              </w:rPr>
              <w:t>，</w:t>
            </w:r>
            <w:r>
              <w:rPr>
                <w:sz w:val="24"/>
              </w:rPr>
              <w:t xml:space="preserve"> 回用于绿化或农灌，不外排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及4a类（东侧）</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本项目未设置污染物排放总量指标</w:t>
            </w:r>
            <w:r>
              <w:rPr>
                <w:rFonts w:hint="eastAsia" w:ascii="Times New Roman" w:hAnsi="Times New Roman" w:cs="Times New Roman"/>
                <w:bCs/>
                <w:sz w:val="24"/>
              </w:rPr>
              <w:t>。</w:t>
            </w: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2"/>
          </w:p>
          <w:p>
            <w:pPr>
              <w:spacing w:before="156" w:beforeLines="50" w:line="360" w:lineRule="auto"/>
              <w:ind w:firstLine="480" w:firstLineChars="200"/>
              <w:outlineLvl w:val="0"/>
              <w:rPr>
                <w:rFonts w:ascii="Times New Roman" w:hAnsi="Times New Roman" w:cs="Times New Roman"/>
                <w:sz w:val="24"/>
              </w:rPr>
            </w:pPr>
            <w:bookmarkStart w:id="63" w:name="_Toc8701"/>
            <w:bookmarkStart w:id="64" w:name="_Toc7543"/>
            <w:bookmarkStart w:id="65" w:name="_Toc1131"/>
            <w:bookmarkStart w:id="66" w:name="_Toc2288"/>
            <w:r>
              <w:rPr>
                <w:rFonts w:ascii="Times New Roman" w:hAnsi="Times New Roman" w:cs="Times New Roman"/>
                <w:sz w:val="24"/>
              </w:rPr>
              <w:t>（1）严格遵守国家和地方的有关环保法律、法规，并落实报告表中提出的各项污染防治措施，实现污染物达标排放。</w:t>
            </w:r>
            <w:bookmarkEnd w:id="63"/>
            <w:bookmarkEnd w:id="64"/>
            <w:bookmarkEnd w:id="65"/>
            <w:bookmarkEnd w:id="66"/>
          </w:p>
          <w:p>
            <w:pPr>
              <w:spacing w:before="156" w:beforeLines="50"/>
              <w:ind w:firstLine="480" w:firstLineChars="200"/>
              <w:outlineLvl w:val="0"/>
              <w:rPr>
                <w:rFonts w:ascii="Times New Roman" w:hAnsi="Times New Roman" w:cs="Times New Roman"/>
                <w:sz w:val="24"/>
              </w:rPr>
            </w:pPr>
            <w:bookmarkStart w:id="67" w:name="_Toc17074"/>
            <w:bookmarkStart w:id="68" w:name="_Toc19503"/>
            <w:bookmarkStart w:id="69" w:name="_Toc25057"/>
            <w:bookmarkStart w:id="70" w:name="_Toc1901"/>
            <w:r>
              <w:rPr>
                <w:rFonts w:ascii="Times New Roman" w:hAnsi="Times New Roman" w:cs="Times New Roman"/>
                <w:sz w:val="24"/>
              </w:rPr>
              <w:t>（2）建议对工作人员进行专业的环保知识培训，加强环保意识。</w:t>
            </w:r>
            <w:bookmarkEnd w:id="67"/>
            <w:bookmarkEnd w:id="68"/>
            <w:bookmarkEnd w:id="69"/>
            <w:bookmarkEnd w:id="70"/>
          </w:p>
          <w:p>
            <w:pPr>
              <w:spacing w:before="156" w:beforeLines="50"/>
              <w:ind w:firstLine="480" w:firstLineChars="200"/>
              <w:outlineLvl w:val="0"/>
              <w:rPr>
                <w:rFonts w:ascii="Times New Roman" w:hAnsi="Times New Roman" w:cs="Times New Roman"/>
                <w:color w:val="000000" w:themeColor="text1"/>
                <w:sz w:val="24"/>
              </w:rPr>
            </w:pPr>
            <w:bookmarkStart w:id="71" w:name="_Toc6143"/>
            <w:bookmarkStart w:id="72" w:name="_Toc21958"/>
            <w:bookmarkStart w:id="73" w:name="_Toc26541"/>
            <w:bookmarkStart w:id="74" w:name="_Toc17305"/>
            <w:r>
              <w:rPr>
                <w:rFonts w:ascii="Times New Roman" w:hAnsi="Times New Roman" w:cs="Times New Roman"/>
                <w:sz w:val="24"/>
              </w:rPr>
              <w:t>（3）加强厂区</w:t>
            </w:r>
            <w:r>
              <w:rPr>
                <w:rFonts w:ascii="Times New Roman" w:hAnsi="Times New Roman" w:cs="Times New Roman"/>
                <w:color w:val="000000" w:themeColor="text1"/>
                <w:sz w:val="24"/>
              </w:rPr>
              <w:t>管理建设，使厂区工作环境保持干净整洁。</w:t>
            </w:r>
            <w:bookmarkEnd w:id="71"/>
            <w:bookmarkEnd w:id="72"/>
            <w:bookmarkEnd w:id="73"/>
            <w:bookmarkEnd w:id="74"/>
          </w:p>
          <w:p>
            <w:pPr>
              <w:spacing w:before="156" w:beforeLines="50"/>
              <w:ind w:firstLine="480" w:firstLineChars="200"/>
              <w:outlineLvl w:val="0"/>
              <w:rPr>
                <w:rFonts w:ascii="Times New Roman" w:hAnsi="Times New Roman" w:cs="Times New Roman"/>
                <w:color w:val="000000" w:themeColor="text1"/>
                <w:sz w:val="24"/>
              </w:rPr>
            </w:pPr>
            <w:bookmarkStart w:id="75" w:name="_Toc17679"/>
            <w:bookmarkStart w:id="76" w:name="_Toc25887"/>
            <w:bookmarkStart w:id="77" w:name="_Toc6359"/>
            <w:bookmarkStart w:id="78" w:name="_Toc32030"/>
            <w:r>
              <w:rPr>
                <w:rFonts w:ascii="Times New Roman" w:hAnsi="Times New Roman" w:cs="Times New Roman"/>
                <w:color w:val="000000" w:themeColor="text1"/>
                <w:sz w:val="24"/>
              </w:rPr>
              <w:t>（4）建立完整的环保手续档案。</w:t>
            </w:r>
            <w:bookmarkEnd w:id="75"/>
            <w:bookmarkEnd w:id="76"/>
            <w:bookmarkEnd w:id="77"/>
            <w:bookmarkEnd w:id="78"/>
          </w:p>
          <w:p>
            <w:pPr>
              <w:spacing w:before="156" w:beforeLines="50"/>
              <w:ind w:firstLine="480" w:firstLineChars="200"/>
              <w:outlineLvl w:val="0"/>
              <w:rPr>
                <w:rFonts w:ascii="Times New Roman" w:hAnsi="Times New Roman" w:cs="Times New Roman"/>
                <w:color w:val="000000" w:themeColor="text1"/>
                <w:sz w:val="24"/>
              </w:rPr>
            </w:pPr>
            <w:bookmarkStart w:id="79" w:name="_Toc28859"/>
            <w:bookmarkStart w:id="80" w:name="_Toc32316"/>
            <w:r>
              <w:rPr>
                <w:rFonts w:ascii="Times New Roman" w:hAnsi="Times New Roman" w:cs="Times New Roman"/>
                <w:color w:val="000000" w:themeColor="text1"/>
                <w:sz w:val="24"/>
              </w:rPr>
              <w:t>（5）加强厂区绿化。</w:t>
            </w:r>
            <w:bookmarkEnd w:id="79"/>
            <w:bookmarkEnd w:id="80"/>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p>
          <w:p>
            <w:pPr>
              <w:spacing w:before="156" w:beforeLines="50"/>
              <w:ind w:firstLine="480" w:firstLineChars="200"/>
              <w:outlineLvl w:val="0"/>
              <w:rPr>
                <w:rFonts w:ascii="Times New Roman" w:hAnsi="Times New Roman" w:cs="Times New Roman"/>
                <w:color w:val="000000" w:themeColor="text1"/>
                <w:sz w:val="24"/>
              </w:rPr>
            </w:pPr>
          </w:p>
          <w:p>
            <w:pPr>
              <w:spacing w:before="156" w:beforeLines="50"/>
              <w:ind w:firstLine="562" w:firstLineChars="200"/>
              <w:outlineLvl w:val="0"/>
              <w:rPr>
                <w:rFonts w:ascii="Times New Roman" w:hAnsi="Times New Roman" w:cs="Times New Roman"/>
                <w:b/>
                <w:bCs/>
                <w:sz w:val="28"/>
                <w:szCs w:val="28"/>
              </w:rPr>
            </w:pP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81" w:name="_Toc14546"/>
    </w:p>
    <w:p>
      <w:pPr>
        <w:spacing w:before="156" w:beforeLines="50"/>
        <w:outlineLvl w:val="0"/>
        <w:rPr>
          <w:rFonts w:ascii="Times New Roman" w:hAnsi="Times New Roman" w:eastAsia="宋体" w:cs="Times New Roman"/>
          <w:b/>
          <w:bCs/>
          <w:sz w:val="28"/>
          <w:szCs w:val="28"/>
        </w:rPr>
      </w:pPr>
      <w:bookmarkStart w:id="82"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81"/>
      <w:r>
        <w:rPr>
          <w:rFonts w:ascii="Times New Roman" w:hAnsi="Times New Roman" w:cs="Times New Roman"/>
          <w:b/>
          <w:bCs/>
          <w:sz w:val="28"/>
          <w:szCs w:val="28"/>
        </w:rPr>
        <w:t>、附图</w:t>
      </w:r>
      <w:bookmarkEnd w:id="82"/>
      <w:r>
        <w:rPr>
          <w:rFonts w:ascii="Times New Roman" w:hAnsi="Times New Roman" w:cs="Times New Roman"/>
          <w:b/>
          <w:bCs/>
          <w:sz w:val="28"/>
          <w:szCs w:val="28"/>
        </w:rPr>
        <w:t>及附表</w:t>
      </w:r>
    </w:p>
    <w:tbl>
      <w:tblPr>
        <w:tblStyle w:val="16"/>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：环评</w:t>
            </w:r>
            <w:r>
              <w:rPr>
                <w:rFonts w:hint="eastAsia" w:ascii="Times New Roman" w:hAnsi="Times New Roman" w:cs="Times New Roman"/>
                <w:b/>
                <w:bCs/>
                <w:sz w:val="24"/>
              </w:rPr>
              <w:t>及环评</w:t>
            </w:r>
            <w:r>
              <w:rPr>
                <w:rFonts w:ascii="Times New Roman" w:hAnsi="Times New Roman" w:cs="Times New Roman"/>
                <w:b/>
                <w:bCs/>
                <w:sz w:val="24"/>
              </w:rPr>
              <w:t>批复</w:t>
            </w:r>
          </w:p>
          <w:p>
            <w:pPr>
              <w:rPr>
                <w:rFonts w:ascii="Times New Roman" w:hAnsi="Times New Roman" w:cs="Times New Roman"/>
                <w:b/>
                <w:bCs/>
                <w:sz w:val="24"/>
              </w:rPr>
            </w:pPr>
          </w:p>
          <w:p>
            <w:pPr>
              <w:rPr>
                <w:rFonts w:ascii="Times New Roman" w:hAnsi="Times New Roman" w:cs="Times New Roman"/>
                <w:b/>
                <w:bCs/>
                <w:sz w:val="24"/>
              </w:rPr>
            </w:pPr>
            <w:r>
              <w:drawing>
                <wp:inline distT="0" distB="0" distL="0" distR="0">
                  <wp:extent cx="5806440" cy="7635240"/>
                  <wp:effectExtent l="0" t="0" r="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06440" cy="7635240"/>
                          </a:xfrm>
                          <a:prstGeom prst="rect">
                            <a:avLst/>
                          </a:prstGeom>
                          <a:noFill/>
                        </pic:spPr>
                      </pic:pic>
                    </a:graphicData>
                  </a:graphic>
                </wp:inline>
              </w:drawing>
            </w:r>
          </w:p>
          <w:p>
            <w:pPr>
              <w:rPr>
                <w:rFonts w:ascii="Times New Roman" w:hAnsi="Times New Roman" w:cs="Times New Roman"/>
                <w:b/>
                <w:bCs/>
                <w:sz w:val="24"/>
              </w:rPr>
            </w:pPr>
            <w:r>
              <w:rPr>
                <w:rFonts w:ascii="宋体" w:hAnsi="宋体" w:eastAsia="宋体" w:cs="宋体"/>
                <w:kern w:val="0"/>
                <w:sz w:val="24"/>
              </w:rPr>
              <w:drawing>
                <wp:anchor distT="0" distB="0" distL="114300" distR="114300" simplePos="0" relativeHeight="251656192" behindDoc="1" locked="0" layoutInCell="1" allowOverlap="1">
                  <wp:simplePos x="0" y="0"/>
                  <wp:positionH relativeFrom="page">
                    <wp:posOffset>-298450</wp:posOffset>
                  </wp:positionH>
                  <wp:positionV relativeFrom="page">
                    <wp:posOffset>-157480</wp:posOffset>
                  </wp:positionV>
                  <wp:extent cx="6153150" cy="8698865"/>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anchor>
              </w:drawing>
            </w:r>
          </w:p>
          <w:p>
            <w:pPr>
              <w:rPr>
                <w:rFonts w:ascii="Times New Roman" w:hAnsi="Times New Roman" w:cs="Times New Roman"/>
                <w:b/>
                <w:bCs/>
                <w:sz w:val="24"/>
              </w:rPr>
            </w:pPr>
          </w:p>
          <w:p>
            <w:pPr>
              <w:rPr>
                <w:rFonts w:ascii="Times New Roman" w:hAnsi="Times New Roman" w:cs="Times New Roman"/>
                <w:b/>
                <w:bCs/>
                <w:sz w:val="24"/>
              </w:rPr>
            </w:pPr>
            <w:r>
              <w:rPr>
                <w:rFonts w:ascii="宋体" w:hAnsi="宋体" w:eastAsia="宋体" w:cs="宋体"/>
                <w:kern w:val="0"/>
                <w:sz w:val="24"/>
              </w:rPr>
              <w:drawing>
                <wp:anchor distT="0" distB="0" distL="114300" distR="114300" simplePos="0" relativeHeight="251661312" behindDoc="1" locked="0" layoutInCell="1" allowOverlap="1">
                  <wp:simplePos x="0" y="0"/>
                  <wp:positionH relativeFrom="page">
                    <wp:posOffset>-298450</wp:posOffset>
                  </wp:positionH>
                  <wp:positionV relativeFrom="page">
                    <wp:posOffset>-157480</wp:posOffset>
                  </wp:positionV>
                  <wp:extent cx="6153150" cy="8698865"/>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anchor>
              </w:drawing>
            </w: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pStyle w:val="5"/>
              <w:outlineLvl w:val="3"/>
              <w:rPr>
                <w:rFonts w:ascii="Times New Roman" w:hAnsi="Times New Roman" w:cs="Times New Roman"/>
                <w:bCs/>
                <w:color w:val="FF0000"/>
                <w:sz w:val="24"/>
              </w:rPr>
            </w:pPr>
          </w:p>
          <w:p>
            <w:r>
              <w:rPr>
                <w:rFonts w:ascii="宋体" w:hAnsi="宋体" w:eastAsia="宋体" w:cs="宋体"/>
                <w:kern w:val="0"/>
                <w:sz w:val="24"/>
              </w:rPr>
              <w:drawing>
                <wp:anchor distT="0" distB="0" distL="114300" distR="114300" simplePos="0" relativeHeight="251658240" behindDoc="1" locked="0" layoutInCell="1" allowOverlap="1">
                  <wp:simplePos x="0" y="0"/>
                  <wp:positionH relativeFrom="page">
                    <wp:posOffset>-298450</wp:posOffset>
                  </wp:positionH>
                  <wp:positionV relativeFrom="page">
                    <wp:posOffset>-157480</wp:posOffset>
                  </wp:positionV>
                  <wp:extent cx="6153150" cy="869886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anchor>
              </w:drawing>
            </w:r>
          </w:p>
          <w:p>
            <w:pPr>
              <w:jc w:val="center"/>
            </w:pPr>
          </w:p>
          <w:p>
            <w:pPr>
              <w:jc w:val="center"/>
            </w:pPr>
          </w:p>
          <w:p>
            <w:pPr>
              <w:jc w:val="center"/>
            </w:pPr>
          </w:p>
          <w:p>
            <w:pPr>
              <w:jc w:val="center"/>
            </w:pPr>
          </w:p>
          <w:p>
            <w:pPr>
              <w:jc w:val="center"/>
            </w:pPr>
          </w:p>
          <w:p>
            <w:pPr>
              <w:jc w:val="cente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r>
              <w:rPr>
                <w:rFonts w:ascii="宋体" w:hAnsi="宋体" w:eastAsia="宋体" w:cs="宋体"/>
                <w:kern w:val="0"/>
                <w:sz w:val="24"/>
              </w:rPr>
              <w:drawing>
                <wp:anchor distT="0" distB="0" distL="114300" distR="114300" simplePos="0" relativeHeight="251659264" behindDoc="1" locked="0" layoutInCell="1" allowOverlap="1">
                  <wp:simplePos x="0" y="0"/>
                  <wp:positionH relativeFrom="page">
                    <wp:posOffset>-298450</wp:posOffset>
                  </wp:positionH>
                  <wp:positionV relativeFrom="page">
                    <wp:posOffset>-157480</wp:posOffset>
                  </wp:positionV>
                  <wp:extent cx="6153150" cy="8698865"/>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53150" cy="8698865"/>
                          </a:xfrm>
                          <a:prstGeom prst="rect">
                            <a:avLst/>
                          </a:prstGeom>
                          <a:noFill/>
                        </pic:spPr>
                      </pic:pic>
                    </a:graphicData>
                  </a:graphic>
                </wp:anchor>
              </w:drawing>
            </w: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rPr>
                <w:rFonts w:ascii="Times New Roman" w:hAnsi="Times New Roman" w:eastAsia="宋体" w:cs="Times New Roman"/>
                <w:color w:val="FF0000"/>
              </w:rPr>
            </w:pPr>
          </w:p>
          <w:p>
            <w:pPr>
              <w:widowControl/>
            </w:pPr>
          </w:p>
          <w:p>
            <w:pPr>
              <w:widowControl/>
              <w:rPr>
                <w:rFonts w:ascii="Times New Roman" w:hAnsi="Times New Roman" w:eastAsia="宋体" w:cs="Times New Roman"/>
                <w:color w:val="FF0000"/>
              </w:rPr>
            </w:pPr>
            <w:r>
              <w:drawing>
                <wp:inline distT="0" distB="0" distL="0" distR="0">
                  <wp:extent cx="5651500" cy="805878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srcRect l="35118" t="12423" r="36223" b="14929"/>
                          <a:stretch>
                            <a:fillRect/>
                          </a:stretch>
                        </pic:blipFill>
                        <pic:spPr>
                          <a:xfrm>
                            <a:off x="0" y="0"/>
                            <a:ext cx="5666851" cy="8080774"/>
                          </a:xfrm>
                          <a:prstGeom prst="rect">
                            <a:avLst/>
                          </a:prstGeom>
                          <a:ln>
                            <a:noFill/>
                          </a:ln>
                        </pic:spPr>
                      </pic:pic>
                    </a:graphicData>
                  </a:graphic>
                </wp:inline>
              </w:drawing>
            </w:r>
          </w:p>
        </w:tc>
      </w:tr>
    </w:tbl>
    <w:p>
      <w:pPr>
        <w:rPr>
          <w:rFonts w:ascii="Times New Roman" w:hAnsi="Times New Roman" w:cs="Times New Roman"/>
        </w:rPr>
        <w:sectPr>
          <w:pgSz w:w="11850" w:h="16783"/>
          <w:pgMar w:top="1440" w:right="1080" w:bottom="1440" w:left="1080" w:header="851" w:footer="992" w:gutter="0"/>
          <w:cols w:space="425" w:num="1"/>
          <w:docGrid w:type="lines" w:linePitch="312" w:charSpace="0"/>
        </w:sectPr>
      </w:pPr>
    </w:p>
    <w:p>
      <w:pPr>
        <w:jc w:val="center"/>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160385" cy="51885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160385" cy="5188585"/>
                    </a:xfrm>
                    <a:prstGeom prst="rect">
                      <a:avLst/>
                    </a:prstGeom>
                    <a:noFill/>
                    <a:ln>
                      <a:noFill/>
                    </a:ln>
                  </pic:spPr>
                </pic:pic>
              </a:graphicData>
            </a:graphic>
          </wp:inline>
        </w:drawing>
      </w:r>
    </w:p>
    <w:p/>
    <w:p>
      <w:pPr>
        <w:ind w:firstLine="5481" w:firstLineChars="2600"/>
        <w:rPr>
          <w:b/>
        </w:rPr>
      </w:pPr>
      <w:r>
        <w:rPr>
          <w:rFonts w:hint="eastAsia"/>
          <w:b/>
        </w:rPr>
        <w:t>附图1  项目地理位置图</w:t>
      </w:r>
    </w:p>
    <w:p>
      <w:pPr>
        <w:jc w:val="center"/>
        <w:rPr>
          <w:b/>
        </w:rPr>
        <w:sectPr>
          <w:pgSz w:w="16783" w:h="11850" w:orient="landscape"/>
          <w:pgMar w:top="1080" w:right="1440" w:bottom="1080" w:left="1440" w:header="851" w:footer="992" w:gutter="0"/>
          <w:cols w:space="425" w:num="1"/>
          <w:docGrid w:type="lines" w:linePitch="312" w:charSpace="0"/>
        </w:sectPr>
      </w:pPr>
    </w:p>
    <w:p>
      <w:pPr>
        <w:jc w:val="center"/>
      </w:pPr>
    </w:p>
    <w:p>
      <w:pPr>
        <w:jc w:val="center"/>
      </w:pPr>
      <w:r>
        <w:rPr>
          <w:rFonts w:ascii="宋体" w:hAnsi="宋体" w:eastAsia="宋体" w:cs="宋体"/>
          <w:kern w:val="0"/>
          <w:sz w:val="24"/>
        </w:rPr>
        <w:drawing>
          <wp:anchor distT="0" distB="0" distL="114300" distR="114300" simplePos="0" relativeHeight="251646976" behindDoc="0" locked="0" layoutInCell="1" allowOverlap="1">
            <wp:simplePos x="0" y="0"/>
            <wp:positionH relativeFrom="column">
              <wp:posOffset>472440</wp:posOffset>
            </wp:positionH>
            <wp:positionV relativeFrom="paragraph">
              <wp:posOffset>384810</wp:posOffset>
            </wp:positionV>
            <wp:extent cx="7932420" cy="48387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932420" cy="4838700"/>
                    </a:xfrm>
                    <a:prstGeom prst="rect">
                      <a:avLst/>
                    </a:prstGeom>
                    <a:noFill/>
                    <a:ln>
                      <a:noFill/>
                    </a:ln>
                  </pic:spPr>
                </pic:pic>
              </a:graphicData>
            </a:graphic>
          </wp:anchor>
        </w:drawing>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jc w:val="center"/>
      </w:pPr>
      <w:r>
        <w:rPr>
          <w:rFonts w:hint="eastAsia"/>
        </w:rPr>
        <w:t>附图2</w:t>
      </w:r>
      <w:r>
        <w:t xml:space="preserve"> </w:t>
      </w:r>
      <w:r>
        <w:rPr>
          <w:rFonts w:hint="eastAsia"/>
        </w:rPr>
        <w:t>项目平面布置图</w:t>
      </w:r>
    </w:p>
    <w:p>
      <w:pPr>
        <w:jc w:val="center"/>
      </w:pPr>
    </w:p>
    <w:p>
      <w:pPr>
        <w:widowControl/>
        <w:jc w:val="left"/>
      </w:pPr>
    </w:p>
    <w:p>
      <w:pPr>
        <w:widowControl/>
        <w:jc w:val="left"/>
        <w:rPr>
          <w:rFonts w:eastAsia="宋体"/>
          <w:szCs w:val="20"/>
        </w:rPr>
      </w:pPr>
      <w:r>
        <w:drawing>
          <wp:anchor distT="0" distB="0" distL="114300" distR="114300" simplePos="0" relativeHeight="251650048" behindDoc="0" locked="0" layoutInCell="1" allowOverlap="1">
            <wp:simplePos x="0" y="0"/>
            <wp:positionH relativeFrom="column">
              <wp:posOffset>518160</wp:posOffset>
            </wp:positionH>
            <wp:positionV relativeFrom="paragraph">
              <wp:posOffset>26670</wp:posOffset>
            </wp:positionV>
            <wp:extent cx="7635240" cy="5013960"/>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extLst>
                        <a:ext uri="{28A0092B-C50C-407E-A947-70E740481C1C}">
                          <a14:useLocalDpi xmlns:a14="http://schemas.microsoft.com/office/drawing/2010/main" val="0"/>
                        </a:ext>
                      </a:extLst>
                    </a:blip>
                    <a:srcRect b="8706"/>
                    <a:stretch>
                      <a:fillRect/>
                    </a:stretch>
                  </pic:blipFill>
                  <pic:spPr>
                    <a:xfrm>
                      <a:off x="0" y="0"/>
                      <a:ext cx="7635240" cy="5013960"/>
                    </a:xfrm>
                    <a:prstGeom prst="rect">
                      <a:avLst/>
                    </a:prstGeom>
                    <a:ln>
                      <a:noFill/>
                    </a:ln>
                  </pic:spPr>
                </pic:pic>
              </a:graphicData>
            </a:graphic>
          </wp:anchor>
        </w:drawing>
      </w:r>
    </w:p>
    <w:p>
      <w:pPr>
        <w:tabs>
          <w:tab w:val="left" w:pos="5118"/>
        </w:tabs>
        <w:rPr>
          <w:rFonts w:eastAsia="宋体"/>
          <w:szCs w:val="20"/>
        </w:rPr>
        <w:sectPr>
          <w:pgSz w:w="16783" w:h="11850" w:orient="landscape"/>
          <w:pgMar w:top="1080" w:right="1440" w:bottom="1080" w:left="1440" w:header="851" w:footer="992" w:gutter="0"/>
          <w:cols w:space="425" w:num="1"/>
          <w:docGrid w:type="lines" w:linePitch="312" w:charSpace="0"/>
        </w:sectPr>
      </w:pPr>
      <w:r>
        <w:rPr>
          <w:rFonts w:eastAsia="宋体"/>
          <w:szCs w:val="20"/>
        </w:rPr>
        <w:tab/>
      </w:r>
      <w:r>
        <w:rPr>
          <w:rFonts w:hint="eastAsia" w:eastAsia="宋体"/>
          <w:szCs w:val="20"/>
        </w:rPr>
        <w:t>附图3</w:t>
      </w:r>
      <w:r>
        <w:rPr>
          <w:rFonts w:eastAsia="宋体"/>
          <w:szCs w:val="20"/>
        </w:rPr>
        <w:t xml:space="preserve">  </w:t>
      </w:r>
      <w:r>
        <w:rPr>
          <w:rFonts w:hint="eastAsia" w:eastAsia="宋体"/>
          <w:szCs w:val="20"/>
        </w:rPr>
        <w:t>项目与周边敏感目标关图</w:t>
      </w:r>
    </w:p>
    <w:p>
      <w:pPr>
        <w:widowControl/>
        <w:jc w:val="left"/>
        <w:rPr>
          <w:rFonts w:eastAsia="宋体"/>
          <w:szCs w:val="20"/>
        </w:rPr>
      </w:pPr>
      <w:r>
        <w:drawing>
          <wp:inline distT="0" distB="0" distL="0" distR="0">
            <wp:extent cx="9650730" cy="545401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a:stretch>
                      <a:fillRect/>
                    </a:stretch>
                  </pic:blipFill>
                  <pic:spPr>
                    <a:xfrm>
                      <a:off x="0" y="0"/>
                      <a:ext cx="9677734" cy="5469526"/>
                    </a:xfrm>
                    <a:prstGeom prst="rect">
                      <a:avLst/>
                    </a:prstGeom>
                  </pic:spPr>
                </pic:pic>
              </a:graphicData>
            </a:graphic>
          </wp:inline>
        </w:drawing>
      </w:r>
    </w:p>
    <w:p>
      <w:pPr>
        <w:ind w:firstLine="3780" w:firstLineChars="1800"/>
        <w:rPr>
          <w:b/>
        </w:rPr>
      </w:pPr>
      <w:r>
        <w:t xml:space="preserve">                    </w:t>
      </w:r>
      <w:r>
        <w:rPr>
          <w:rFonts w:hint="eastAsia"/>
          <w:b/>
        </w:rPr>
        <w:t>附图4  项目区域水系图</w:t>
      </w:r>
    </w:p>
    <w:p>
      <w:pPr>
        <w:pStyle w:val="6"/>
        <w:ind w:firstLine="0" w:firstLineChars="0"/>
      </w:pPr>
    </w:p>
    <w:p>
      <w:pPr>
        <w:pStyle w:val="6"/>
        <w:ind w:firstLine="0" w:firstLineChars="0"/>
      </w:pPr>
    </w:p>
    <w:p>
      <w:pPr>
        <w:jc w:val="center"/>
        <w:rPr>
          <w:b/>
        </w:rPr>
      </w:pPr>
    </w:p>
    <w:p>
      <w:pPr>
        <w:jc w:val="center"/>
        <w:rPr>
          <w:b/>
        </w:rPr>
      </w:pPr>
    </w:p>
    <w:p>
      <w:pPr>
        <w:jc w:val="center"/>
        <w:rPr>
          <w:b/>
        </w:rPr>
      </w:pPr>
    </w:p>
    <w:p>
      <w:pPr>
        <w:jc w:val="center"/>
        <w:rPr>
          <w:b/>
        </w:rPr>
      </w:pPr>
      <w:r>
        <w:drawing>
          <wp:inline distT="0" distB="0" distL="0" distR="0">
            <wp:extent cx="7101840" cy="43205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rcRect l="30986" t="19335" r="1345" b="12839"/>
                    <a:stretch>
                      <a:fillRect/>
                    </a:stretch>
                  </pic:blipFill>
                  <pic:spPr>
                    <a:xfrm>
                      <a:off x="0" y="0"/>
                      <a:ext cx="7101840" cy="4320540"/>
                    </a:xfrm>
                    <a:prstGeom prst="rect">
                      <a:avLst/>
                    </a:prstGeom>
                    <a:ln>
                      <a:noFill/>
                    </a:ln>
                  </pic:spPr>
                </pic:pic>
              </a:graphicData>
            </a:graphic>
          </wp:inline>
        </w:drawing>
      </w:r>
    </w:p>
    <w:p>
      <w:pPr>
        <w:jc w:val="center"/>
        <w:rPr>
          <w:b/>
        </w:rPr>
      </w:pPr>
    </w:p>
    <w:p>
      <w:pPr>
        <w:jc w:val="center"/>
        <w:rPr>
          <w:b/>
        </w:rPr>
      </w:pPr>
    </w:p>
    <w:p>
      <w:pPr>
        <w:rPr>
          <w:b/>
        </w:rPr>
      </w:pPr>
    </w:p>
    <w:p>
      <w:pPr>
        <w:jc w:val="center"/>
        <w:rPr>
          <w:b/>
        </w:rPr>
      </w:pPr>
      <w:r>
        <w:rPr>
          <w:rFonts w:hint="eastAsia"/>
          <w:b/>
        </w:rPr>
        <w:t>附图5  项目验收监测布点图</w:t>
      </w:r>
    </w:p>
    <w:p>
      <w:pPr>
        <w:pStyle w:val="6"/>
        <w:ind w:firstLine="0" w:firstLineChars="0"/>
        <w:jc w:val="center"/>
        <w:sectPr>
          <w:pgSz w:w="16783" w:h="11850" w:orient="landscape"/>
          <w:pgMar w:top="1080" w:right="1440" w:bottom="1080" w:left="1440" w:header="851" w:footer="992" w:gutter="0"/>
          <w:cols w:space="425" w:num="1"/>
          <w:docGrid w:type="lines" w:linePitch="312" w:charSpace="0"/>
        </w:sectPr>
      </w:pPr>
    </w:p>
    <w:p>
      <w:pPr>
        <w:pStyle w:val="8"/>
        <w:rPr>
          <w:rFonts w:ascii="Times New Roman" w:hAnsi="Times New Roman" w:cs="Times New Roman"/>
        </w:rPr>
      </w:pPr>
    </w:p>
    <w:p>
      <w:pPr>
        <w:pStyle w:val="8"/>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68480;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填表单位（盖章）：中海油贵州销售公司三都三荔高速三洞西加油站                    填表人（签字）：                                                  项目经办人（签字）：</w:t>
                  </w:r>
                </w:p>
              </w:txbxContent>
            </v:textbox>
          </v:shape>
        </w:pict>
      </w:r>
    </w:p>
    <w:p>
      <w:pPr>
        <w:pStyle w:val="8"/>
        <w:rPr>
          <w:rFonts w:ascii="Times New Roman" w:hAnsi="Times New Roman" w:cs="Times New Roman"/>
        </w:rPr>
      </w:pPr>
    </w:p>
    <w:tbl>
      <w:tblPr>
        <w:tblStyle w:val="15"/>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981"/>
        <w:gridCol w:w="758"/>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exact"/>
          <w:jc w:val="center"/>
        </w:trPr>
        <w:tc>
          <w:tcPr>
            <w:tcW w:w="524" w:type="dxa"/>
            <w:vMerge w:val="restart"/>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建设项目</w:t>
            </w: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rPr>
              <w:pict>
                <v:shape id="_x0000_s1081" o:spid="_x0000_s1081" o:spt="202" type="#_x0000_t202" style="position:absolute;left:0pt;margin-left:76.45pt;margin-top:-47.1pt;height:26.25pt;width:815.25pt;z-index:251667456;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rPr>
                        </w:pPr>
                        <w:r>
                          <w:rPr>
                            <w:rFonts w:hint="eastAsia" w:eastAsia="宋体"/>
                            <w:b/>
                          </w:rPr>
                          <w:t>建设项目工程竣工环境保护“三同时”验收登记表</w:t>
                        </w:r>
                      </w:p>
                    </w:txbxContent>
                  </v:textbox>
                </v:shape>
              </w:pict>
            </w:r>
            <w:r>
              <w:rPr>
                <w:rFonts w:ascii="Times New Roman" w:hAnsi="Times New Roman" w:eastAsia="宋体" w:cs="Times New Roman"/>
                <w:b/>
                <w:sz w:val="18"/>
                <w:szCs w:val="18"/>
              </w:rPr>
              <w:t>项目名称</w:t>
            </w:r>
          </w:p>
        </w:tc>
        <w:tc>
          <w:tcPr>
            <w:tcW w:w="6144" w:type="dxa"/>
            <w:gridSpan w:val="7"/>
            <w:vAlign w:val="center"/>
          </w:tcPr>
          <w:p>
            <w:pPr>
              <w:keepLines/>
              <w:rPr>
                <w:rFonts w:ascii="Times New Roman" w:hAnsi="Times New Roman" w:eastAsia="宋体" w:cs="Times New Roman"/>
                <w:bCs/>
                <w:sz w:val="18"/>
                <w:szCs w:val="18"/>
              </w:rPr>
            </w:pPr>
            <w:r>
              <w:rPr>
                <w:rFonts w:hint="eastAsia" w:eastAsia="宋体"/>
                <w:bCs/>
                <w:sz w:val="18"/>
                <w:szCs w:val="18"/>
              </w:rPr>
              <w:t>中海油贵州销售公司三都三荔高速三洞西</w:t>
            </w:r>
            <w:r>
              <w:rPr>
                <w:rFonts w:hint="eastAsia" w:ascii="Times New Roman" w:hAnsi="Times New Roman" w:eastAsia="宋体" w:cs="Times New Roman"/>
                <w:bCs/>
                <w:sz w:val="18"/>
                <w:szCs w:val="18"/>
              </w:rPr>
              <w:t>加油站建设项目</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项目代码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建设地点</w:t>
            </w:r>
          </w:p>
        </w:tc>
        <w:tc>
          <w:tcPr>
            <w:tcW w:w="4236" w:type="dxa"/>
            <w:gridSpan w:val="3"/>
            <w:vAlign w:val="center"/>
          </w:tcPr>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贵州省黔南州三都水族自治县三荔高速三洞服务区</w:t>
            </w:r>
          </w:p>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西侧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行业类别（分类管理名录）</w:t>
            </w:r>
          </w:p>
        </w:tc>
        <w:tc>
          <w:tcPr>
            <w:tcW w:w="6144" w:type="dxa"/>
            <w:gridSpan w:val="7"/>
            <w:vAlign w:val="center"/>
          </w:tcPr>
          <w:p>
            <w:pPr>
              <w:snapToGrid w:val="0"/>
              <w:rPr>
                <w:rFonts w:ascii="Times New Roman" w:hAnsi="Times New Roman" w:eastAsia="宋体" w:cs="Times New Roman"/>
                <w:sz w:val="18"/>
                <w:szCs w:val="18"/>
              </w:rPr>
            </w:pPr>
            <w:r>
              <w:rPr>
                <w:rFonts w:ascii="Times New Roman" w:hAnsi="Times New Roman" w:eastAsia="宋体" w:cs="Times New Roman"/>
                <w:sz w:val="18"/>
                <w:szCs w:val="18"/>
              </w:rPr>
              <w:t>机动车燃料零售F5264</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建设性质</w:t>
            </w:r>
          </w:p>
        </w:tc>
        <w:tc>
          <w:tcPr>
            <w:tcW w:w="9054" w:type="dxa"/>
            <w:gridSpan w:val="5"/>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sym w:font="Wingdings 2" w:char="0052"/>
            </w:r>
            <w:r>
              <w:rPr>
                <w:rFonts w:ascii="Times New Roman" w:hAnsi="Times New Roman" w:eastAsia="宋体" w:cs="Times New Roman"/>
                <w:b/>
                <w:sz w:val="18"/>
                <w:szCs w:val="18"/>
              </w:rPr>
              <w:t xml:space="preserve">新建  </w:t>
            </w:r>
            <w:r>
              <w:rPr>
                <w:rFonts w:ascii="Times New Roman" w:hAnsi="Times New Roman" w:cs="Times New Roman"/>
                <w:b/>
                <w:sz w:val="18"/>
                <w:szCs w:val="18"/>
              </w:rPr>
              <w:t>□</w:t>
            </w:r>
            <w:r>
              <w:rPr>
                <w:rFonts w:ascii="Times New Roman" w:hAnsi="Times New Roman" w:eastAsia="宋体" w:cs="Times New Roman"/>
                <w:b/>
                <w:sz w:val="18"/>
                <w:szCs w:val="18"/>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设计生产能力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实际生产能力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环评单位</w:t>
            </w:r>
          </w:p>
        </w:tc>
        <w:tc>
          <w:tcPr>
            <w:tcW w:w="4236" w:type="dxa"/>
            <w:gridSpan w:val="3"/>
            <w:vAlign w:val="center"/>
          </w:tcPr>
          <w:p>
            <w:pPr>
              <w:rPr>
                <w:rFonts w:ascii="Times New Roman" w:hAnsi="Times New Roman" w:eastAsia="宋体" w:cs="Times New Roman"/>
                <w:sz w:val="18"/>
                <w:szCs w:val="18"/>
              </w:rPr>
            </w:pPr>
            <w:r>
              <w:rPr>
                <w:sz w:val="18"/>
                <w:szCs w:val="18"/>
              </w:rPr>
              <w:t>贵州怡宁环保咨询有限公司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环评文件审批机关</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黔南州生态环境局</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审批文号</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黔南环审[2019]</w:t>
            </w:r>
            <w:r>
              <w:rPr>
                <w:rFonts w:ascii="Times New Roman" w:hAnsi="Times New Roman" w:eastAsia="宋体" w:cs="Times New Roman"/>
                <w:sz w:val="18"/>
                <w:szCs w:val="18"/>
              </w:rPr>
              <w:t>42</w:t>
            </w:r>
            <w:r>
              <w:rPr>
                <w:rFonts w:hint="eastAsia" w:ascii="Times New Roman" w:hAnsi="Times New Roman" w:eastAsia="宋体" w:cs="Times New Roman"/>
                <w:sz w:val="18"/>
                <w:szCs w:val="18"/>
              </w:rPr>
              <w:t>号</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环评文件类型</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开工日期</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2019年08月</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竣工日期</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2019年10月</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排污许可证申领时间</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环保设施设计单位</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环保设施施工单位</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本工程排污许可证编号</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验收单位</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环保设施监测单位</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验收监测时工况</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投资总概算（万元）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4450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环保投资总概算（万元）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51.3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实际总投资（万元）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4450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实际环保投资（万元）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51.3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废水治理（万元）</w:t>
            </w:r>
          </w:p>
        </w:tc>
        <w:tc>
          <w:tcPr>
            <w:tcW w:w="758"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235"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废气治理（万元）</w:t>
            </w:r>
          </w:p>
        </w:tc>
        <w:tc>
          <w:tcPr>
            <w:tcW w:w="529"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090"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噪声治理（万元）</w:t>
            </w:r>
          </w:p>
        </w:tc>
        <w:tc>
          <w:tcPr>
            <w:tcW w:w="532"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固废废物治理（万元）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绿化及生态（万元）</w:t>
            </w:r>
          </w:p>
        </w:tc>
        <w:tc>
          <w:tcPr>
            <w:tcW w:w="1681"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80"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其他（万元）</w:t>
            </w:r>
          </w:p>
        </w:tc>
        <w:tc>
          <w:tcPr>
            <w:tcW w:w="11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新增废水处理设施能力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新增废气处理设施能力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年平均工作时</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3715" w:type="dxa"/>
            <w:gridSpan w:val="4"/>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运营单位</w:t>
            </w:r>
          </w:p>
        </w:tc>
        <w:tc>
          <w:tcPr>
            <w:tcW w:w="5539" w:type="dxa"/>
            <w:gridSpan w:val="5"/>
            <w:vAlign w:val="center"/>
          </w:tcPr>
          <w:p>
            <w:pPr>
              <w:spacing w:line="24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中海油贵州销售有限公司三都三荔高速三洞西加油站</w:t>
            </w:r>
          </w:p>
        </w:tc>
        <w:tc>
          <w:tcPr>
            <w:tcW w:w="3592" w:type="dxa"/>
            <w:gridSpan w:val="5"/>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运营单位社会统一信用代码（或组织机构代码）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915227</w:t>
            </w:r>
            <w:r>
              <w:rPr>
                <w:rFonts w:hint="eastAsia" w:ascii="Times New Roman" w:hAnsi="Times New Roman" w:eastAsia="宋体" w:cs="Times New Roman"/>
                <w:sz w:val="18"/>
                <w:szCs w:val="18"/>
              </w:rPr>
              <w:t>32</w:t>
            </w:r>
            <w:r>
              <w:rPr>
                <w:rFonts w:ascii="Times New Roman" w:hAnsi="Times New Roman" w:eastAsia="宋体" w:cs="Times New Roman"/>
                <w:sz w:val="18"/>
                <w:szCs w:val="18"/>
              </w:rPr>
              <w:t>MA6HWYUT9B</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验收时间</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2020年4月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896" w:type="dxa"/>
            <w:gridSpan w:val="2"/>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污染物排放达标与总量控制（工业建设项目详填）</w:t>
            </w: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w:t>
            </w:r>
          </w:p>
        </w:tc>
        <w:tc>
          <w:tcPr>
            <w:tcW w:w="75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原有排放量（1）</w:t>
            </w:r>
          </w:p>
        </w:tc>
        <w:tc>
          <w:tcPr>
            <w:tcW w:w="223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本期工程实际排放浓度（2）</w:t>
            </w:r>
          </w:p>
        </w:tc>
        <w:tc>
          <w:tcPr>
            <w:tcW w:w="962"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本期工程允许排放浓度（3）</w:t>
            </w:r>
          </w:p>
        </w:tc>
        <w:tc>
          <w:tcPr>
            <w:tcW w:w="1584"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本期工程生产量（4）</w:t>
            </w:r>
          </w:p>
        </w:tc>
        <w:tc>
          <w:tcPr>
            <w:tcW w:w="1247" w:type="dxa"/>
            <w:gridSpan w:val="3"/>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本期工程自身削减量（5）</w:t>
            </w:r>
          </w:p>
        </w:tc>
        <w:tc>
          <w:tcPr>
            <w:tcW w:w="112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本期工程实际排放量（6）</w:t>
            </w:r>
          </w:p>
        </w:tc>
        <w:tc>
          <w:tcPr>
            <w:tcW w:w="1217"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本期工程核定排放总量（7）</w:t>
            </w:r>
          </w:p>
        </w:tc>
        <w:tc>
          <w:tcPr>
            <w:tcW w:w="29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本期工程“以新带老”削减量（8）</w:t>
            </w:r>
          </w:p>
        </w:tc>
        <w:tc>
          <w:tcPr>
            <w:tcW w:w="1843"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全厂实际排放总量（9）</w:t>
            </w:r>
          </w:p>
        </w:tc>
        <w:tc>
          <w:tcPr>
            <w:tcW w:w="1681"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全厂核定排放总量（10）</w:t>
            </w:r>
          </w:p>
        </w:tc>
        <w:tc>
          <w:tcPr>
            <w:tcW w:w="1380"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区域平衡替代削减量（11）</w:t>
            </w:r>
          </w:p>
        </w:tc>
        <w:tc>
          <w:tcPr>
            <w:tcW w:w="11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废水</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化学需氧量</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氨氮</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石油类</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废气</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二氧化硫</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烟尘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工业粉尘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氮氧化物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工业固体废物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1838" w:type="dxa"/>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与项目有关的其他特征污染物</w:t>
            </w: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bl>
    <w:p>
      <w:pPr>
        <w:ind w:firstLine="149" w:firstLineChars="83"/>
        <w:rPr>
          <w:rFonts w:ascii="Times New Roman" w:hAnsi="Times New Roman" w:cs="Times New Roman"/>
        </w:rPr>
      </w:pPr>
      <w:r>
        <w:rPr>
          <w:rFonts w:ascii="Times New Roman" w:hAnsi="Times New Roman" w:eastAsia="宋体" w:cs="Times New Roman"/>
          <w:sz w:val="18"/>
          <w:szCs w:val="18"/>
        </w:rPr>
        <w:t>注：1、排放增减量：（+）表示增加，（-）表示减少。2、（12）=（6）-（8）-（11），（9）=（4）+（5）-（8）-（11）+（1）。3、计量单位：废水排放量——万吨/年；废气排放量——万标立方米/年；工业固体废物排放量——万吨/年；水污染物排放浓度——毫克/升。</w:t>
      </w:r>
    </w:p>
    <w:p>
      <w:pPr>
        <w:pStyle w:val="8"/>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pStyle w:val="8"/>
        <w:rPr>
          <w:rFonts w:ascii="Times New Roman" w:hAnsi="Times New Roman" w:cs="Times New Roman"/>
        </w:rPr>
      </w:pPr>
      <w:r>
        <w:rPr>
          <w:rFonts w:hint="eastAsia" w:ascii="Times New Roman" w:hAnsi="Times New Roman" w:cs="Times New Roman"/>
        </w:rPr>
        <w:t xml:space="preserve">  附件2：检测报告</w:t>
      </w:r>
    </w:p>
    <w:p>
      <w:pPr>
        <w:pStyle w:val="8"/>
      </w:pPr>
      <w:r>
        <w:drawing>
          <wp:inline distT="0" distB="0" distL="114300" distR="114300">
            <wp:extent cx="5856605" cy="8332470"/>
            <wp:effectExtent l="0" t="0" r="1079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856605" cy="8332470"/>
                    </a:xfrm>
                    <a:prstGeom prst="rect">
                      <a:avLst/>
                    </a:prstGeom>
                    <a:noFill/>
                    <a:ln>
                      <a:noFill/>
                    </a:ln>
                  </pic:spPr>
                </pic:pic>
              </a:graphicData>
            </a:graphic>
          </wp:inline>
        </w:drawing>
      </w:r>
    </w:p>
    <w:p>
      <w:pPr>
        <w:jc w:val="left"/>
      </w:pPr>
      <w:r>
        <w:rPr>
          <w:rFonts w:hint="eastAsia"/>
        </w:rPr>
        <w:t xml:space="preserve">  </w:t>
      </w:r>
      <w:r>
        <w:drawing>
          <wp:anchor distT="0" distB="0" distL="114300" distR="114300" simplePos="0" relativeHeight="251652096" behindDoc="0" locked="0" layoutInCell="1" allowOverlap="1">
            <wp:simplePos x="0" y="0"/>
            <wp:positionH relativeFrom="column">
              <wp:posOffset>133350</wp:posOffset>
            </wp:positionH>
            <wp:positionV relativeFrom="paragraph">
              <wp:posOffset>70485</wp:posOffset>
            </wp:positionV>
            <wp:extent cx="5819775" cy="7874635"/>
            <wp:effectExtent l="0" t="0" r="9525" b="12065"/>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5819775" cy="7874635"/>
                    </a:xfrm>
                    <a:prstGeom prst="rect">
                      <a:avLst/>
                    </a:prstGeom>
                    <a:noFill/>
                    <a:ln>
                      <a:noFill/>
                    </a:ln>
                  </pic:spPr>
                </pic:pic>
              </a:graphicData>
            </a:graphic>
          </wp:anchor>
        </w:drawing>
      </w:r>
    </w:p>
    <w:p>
      <w:pPr>
        <w:jc w:val="left"/>
      </w:pPr>
    </w:p>
    <w:p>
      <w:pPr>
        <w:jc w:val="left"/>
      </w:pPr>
    </w:p>
    <w:p>
      <w:pPr>
        <w:jc w:val="left"/>
      </w:pPr>
    </w:p>
    <w:p>
      <w:pPr>
        <w:jc w:val="left"/>
      </w:pPr>
      <w:r>
        <w:rPr>
          <w:rFonts w:hint="eastAsia"/>
        </w:rPr>
        <w:t xml:space="preserve">  </w:t>
      </w:r>
      <w:r>
        <w:drawing>
          <wp:anchor distT="0" distB="0" distL="114300" distR="114300" simplePos="0" relativeHeight="251654144" behindDoc="0" locked="0" layoutInCell="1" allowOverlap="1">
            <wp:simplePos x="0" y="0"/>
            <wp:positionH relativeFrom="column">
              <wp:posOffset>133350</wp:posOffset>
            </wp:positionH>
            <wp:positionV relativeFrom="paragraph">
              <wp:posOffset>93345</wp:posOffset>
            </wp:positionV>
            <wp:extent cx="5885815" cy="8322945"/>
            <wp:effectExtent l="0" t="0" r="635" b="190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5"/>
                    <a:stretch>
                      <a:fillRect/>
                    </a:stretch>
                  </pic:blipFill>
                  <pic:spPr>
                    <a:xfrm>
                      <a:off x="0" y="0"/>
                      <a:ext cx="5885815" cy="8322945"/>
                    </a:xfrm>
                    <a:prstGeom prst="rect">
                      <a:avLst/>
                    </a:prstGeom>
                    <a:noFill/>
                    <a:ln>
                      <a:noFill/>
                    </a:ln>
                  </pic:spPr>
                </pic:pic>
              </a:graphicData>
            </a:graphic>
          </wp:anchor>
        </w:drawing>
      </w:r>
    </w:p>
    <w:p>
      <w:pPr>
        <w:jc w:val="left"/>
      </w:pPr>
    </w:p>
    <w:p>
      <w:pPr>
        <w:jc w:val="left"/>
      </w:pPr>
      <w:r>
        <w:rPr>
          <w:rFonts w:hint="eastAsia"/>
        </w:rPr>
        <w:t xml:space="preserve">  </w:t>
      </w:r>
      <w:r>
        <w:drawing>
          <wp:inline distT="0" distB="0" distL="114300" distR="114300">
            <wp:extent cx="5837555" cy="8475345"/>
            <wp:effectExtent l="0" t="0" r="10795"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837555" cy="8475345"/>
                    </a:xfrm>
                    <a:prstGeom prst="rect">
                      <a:avLst/>
                    </a:prstGeom>
                    <a:noFill/>
                    <a:ln>
                      <a:noFill/>
                    </a:ln>
                  </pic:spPr>
                </pic:pic>
              </a:graphicData>
            </a:graphic>
          </wp:inline>
        </w:drawing>
      </w:r>
    </w:p>
    <w:p>
      <w:pPr>
        <w:jc w:val="left"/>
      </w:pPr>
    </w:p>
    <w:p>
      <w:pPr>
        <w:jc w:val="left"/>
      </w:pPr>
      <w:r>
        <w:rPr>
          <w:rFonts w:hint="eastAsia"/>
        </w:rPr>
        <w:t xml:space="preserve">  </w:t>
      </w:r>
      <w:r>
        <w:drawing>
          <wp:anchor distT="0" distB="0" distL="114300" distR="114300" simplePos="0" relativeHeight="251657216" behindDoc="0" locked="0" layoutInCell="1" allowOverlap="1">
            <wp:simplePos x="0" y="0"/>
            <wp:positionH relativeFrom="column">
              <wp:posOffset>133350</wp:posOffset>
            </wp:positionH>
            <wp:positionV relativeFrom="paragraph">
              <wp:posOffset>55245</wp:posOffset>
            </wp:positionV>
            <wp:extent cx="5847715" cy="8285480"/>
            <wp:effectExtent l="0" t="0" r="635" b="1270"/>
            <wp:wrapTopAndBottom/>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7"/>
                    <a:stretch>
                      <a:fillRect/>
                    </a:stretch>
                  </pic:blipFill>
                  <pic:spPr>
                    <a:xfrm>
                      <a:off x="0" y="0"/>
                      <a:ext cx="5847715" cy="8285480"/>
                    </a:xfrm>
                    <a:prstGeom prst="rect">
                      <a:avLst/>
                    </a:prstGeom>
                    <a:noFill/>
                    <a:ln>
                      <a:noFill/>
                    </a:ln>
                  </pic:spPr>
                </pic:pic>
              </a:graphicData>
            </a:graphic>
          </wp:anchor>
        </w:drawing>
      </w:r>
    </w:p>
    <w:p>
      <w:pPr>
        <w:jc w:val="left"/>
      </w:pPr>
    </w:p>
    <w:p>
      <w:pPr>
        <w:jc w:val="left"/>
      </w:pPr>
      <w:r>
        <w:drawing>
          <wp:anchor distT="0" distB="0" distL="114300" distR="114300" simplePos="0" relativeHeight="251658240" behindDoc="0" locked="0" layoutInCell="1" allowOverlap="1">
            <wp:simplePos x="0" y="0"/>
            <wp:positionH relativeFrom="column">
              <wp:posOffset>218440</wp:posOffset>
            </wp:positionH>
            <wp:positionV relativeFrom="paragraph">
              <wp:posOffset>80010</wp:posOffset>
            </wp:positionV>
            <wp:extent cx="5810250" cy="8161655"/>
            <wp:effectExtent l="0" t="0" r="0" b="10795"/>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8"/>
                    <a:stretch>
                      <a:fillRect/>
                    </a:stretch>
                  </pic:blipFill>
                  <pic:spPr>
                    <a:xfrm>
                      <a:off x="0" y="0"/>
                      <a:ext cx="5810250" cy="8161655"/>
                    </a:xfrm>
                    <a:prstGeom prst="rect">
                      <a:avLst/>
                    </a:prstGeom>
                    <a:noFill/>
                    <a:ln>
                      <a:noFill/>
                    </a:ln>
                  </pic:spPr>
                </pic:pic>
              </a:graphicData>
            </a:graphic>
          </wp:anchor>
        </w:drawing>
      </w:r>
      <w:r>
        <w:rPr>
          <w:rFonts w:hint="eastAsia"/>
        </w:rPr>
        <w:t xml:space="preserve">  </w:t>
      </w:r>
    </w:p>
    <w:p>
      <w:pPr>
        <w:jc w:val="left"/>
        <w:sectPr>
          <w:pgSz w:w="11850" w:h="16783"/>
          <w:pgMar w:top="1440" w:right="1080" w:bottom="1440" w:left="1080" w:header="851" w:footer="992" w:gutter="0"/>
          <w:cols w:space="425" w:num="1"/>
          <w:docGrid w:type="lines" w:linePitch="312" w:charSpace="0"/>
        </w:sectPr>
      </w:pPr>
    </w:p>
    <w:p>
      <w:pPr>
        <w:jc w:val="left"/>
      </w:pPr>
      <w:r>
        <w:drawing>
          <wp:anchor distT="0" distB="0" distL="114300" distR="114300" simplePos="0" relativeHeight="251660288" behindDoc="0" locked="0" layoutInCell="1" allowOverlap="1">
            <wp:simplePos x="0" y="0"/>
            <wp:positionH relativeFrom="column">
              <wp:posOffset>2207260</wp:posOffset>
            </wp:positionH>
            <wp:positionV relativeFrom="paragraph">
              <wp:posOffset>-750570</wp:posOffset>
            </wp:positionV>
            <wp:extent cx="4812665" cy="7928610"/>
            <wp:effectExtent l="0" t="0" r="15240" b="6985"/>
            <wp:wrapTopAndBottom/>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9"/>
                    <a:stretch>
                      <a:fillRect/>
                    </a:stretch>
                  </pic:blipFill>
                  <pic:spPr>
                    <a:xfrm rot="5400000">
                      <a:off x="0" y="0"/>
                      <a:ext cx="4812665" cy="7928610"/>
                    </a:xfrm>
                    <a:prstGeom prst="rect">
                      <a:avLst/>
                    </a:prstGeom>
                    <a:noFill/>
                    <a:ln>
                      <a:noFill/>
                    </a:ln>
                  </pic:spPr>
                </pic:pic>
              </a:graphicData>
            </a:graphic>
          </wp:anchor>
        </w:drawing>
      </w:r>
    </w:p>
    <w:p>
      <w:pPr>
        <w:tabs>
          <w:tab w:val="left" w:pos="299"/>
        </w:tabs>
        <w:jc w:val="left"/>
        <w:sectPr>
          <w:pgSz w:w="16783" w:h="11850" w:orient="landscape"/>
          <w:pgMar w:top="1080" w:right="1440" w:bottom="1080" w:left="1440" w:header="851" w:footer="992" w:gutter="0"/>
          <w:cols w:space="425" w:num="1"/>
          <w:docGrid w:type="lines" w:linePitch="312" w:charSpace="0"/>
        </w:sectPr>
      </w:pPr>
      <w:r>
        <w:drawing>
          <wp:anchor distT="0" distB="0" distL="114300" distR="114300" simplePos="0" relativeHeight="251662336" behindDoc="0" locked="0" layoutInCell="1" allowOverlap="1">
            <wp:simplePos x="0" y="0"/>
            <wp:positionH relativeFrom="column">
              <wp:posOffset>1972310</wp:posOffset>
            </wp:positionH>
            <wp:positionV relativeFrom="paragraph">
              <wp:posOffset>-744855</wp:posOffset>
            </wp:positionV>
            <wp:extent cx="5054600" cy="8176260"/>
            <wp:effectExtent l="0" t="0" r="15240" b="12700"/>
            <wp:wrapTopAndBottom/>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0"/>
                    <a:stretch>
                      <a:fillRect/>
                    </a:stretch>
                  </pic:blipFill>
                  <pic:spPr>
                    <a:xfrm rot="5400000">
                      <a:off x="0" y="0"/>
                      <a:ext cx="5054600" cy="8176260"/>
                    </a:xfrm>
                    <a:prstGeom prst="rect">
                      <a:avLst/>
                    </a:prstGeom>
                    <a:noFill/>
                    <a:ln>
                      <a:noFill/>
                    </a:ln>
                  </pic:spPr>
                </pic:pic>
              </a:graphicData>
            </a:graphic>
          </wp:anchor>
        </w:drawing>
      </w:r>
      <w:r>
        <w:rPr>
          <w:rFonts w:hint="eastAsia"/>
        </w:rPr>
        <w:tab/>
      </w:r>
    </w:p>
    <w:p>
      <w:pPr>
        <w:tabs>
          <w:tab w:val="left" w:pos="299"/>
        </w:tabs>
        <w:jc w:val="left"/>
      </w:pPr>
    </w:p>
    <w:p>
      <w:pPr>
        <w:jc w:val="left"/>
      </w:pPr>
      <w:r>
        <w:drawing>
          <wp:anchor distT="0" distB="0" distL="114300" distR="114300" simplePos="0" relativeHeight="251663360" behindDoc="0" locked="0" layoutInCell="1" allowOverlap="1">
            <wp:simplePos x="0" y="0"/>
            <wp:positionH relativeFrom="column">
              <wp:posOffset>399415</wp:posOffset>
            </wp:positionH>
            <wp:positionV relativeFrom="paragraph">
              <wp:posOffset>7620</wp:posOffset>
            </wp:positionV>
            <wp:extent cx="5353050" cy="7960360"/>
            <wp:effectExtent l="0" t="0" r="0" b="2540"/>
            <wp:wrapTopAndBottom/>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1"/>
                    <a:stretch>
                      <a:fillRect/>
                    </a:stretch>
                  </pic:blipFill>
                  <pic:spPr>
                    <a:xfrm>
                      <a:off x="0" y="0"/>
                      <a:ext cx="5353050" cy="7960360"/>
                    </a:xfrm>
                    <a:prstGeom prst="rect">
                      <a:avLst/>
                    </a:prstGeom>
                    <a:noFill/>
                    <a:ln>
                      <a:noFill/>
                    </a:ln>
                  </pic:spPr>
                </pic:pic>
              </a:graphicData>
            </a:graphic>
          </wp:anchor>
        </w:drawing>
      </w:r>
      <w:r>
        <w:rPr>
          <w:rFonts w:hint="eastAsia"/>
        </w:rPr>
        <w:t xml:space="preserve">  </w:t>
      </w:r>
    </w:p>
    <w:p>
      <w:pPr>
        <w:jc w:val="left"/>
      </w:pPr>
      <w:r>
        <w:rPr>
          <w:rFonts w:hint="eastAsia"/>
        </w:rPr>
        <w:t xml:space="preserve">  </w:t>
      </w:r>
    </w:p>
    <w:p>
      <w:pPr>
        <w:jc w:val="left"/>
      </w:pPr>
    </w:p>
    <w:p>
      <w:pPr>
        <w:jc w:val="left"/>
      </w:pPr>
      <w:r>
        <w:drawing>
          <wp:anchor distT="0" distB="0" distL="114300" distR="114300" simplePos="0" relativeHeight="251664384" behindDoc="0" locked="0" layoutInCell="1" allowOverlap="1">
            <wp:simplePos x="0" y="0"/>
            <wp:positionH relativeFrom="column">
              <wp:posOffset>429260</wp:posOffset>
            </wp:positionH>
            <wp:positionV relativeFrom="paragraph">
              <wp:posOffset>0</wp:posOffset>
            </wp:positionV>
            <wp:extent cx="5332730" cy="8256905"/>
            <wp:effectExtent l="0" t="0" r="1270" b="10795"/>
            <wp:wrapTopAndBottom/>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2"/>
                    <a:stretch>
                      <a:fillRect/>
                    </a:stretch>
                  </pic:blipFill>
                  <pic:spPr>
                    <a:xfrm>
                      <a:off x="0" y="0"/>
                      <a:ext cx="5332730" cy="8256905"/>
                    </a:xfrm>
                    <a:prstGeom prst="rect">
                      <a:avLst/>
                    </a:prstGeom>
                    <a:noFill/>
                    <a:ln>
                      <a:noFill/>
                    </a:ln>
                  </pic:spPr>
                </pic:pic>
              </a:graphicData>
            </a:graphic>
          </wp:anchor>
        </w:drawing>
      </w:r>
      <w:r>
        <w:rPr>
          <w:rFonts w:hint="eastAsia"/>
        </w:rPr>
        <w:t xml:space="preserve">  </w:t>
      </w:r>
    </w:p>
    <w:p>
      <w:pPr>
        <w:jc w:val="left"/>
      </w:pPr>
    </w:p>
    <w:p>
      <w:pPr>
        <w:jc w:val="left"/>
      </w:pPr>
      <w:r>
        <w:drawing>
          <wp:anchor distT="0" distB="0" distL="114300" distR="114300" simplePos="0" relativeHeight="251665408" behindDoc="0" locked="0" layoutInCell="1" allowOverlap="1">
            <wp:simplePos x="0" y="0"/>
            <wp:positionH relativeFrom="column">
              <wp:posOffset>485140</wp:posOffset>
            </wp:positionH>
            <wp:positionV relativeFrom="paragraph">
              <wp:posOffset>74295</wp:posOffset>
            </wp:positionV>
            <wp:extent cx="5191760" cy="7903845"/>
            <wp:effectExtent l="0" t="0" r="8890" b="1905"/>
            <wp:wrapTopAndBottom/>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3"/>
                    <a:stretch>
                      <a:fillRect/>
                    </a:stretch>
                  </pic:blipFill>
                  <pic:spPr>
                    <a:xfrm>
                      <a:off x="0" y="0"/>
                      <a:ext cx="5191760" cy="7903845"/>
                    </a:xfrm>
                    <a:prstGeom prst="rect">
                      <a:avLst/>
                    </a:prstGeom>
                    <a:noFill/>
                    <a:ln>
                      <a:noFill/>
                    </a:ln>
                  </pic:spPr>
                </pic:pic>
              </a:graphicData>
            </a:graphic>
          </wp:anchor>
        </w:drawing>
      </w:r>
      <w:r>
        <w:rPr>
          <w:rFonts w:hint="eastAsia"/>
        </w:rPr>
        <w:t xml:space="preserve">  </w:t>
      </w:r>
    </w:p>
    <w:p>
      <w:pPr>
        <w:jc w:val="left"/>
      </w:pPr>
    </w:p>
    <w:p>
      <w:pPr>
        <w:jc w:val="left"/>
      </w:pPr>
    </w:p>
    <w:p>
      <w:pPr>
        <w:jc w:val="left"/>
      </w:pPr>
    </w:p>
    <w:p>
      <w:pPr>
        <w:jc w:val="left"/>
      </w:pPr>
    </w:p>
    <w:p>
      <w:pPr>
        <w:jc w:val="left"/>
      </w:pPr>
      <w:r>
        <w:rPr>
          <w:rFonts w:hint="eastAsia"/>
        </w:rPr>
        <w:t xml:space="preserve">  </w:t>
      </w:r>
      <w:r>
        <w:drawing>
          <wp:inline distT="0" distB="0" distL="114300" distR="114300">
            <wp:extent cx="5762625" cy="8047990"/>
            <wp:effectExtent l="0" t="0" r="9525" b="1016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4"/>
                    <a:stretch>
                      <a:fillRect/>
                    </a:stretch>
                  </pic:blipFill>
                  <pic:spPr>
                    <a:xfrm>
                      <a:off x="0" y="0"/>
                      <a:ext cx="5762625" cy="8047990"/>
                    </a:xfrm>
                    <a:prstGeom prst="rect">
                      <a:avLst/>
                    </a:prstGeom>
                    <a:noFill/>
                    <a:ln>
                      <a:noFill/>
                    </a:ln>
                  </pic:spPr>
                </pic:pic>
              </a:graphicData>
            </a:graphic>
          </wp:inline>
        </w:drawing>
      </w:r>
    </w:p>
    <w:p>
      <w:pPr>
        <w:jc w:val="left"/>
      </w:pPr>
    </w:p>
    <w:p>
      <w:pPr>
        <w:jc w:val="left"/>
      </w:pPr>
    </w:p>
    <w:p>
      <w:pPr>
        <w:jc w:val="left"/>
      </w:pPr>
      <w:r>
        <w:rPr>
          <w:rFonts w:hint="eastAsia"/>
        </w:rPr>
        <w:t xml:space="preserve"> </w:t>
      </w:r>
    </w:p>
    <w:p>
      <w:pPr>
        <w:jc w:val="left"/>
      </w:pPr>
      <w:r>
        <w:rPr>
          <w:rFonts w:hint="eastAsia"/>
        </w:rPr>
        <w:t xml:space="preserve">  </w:t>
      </w:r>
      <w:r>
        <w:drawing>
          <wp:anchor distT="0" distB="0" distL="114300" distR="114300" simplePos="0" relativeHeight="251666432" behindDoc="0" locked="0" layoutInCell="1" allowOverlap="1">
            <wp:simplePos x="0" y="0"/>
            <wp:positionH relativeFrom="column">
              <wp:posOffset>133350</wp:posOffset>
            </wp:positionH>
            <wp:positionV relativeFrom="paragraph">
              <wp:posOffset>26670</wp:posOffset>
            </wp:positionV>
            <wp:extent cx="5781040" cy="7990840"/>
            <wp:effectExtent l="0" t="0" r="10160" b="10160"/>
            <wp:wrapTopAndBottom/>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5"/>
                    <a:stretch>
                      <a:fillRect/>
                    </a:stretch>
                  </pic:blipFill>
                  <pic:spPr>
                    <a:xfrm>
                      <a:off x="0" y="0"/>
                      <a:ext cx="5781040" cy="7990840"/>
                    </a:xfrm>
                    <a:prstGeom prst="rect">
                      <a:avLst/>
                    </a:prstGeom>
                    <a:noFill/>
                    <a:ln>
                      <a:noFill/>
                    </a:ln>
                  </pic:spPr>
                </pic:pic>
              </a:graphicData>
            </a:graphic>
          </wp:anchor>
        </w:drawing>
      </w:r>
      <w:r>
        <w:rPr>
          <w:rFonts w:hint="eastAsia"/>
        </w:rPr>
        <w:t xml:space="preserve"> </w:t>
      </w:r>
    </w:p>
    <w:p>
      <w:pPr>
        <w:jc w:val="left"/>
      </w:pPr>
    </w:p>
    <w:p>
      <w:pPr>
        <w:jc w:val="left"/>
      </w:pPr>
    </w:p>
    <w:p>
      <w:pPr>
        <w:jc w:val="left"/>
        <w:rPr>
          <w:rFonts w:hint="default" w:eastAsiaTheme="minorEastAsia"/>
          <w:lang w:val="en-US" w:eastAsia="zh-CN"/>
        </w:rPr>
      </w:pPr>
      <w:r>
        <w:rPr>
          <w:rFonts w:hint="eastAsia"/>
          <w:lang w:eastAsia="zh-CN"/>
        </w:rPr>
        <w:t>附件</w:t>
      </w:r>
      <w:r>
        <w:rPr>
          <w:rFonts w:hint="eastAsia"/>
          <w:lang w:val="en-US" w:eastAsia="zh-CN"/>
        </w:rPr>
        <w:t>3：专家意见</w:t>
      </w:r>
    </w:p>
    <w:p>
      <w:pPr>
        <w:jc w:val="left"/>
      </w:pPr>
    </w:p>
    <w:p>
      <w:pPr>
        <w:jc w:val="left"/>
      </w:pPr>
      <w:r>
        <w:drawing>
          <wp:anchor distT="0" distB="0" distL="114300" distR="114300" simplePos="0" relativeHeight="251667456" behindDoc="0" locked="0" layoutInCell="1" allowOverlap="1">
            <wp:simplePos x="0" y="0"/>
            <wp:positionH relativeFrom="column">
              <wp:posOffset>789940</wp:posOffset>
            </wp:positionH>
            <wp:positionV relativeFrom="paragraph">
              <wp:posOffset>93345</wp:posOffset>
            </wp:positionV>
            <wp:extent cx="4884420" cy="7399655"/>
            <wp:effectExtent l="0" t="0" r="11430" b="10795"/>
            <wp:wrapTopAndBottom/>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6"/>
                    <a:stretch>
                      <a:fillRect/>
                    </a:stretch>
                  </pic:blipFill>
                  <pic:spPr>
                    <a:xfrm>
                      <a:off x="0" y="0"/>
                      <a:ext cx="4884420" cy="7399655"/>
                    </a:xfrm>
                    <a:prstGeom prst="rect">
                      <a:avLst/>
                    </a:prstGeom>
                    <a:noFill/>
                    <a:ln>
                      <a:noFill/>
                    </a:ln>
                  </pic:spPr>
                </pic:pic>
              </a:graphicData>
            </a:graphic>
          </wp:anchor>
        </w:drawing>
      </w:r>
    </w:p>
    <w:p>
      <w:pPr>
        <w:jc w:val="left"/>
      </w:pPr>
    </w:p>
    <w:p>
      <w:pPr>
        <w:jc w:val="left"/>
      </w:pPr>
    </w:p>
    <w:p>
      <w:pPr>
        <w:jc w:val="left"/>
      </w:pPr>
    </w:p>
    <w:p>
      <w:pPr>
        <w:jc w:val="left"/>
      </w:pPr>
    </w:p>
    <w:p>
      <w:pPr>
        <w:jc w:val="left"/>
      </w:pPr>
    </w:p>
    <w:p>
      <w:pPr>
        <w:jc w:val="left"/>
      </w:pPr>
      <w:r>
        <w:drawing>
          <wp:anchor distT="0" distB="0" distL="114300" distR="114300" simplePos="0" relativeHeight="251668480" behindDoc="0" locked="0" layoutInCell="1" allowOverlap="1">
            <wp:simplePos x="0" y="0"/>
            <wp:positionH relativeFrom="column">
              <wp:posOffset>447040</wp:posOffset>
            </wp:positionH>
            <wp:positionV relativeFrom="paragraph">
              <wp:posOffset>89535</wp:posOffset>
            </wp:positionV>
            <wp:extent cx="5104765" cy="7447280"/>
            <wp:effectExtent l="0" t="0" r="635" b="1270"/>
            <wp:wrapTopAndBottom/>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7"/>
                    <a:stretch>
                      <a:fillRect/>
                    </a:stretch>
                  </pic:blipFill>
                  <pic:spPr>
                    <a:xfrm>
                      <a:off x="0" y="0"/>
                      <a:ext cx="5104765" cy="7447280"/>
                    </a:xfrm>
                    <a:prstGeom prst="rect">
                      <a:avLst/>
                    </a:prstGeom>
                    <a:noFill/>
                    <a:ln>
                      <a:noFill/>
                    </a:ln>
                  </pic:spPr>
                </pic:pic>
              </a:graphicData>
            </a:graphic>
          </wp:anchor>
        </w:drawing>
      </w:r>
    </w:p>
    <w:p>
      <w:pPr>
        <w:jc w:val="left"/>
      </w:pPr>
    </w:p>
    <w:p>
      <w:pPr>
        <w:jc w:val="left"/>
      </w:pPr>
    </w:p>
    <w:p>
      <w:pPr>
        <w:jc w:val="left"/>
      </w:pPr>
    </w:p>
    <w:p>
      <w:pPr>
        <w:jc w:val="left"/>
      </w:pPr>
    </w:p>
    <w:p>
      <w:pPr>
        <w:jc w:val="left"/>
      </w:pPr>
      <w:r>
        <w:drawing>
          <wp:anchor distT="0" distB="0" distL="114300" distR="114300" simplePos="0" relativeHeight="251669504" behindDoc="0" locked="0" layoutInCell="1" allowOverlap="1">
            <wp:simplePos x="0" y="0"/>
            <wp:positionH relativeFrom="column">
              <wp:posOffset>504190</wp:posOffset>
            </wp:positionH>
            <wp:positionV relativeFrom="paragraph">
              <wp:posOffset>70485</wp:posOffset>
            </wp:positionV>
            <wp:extent cx="5295900" cy="7094855"/>
            <wp:effectExtent l="0" t="0" r="0" b="10795"/>
            <wp:wrapTopAndBottom/>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8"/>
                    <a:stretch>
                      <a:fillRect/>
                    </a:stretch>
                  </pic:blipFill>
                  <pic:spPr>
                    <a:xfrm>
                      <a:off x="0" y="0"/>
                      <a:ext cx="5295900" cy="7094855"/>
                    </a:xfrm>
                    <a:prstGeom prst="rect">
                      <a:avLst/>
                    </a:prstGeom>
                    <a:noFill/>
                    <a:ln>
                      <a:noFill/>
                    </a:ln>
                  </pic:spPr>
                </pic:pic>
              </a:graphicData>
            </a:graphic>
          </wp:anchor>
        </w:drawing>
      </w:r>
    </w:p>
    <w:p>
      <w:pPr>
        <w:jc w:val="left"/>
      </w:pPr>
    </w:p>
    <w:p>
      <w:pPr>
        <w:jc w:val="left"/>
      </w:pPr>
    </w:p>
    <w:p>
      <w:pPr>
        <w:jc w:val="left"/>
      </w:pPr>
    </w:p>
    <w:p>
      <w:pPr>
        <w:jc w:val="left"/>
      </w:pPr>
    </w:p>
    <w:p>
      <w:pPr>
        <w:jc w:val="left"/>
      </w:pPr>
    </w:p>
    <w:p>
      <w:pPr>
        <w:jc w:val="left"/>
      </w:pPr>
    </w:p>
    <w:p>
      <w:pPr>
        <w:jc w:val="left"/>
      </w:pPr>
    </w:p>
    <w:p>
      <w:pPr>
        <w:jc w:val="left"/>
      </w:pPr>
      <w:r>
        <w:drawing>
          <wp:anchor distT="0" distB="0" distL="114300" distR="114300" simplePos="0" relativeHeight="251670528" behindDoc="0" locked="0" layoutInCell="1" allowOverlap="1">
            <wp:simplePos x="0" y="0"/>
            <wp:positionH relativeFrom="column">
              <wp:posOffset>885190</wp:posOffset>
            </wp:positionH>
            <wp:positionV relativeFrom="paragraph">
              <wp:posOffset>74295</wp:posOffset>
            </wp:positionV>
            <wp:extent cx="4552315" cy="7361555"/>
            <wp:effectExtent l="0" t="0" r="635" b="10795"/>
            <wp:wrapTopAndBottom/>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9"/>
                    <a:stretch>
                      <a:fillRect/>
                    </a:stretch>
                  </pic:blipFill>
                  <pic:spPr>
                    <a:xfrm>
                      <a:off x="0" y="0"/>
                      <a:ext cx="4552315" cy="7361555"/>
                    </a:xfrm>
                    <a:prstGeom prst="rect">
                      <a:avLst/>
                    </a:prstGeom>
                    <a:noFill/>
                    <a:ln>
                      <a:noFill/>
                    </a:ln>
                  </pic:spPr>
                </pic:pic>
              </a:graphicData>
            </a:graphic>
          </wp:anchor>
        </w:drawing>
      </w:r>
    </w:p>
    <w:p>
      <w:pPr>
        <w:jc w:val="left"/>
      </w:pPr>
    </w:p>
    <w:p>
      <w:pPr>
        <w:jc w:val="left"/>
      </w:pPr>
    </w:p>
    <w:p>
      <w:pPr>
        <w:jc w:val="left"/>
      </w:pPr>
    </w:p>
    <w:p>
      <w:pPr>
        <w:jc w:val="left"/>
      </w:pPr>
    </w:p>
    <w:p>
      <w:pPr>
        <w:jc w:val="left"/>
      </w:pP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0000000000000000000"/>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5</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中海油贵州销售有限公司三都三荔高速三洞西加油站建设项目竣工环境保护验收监测报告表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中海油贵州销售公司三都三荔高速三洞西加油站建设项目竣工环境保护验收监测报告表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040449AC"/>
    <w:multiLevelType w:val="multilevel"/>
    <w:tmpl w:val="040449AC"/>
    <w:lvl w:ilvl="0" w:tentative="0">
      <w:start w:val="1"/>
      <w:numFmt w:val="decimalEnclosedCircle"/>
      <w:lvlText w:val="%1"/>
      <w:lvlJc w:val="left"/>
      <w:pPr>
        <w:ind w:left="1200" w:hanging="360"/>
      </w:pPr>
      <w:rPr>
        <w:rFonts w:hint="default" w:asciiTheme="minorEastAsia" w:hAnsi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C116449"/>
    <w:multiLevelType w:val="singleLevel"/>
    <w:tmpl w:val="2C116449"/>
    <w:lvl w:ilvl="0" w:tentative="0">
      <w:start w:val="1"/>
      <w:numFmt w:val="decimal"/>
      <w:suff w:val="nothing"/>
      <w:lvlText w:val="（%1）"/>
      <w:lvlJc w:val="left"/>
    </w:lvl>
  </w:abstractNum>
  <w:abstractNum w:abstractNumId="3">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97A0C92"/>
    <w:multiLevelType w:val="singleLevel"/>
    <w:tmpl w:val="597A0C92"/>
    <w:lvl w:ilvl="0" w:tentative="0">
      <w:start w:val="2"/>
      <w:numFmt w:val="decimal"/>
      <w:suff w:val="nothing"/>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2797"/>
    <w:rsid w:val="00003146"/>
    <w:rsid w:val="000034AC"/>
    <w:rsid w:val="0000623A"/>
    <w:rsid w:val="0000736E"/>
    <w:rsid w:val="000106C5"/>
    <w:rsid w:val="00011525"/>
    <w:rsid w:val="0001247C"/>
    <w:rsid w:val="000130DE"/>
    <w:rsid w:val="00013A3A"/>
    <w:rsid w:val="00013C80"/>
    <w:rsid w:val="00014246"/>
    <w:rsid w:val="000161C1"/>
    <w:rsid w:val="00017ACA"/>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A7C"/>
    <w:rsid w:val="0005045F"/>
    <w:rsid w:val="00050B19"/>
    <w:rsid w:val="000547CD"/>
    <w:rsid w:val="00054E63"/>
    <w:rsid w:val="00056648"/>
    <w:rsid w:val="000568BB"/>
    <w:rsid w:val="00062374"/>
    <w:rsid w:val="0006274F"/>
    <w:rsid w:val="00063AA6"/>
    <w:rsid w:val="0006403D"/>
    <w:rsid w:val="00065124"/>
    <w:rsid w:val="000652FA"/>
    <w:rsid w:val="0006678B"/>
    <w:rsid w:val="000711FA"/>
    <w:rsid w:val="000712DA"/>
    <w:rsid w:val="00073613"/>
    <w:rsid w:val="00075DE6"/>
    <w:rsid w:val="000771C8"/>
    <w:rsid w:val="00077582"/>
    <w:rsid w:val="000778F6"/>
    <w:rsid w:val="00077CC1"/>
    <w:rsid w:val="000811A8"/>
    <w:rsid w:val="00081CF9"/>
    <w:rsid w:val="00082C90"/>
    <w:rsid w:val="000836BC"/>
    <w:rsid w:val="00084816"/>
    <w:rsid w:val="00084844"/>
    <w:rsid w:val="00087F8B"/>
    <w:rsid w:val="0009062D"/>
    <w:rsid w:val="00090D4C"/>
    <w:rsid w:val="00092A63"/>
    <w:rsid w:val="00094D22"/>
    <w:rsid w:val="000974D7"/>
    <w:rsid w:val="00097D6D"/>
    <w:rsid w:val="000A0404"/>
    <w:rsid w:val="000A4F2F"/>
    <w:rsid w:val="000A509E"/>
    <w:rsid w:val="000A719C"/>
    <w:rsid w:val="000A720E"/>
    <w:rsid w:val="000B2C32"/>
    <w:rsid w:val="000B2DCC"/>
    <w:rsid w:val="000B374C"/>
    <w:rsid w:val="000B3C9F"/>
    <w:rsid w:val="000B5B83"/>
    <w:rsid w:val="000B6388"/>
    <w:rsid w:val="000B6C3D"/>
    <w:rsid w:val="000B72F7"/>
    <w:rsid w:val="000B7681"/>
    <w:rsid w:val="000B7F09"/>
    <w:rsid w:val="000C0321"/>
    <w:rsid w:val="000C2F29"/>
    <w:rsid w:val="000C65A5"/>
    <w:rsid w:val="000D0C39"/>
    <w:rsid w:val="000D2A24"/>
    <w:rsid w:val="000D3190"/>
    <w:rsid w:val="000D3806"/>
    <w:rsid w:val="000D59E2"/>
    <w:rsid w:val="000D7EB9"/>
    <w:rsid w:val="000E46E8"/>
    <w:rsid w:val="000E48F0"/>
    <w:rsid w:val="000E4ACC"/>
    <w:rsid w:val="000E5CD3"/>
    <w:rsid w:val="000E6AC5"/>
    <w:rsid w:val="000E77C4"/>
    <w:rsid w:val="000E79A1"/>
    <w:rsid w:val="000F04E2"/>
    <w:rsid w:val="000F3B60"/>
    <w:rsid w:val="000F4FD4"/>
    <w:rsid w:val="000F56CC"/>
    <w:rsid w:val="000F5C3D"/>
    <w:rsid w:val="000F66FE"/>
    <w:rsid w:val="000F72E3"/>
    <w:rsid w:val="000F7A95"/>
    <w:rsid w:val="001000FC"/>
    <w:rsid w:val="00101321"/>
    <w:rsid w:val="00101689"/>
    <w:rsid w:val="00104D75"/>
    <w:rsid w:val="00105408"/>
    <w:rsid w:val="00106AA9"/>
    <w:rsid w:val="00111F55"/>
    <w:rsid w:val="00112014"/>
    <w:rsid w:val="001138C6"/>
    <w:rsid w:val="001138F9"/>
    <w:rsid w:val="00115650"/>
    <w:rsid w:val="00117365"/>
    <w:rsid w:val="00117B71"/>
    <w:rsid w:val="0012133B"/>
    <w:rsid w:val="00122559"/>
    <w:rsid w:val="00122995"/>
    <w:rsid w:val="001238B9"/>
    <w:rsid w:val="00124557"/>
    <w:rsid w:val="00124756"/>
    <w:rsid w:val="00130F68"/>
    <w:rsid w:val="00131385"/>
    <w:rsid w:val="00131E94"/>
    <w:rsid w:val="00134BCB"/>
    <w:rsid w:val="001356A4"/>
    <w:rsid w:val="00140BB2"/>
    <w:rsid w:val="00140DEC"/>
    <w:rsid w:val="001412E4"/>
    <w:rsid w:val="00141D7E"/>
    <w:rsid w:val="001460A3"/>
    <w:rsid w:val="00146A37"/>
    <w:rsid w:val="00146E70"/>
    <w:rsid w:val="00147DAD"/>
    <w:rsid w:val="00150DF9"/>
    <w:rsid w:val="00153945"/>
    <w:rsid w:val="00153D2E"/>
    <w:rsid w:val="00154CE2"/>
    <w:rsid w:val="00155511"/>
    <w:rsid w:val="00160F91"/>
    <w:rsid w:val="00161E31"/>
    <w:rsid w:val="00161E56"/>
    <w:rsid w:val="00170007"/>
    <w:rsid w:val="0017177B"/>
    <w:rsid w:val="0017199A"/>
    <w:rsid w:val="0017380D"/>
    <w:rsid w:val="00174807"/>
    <w:rsid w:val="001750BE"/>
    <w:rsid w:val="00175326"/>
    <w:rsid w:val="00176054"/>
    <w:rsid w:val="00177D6B"/>
    <w:rsid w:val="00177FAF"/>
    <w:rsid w:val="00180ACF"/>
    <w:rsid w:val="00181A7B"/>
    <w:rsid w:val="00182753"/>
    <w:rsid w:val="00182B5A"/>
    <w:rsid w:val="00182E38"/>
    <w:rsid w:val="0018465F"/>
    <w:rsid w:val="0019320C"/>
    <w:rsid w:val="0019732F"/>
    <w:rsid w:val="0019788E"/>
    <w:rsid w:val="00197BF6"/>
    <w:rsid w:val="00197F0A"/>
    <w:rsid w:val="001A1BE3"/>
    <w:rsid w:val="001A2E1F"/>
    <w:rsid w:val="001A42F4"/>
    <w:rsid w:val="001A4BD7"/>
    <w:rsid w:val="001A7413"/>
    <w:rsid w:val="001B02CE"/>
    <w:rsid w:val="001B09A5"/>
    <w:rsid w:val="001B61CD"/>
    <w:rsid w:val="001C1499"/>
    <w:rsid w:val="001C1D9C"/>
    <w:rsid w:val="001C2A48"/>
    <w:rsid w:val="001C4B7D"/>
    <w:rsid w:val="001D0354"/>
    <w:rsid w:val="001D0B6E"/>
    <w:rsid w:val="001D19C3"/>
    <w:rsid w:val="001D6271"/>
    <w:rsid w:val="001D7F25"/>
    <w:rsid w:val="001E1EAC"/>
    <w:rsid w:val="001E2A76"/>
    <w:rsid w:val="001E2AF3"/>
    <w:rsid w:val="001E575C"/>
    <w:rsid w:val="001F0186"/>
    <w:rsid w:val="001F13F6"/>
    <w:rsid w:val="001F4A79"/>
    <w:rsid w:val="001F5F8A"/>
    <w:rsid w:val="001F7489"/>
    <w:rsid w:val="0020035F"/>
    <w:rsid w:val="00202A75"/>
    <w:rsid w:val="00203693"/>
    <w:rsid w:val="00203A43"/>
    <w:rsid w:val="00206962"/>
    <w:rsid w:val="0020790B"/>
    <w:rsid w:val="002119FB"/>
    <w:rsid w:val="00212D66"/>
    <w:rsid w:val="00214CA8"/>
    <w:rsid w:val="00216531"/>
    <w:rsid w:val="002171CA"/>
    <w:rsid w:val="00217B7F"/>
    <w:rsid w:val="00221A29"/>
    <w:rsid w:val="00221E2A"/>
    <w:rsid w:val="00223111"/>
    <w:rsid w:val="0022400E"/>
    <w:rsid w:val="00224A75"/>
    <w:rsid w:val="00225CC7"/>
    <w:rsid w:val="00225FA4"/>
    <w:rsid w:val="00226691"/>
    <w:rsid w:val="00226E88"/>
    <w:rsid w:val="0023018E"/>
    <w:rsid w:val="002301D4"/>
    <w:rsid w:val="00232087"/>
    <w:rsid w:val="002336BD"/>
    <w:rsid w:val="00233FA2"/>
    <w:rsid w:val="0023416A"/>
    <w:rsid w:val="002356D7"/>
    <w:rsid w:val="002364A3"/>
    <w:rsid w:val="0023651F"/>
    <w:rsid w:val="00241D07"/>
    <w:rsid w:val="002432D8"/>
    <w:rsid w:val="002449BC"/>
    <w:rsid w:val="0024566E"/>
    <w:rsid w:val="0024616E"/>
    <w:rsid w:val="00247D41"/>
    <w:rsid w:val="00250A04"/>
    <w:rsid w:val="0025228B"/>
    <w:rsid w:val="00253ABE"/>
    <w:rsid w:val="00253D5F"/>
    <w:rsid w:val="002551C0"/>
    <w:rsid w:val="002569DC"/>
    <w:rsid w:val="00256BF9"/>
    <w:rsid w:val="00260831"/>
    <w:rsid w:val="002608C3"/>
    <w:rsid w:val="00261862"/>
    <w:rsid w:val="00263255"/>
    <w:rsid w:val="00263B99"/>
    <w:rsid w:val="00264AB1"/>
    <w:rsid w:val="002659D5"/>
    <w:rsid w:val="002662A5"/>
    <w:rsid w:val="002674B0"/>
    <w:rsid w:val="00271E3B"/>
    <w:rsid w:val="00272507"/>
    <w:rsid w:val="002746C9"/>
    <w:rsid w:val="00275346"/>
    <w:rsid w:val="00280C16"/>
    <w:rsid w:val="00282A42"/>
    <w:rsid w:val="00284FC6"/>
    <w:rsid w:val="0028509A"/>
    <w:rsid w:val="0029100F"/>
    <w:rsid w:val="00292E71"/>
    <w:rsid w:val="00293223"/>
    <w:rsid w:val="00294596"/>
    <w:rsid w:val="002953DB"/>
    <w:rsid w:val="00296D5C"/>
    <w:rsid w:val="0029787B"/>
    <w:rsid w:val="002A0EC0"/>
    <w:rsid w:val="002A0F32"/>
    <w:rsid w:val="002A203A"/>
    <w:rsid w:val="002A2160"/>
    <w:rsid w:val="002A27A2"/>
    <w:rsid w:val="002A2D3B"/>
    <w:rsid w:val="002A370D"/>
    <w:rsid w:val="002A3758"/>
    <w:rsid w:val="002A4282"/>
    <w:rsid w:val="002A6E05"/>
    <w:rsid w:val="002A7699"/>
    <w:rsid w:val="002B1996"/>
    <w:rsid w:val="002B52B2"/>
    <w:rsid w:val="002B7373"/>
    <w:rsid w:val="002C10BF"/>
    <w:rsid w:val="002C16BA"/>
    <w:rsid w:val="002C2CE9"/>
    <w:rsid w:val="002C327B"/>
    <w:rsid w:val="002C5403"/>
    <w:rsid w:val="002D6412"/>
    <w:rsid w:val="002D6995"/>
    <w:rsid w:val="002E0406"/>
    <w:rsid w:val="002E175D"/>
    <w:rsid w:val="002E24B5"/>
    <w:rsid w:val="002E3A8F"/>
    <w:rsid w:val="002E40CC"/>
    <w:rsid w:val="002E4A3F"/>
    <w:rsid w:val="002E5729"/>
    <w:rsid w:val="002E6C01"/>
    <w:rsid w:val="002E7A42"/>
    <w:rsid w:val="002E7E32"/>
    <w:rsid w:val="002F1925"/>
    <w:rsid w:val="002F1EEE"/>
    <w:rsid w:val="002F1F7C"/>
    <w:rsid w:val="002F27EF"/>
    <w:rsid w:val="002F2A41"/>
    <w:rsid w:val="002F3808"/>
    <w:rsid w:val="002F620F"/>
    <w:rsid w:val="002F6745"/>
    <w:rsid w:val="002F69AF"/>
    <w:rsid w:val="003022A0"/>
    <w:rsid w:val="00302969"/>
    <w:rsid w:val="0030336C"/>
    <w:rsid w:val="00303F17"/>
    <w:rsid w:val="00305A2F"/>
    <w:rsid w:val="00305AA4"/>
    <w:rsid w:val="003077F5"/>
    <w:rsid w:val="00310968"/>
    <w:rsid w:val="00313FA2"/>
    <w:rsid w:val="003154D1"/>
    <w:rsid w:val="00317923"/>
    <w:rsid w:val="00320B13"/>
    <w:rsid w:val="00320F58"/>
    <w:rsid w:val="00323768"/>
    <w:rsid w:val="003256C3"/>
    <w:rsid w:val="00326C40"/>
    <w:rsid w:val="00327F10"/>
    <w:rsid w:val="003301F2"/>
    <w:rsid w:val="00330754"/>
    <w:rsid w:val="00330FBC"/>
    <w:rsid w:val="0033138B"/>
    <w:rsid w:val="00332B68"/>
    <w:rsid w:val="003330A1"/>
    <w:rsid w:val="00333453"/>
    <w:rsid w:val="0034074B"/>
    <w:rsid w:val="00341272"/>
    <w:rsid w:val="003443C2"/>
    <w:rsid w:val="0034489D"/>
    <w:rsid w:val="00344CB2"/>
    <w:rsid w:val="003453BA"/>
    <w:rsid w:val="003461CA"/>
    <w:rsid w:val="00346CA8"/>
    <w:rsid w:val="00350306"/>
    <w:rsid w:val="003508DC"/>
    <w:rsid w:val="00351DFB"/>
    <w:rsid w:val="003522D4"/>
    <w:rsid w:val="003535E3"/>
    <w:rsid w:val="00356051"/>
    <w:rsid w:val="0035612F"/>
    <w:rsid w:val="00356250"/>
    <w:rsid w:val="003627E9"/>
    <w:rsid w:val="00364DF5"/>
    <w:rsid w:val="00365BB4"/>
    <w:rsid w:val="0036653E"/>
    <w:rsid w:val="00366D08"/>
    <w:rsid w:val="00367C3D"/>
    <w:rsid w:val="00371106"/>
    <w:rsid w:val="00371DC3"/>
    <w:rsid w:val="00373DE6"/>
    <w:rsid w:val="00374F8C"/>
    <w:rsid w:val="0037565A"/>
    <w:rsid w:val="00375BE0"/>
    <w:rsid w:val="003771A5"/>
    <w:rsid w:val="003800E1"/>
    <w:rsid w:val="00383C29"/>
    <w:rsid w:val="00383C9B"/>
    <w:rsid w:val="003850E1"/>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241B"/>
    <w:rsid w:val="003A2640"/>
    <w:rsid w:val="003A3491"/>
    <w:rsid w:val="003A3765"/>
    <w:rsid w:val="003A4A0D"/>
    <w:rsid w:val="003A6407"/>
    <w:rsid w:val="003A682E"/>
    <w:rsid w:val="003B18A4"/>
    <w:rsid w:val="003B21BA"/>
    <w:rsid w:val="003B2946"/>
    <w:rsid w:val="003B488C"/>
    <w:rsid w:val="003B51BB"/>
    <w:rsid w:val="003B67E1"/>
    <w:rsid w:val="003B7648"/>
    <w:rsid w:val="003C10D4"/>
    <w:rsid w:val="003C32FA"/>
    <w:rsid w:val="003C4858"/>
    <w:rsid w:val="003C5353"/>
    <w:rsid w:val="003D07CF"/>
    <w:rsid w:val="003D1868"/>
    <w:rsid w:val="003D1B99"/>
    <w:rsid w:val="003D23D6"/>
    <w:rsid w:val="003D35E4"/>
    <w:rsid w:val="003D3C3B"/>
    <w:rsid w:val="003D613F"/>
    <w:rsid w:val="003D6D84"/>
    <w:rsid w:val="003E0676"/>
    <w:rsid w:val="003E1698"/>
    <w:rsid w:val="003E31CA"/>
    <w:rsid w:val="003E4BFA"/>
    <w:rsid w:val="003F09A4"/>
    <w:rsid w:val="003F6DDC"/>
    <w:rsid w:val="00402A9D"/>
    <w:rsid w:val="00403C7B"/>
    <w:rsid w:val="00405357"/>
    <w:rsid w:val="004108CF"/>
    <w:rsid w:val="00410A72"/>
    <w:rsid w:val="0041110F"/>
    <w:rsid w:val="00412956"/>
    <w:rsid w:val="00420F3F"/>
    <w:rsid w:val="00420F6A"/>
    <w:rsid w:val="0042102E"/>
    <w:rsid w:val="00421F4F"/>
    <w:rsid w:val="0042249A"/>
    <w:rsid w:val="00425EE2"/>
    <w:rsid w:val="0042751C"/>
    <w:rsid w:val="004343F3"/>
    <w:rsid w:val="00434D87"/>
    <w:rsid w:val="00436988"/>
    <w:rsid w:val="004375E5"/>
    <w:rsid w:val="004420DA"/>
    <w:rsid w:val="00443A26"/>
    <w:rsid w:val="00443A5F"/>
    <w:rsid w:val="004560BD"/>
    <w:rsid w:val="004603CE"/>
    <w:rsid w:val="00462B67"/>
    <w:rsid w:val="00462BD3"/>
    <w:rsid w:val="00463BC4"/>
    <w:rsid w:val="00463FB2"/>
    <w:rsid w:val="0046793E"/>
    <w:rsid w:val="0047210C"/>
    <w:rsid w:val="00474B48"/>
    <w:rsid w:val="004757F8"/>
    <w:rsid w:val="00477CDC"/>
    <w:rsid w:val="00480A1A"/>
    <w:rsid w:val="00481450"/>
    <w:rsid w:val="00482665"/>
    <w:rsid w:val="004831B6"/>
    <w:rsid w:val="00483C3F"/>
    <w:rsid w:val="00484097"/>
    <w:rsid w:val="00485B73"/>
    <w:rsid w:val="00486D3E"/>
    <w:rsid w:val="00487EBB"/>
    <w:rsid w:val="00491B7D"/>
    <w:rsid w:val="00492F27"/>
    <w:rsid w:val="00496582"/>
    <w:rsid w:val="0049764E"/>
    <w:rsid w:val="00497C77"/>
    <w:rsid w:val="004A345F"/>
    <w:rsid w:val="004A39E7"/>
    <w:rsid w:val="004A53D2"/>
    <w:rsid w:val="004A5C91"/>
    <w:rsid w:val="004A7587"/>
    <w:rsid w:val="004B1FB4"/>
    <w:rsid w:val="004B2922"/>
    <w:rsid w:val="004B2D9F"/>
    <w:rsid w:val="004B33D1"/>
    <w:rsid w:val="004B45DC"/>
    <w:rsid w:val="004B5FDB"/>
    <w:rsid w:val="004B73B2"/>
    <w:rsid w:val="004B7B4A"/>
    <w:rsid w:val="004C1211"/>
    <w:rsid w:val="004C24FE"/>
    <w:rsid w:val="004C3D0B"/>
    <w:rsid w:val="004C6377"/>
    <w:rsid w:val="004D368B"/>
    <w:rsid w:val="004D43D5"/>
    <w:rsid w:val="004D4693"/>
    <w:rsid w:val="004D4BF5"/>
    <w:rsid w:val="004D7562"/>
    <w:rsid w:val="004D7AFA"/>
    <w:rsid w:val="004E0748"/>
    <w:rsid w:val="004E165D"/>
    <w:rsid w:val="004E2719"/>
    <w:rsid w:val="004E2D02"/>
    <w:rsid w:val="004E2E42"/>
    <w:rsid w:val="004F18C0"/>
    <w:rsid w:val="004F1FCE"/>
    <w:rsid w:val="004F3968"/>
    <w:rsid w:val="004F4913"/>
    <w:rsid w:val="004F4A07"/>
    <w:rsid w:val="004F54A7"/>
    <w:rsid w:val="004F5C35"/>
    <w:rsid w:val="004F6F9F"/>
    <w:rsid w:val="00500218"/>
    <w:rsid w:val="005011AE"/>
    <w:rsid w:val="005076F7"/>
    <w:rsid w:val="00507C71"/>
    <w:rsid w:val="00510EC3"/>
    <w:rsid w:val="00514954"/>
    <w:rsid w:val="00516301"/>
    <w:rsid w:val="0051772B"/>
    <w:rsid w:val="0052204E"/>
    <w:rsid w:val="005227D0"/>
    <w:rsid w:val="00523CB2"/>
    <w:rsid w:val="00523D00"/>
    <w:rsid w:val="00523EE0"/>
    <w:rsid w:val="00524BA0"/>
    <w:rsid w:val="00526334"/>
    <w:rsid w:val="00533AA2"/>
    <w:rsid w:val="00534BCB"/>
    <w:rsid w:val="005368F8"/>
    <w:rsid w:val="0053724D"/>
    <w:rsid w:val="0053769F"/>
    <w:rsid w:val="0054184B"/>
    <w:rsid w:val="00542D75"/>
    <w:rsid w:val="00544123"/>
    <w:rsid w:val="0055214B"/>
    <w:rsid w:val="00553256"/>
    <w:rsid w:val="00553304"/>
    <w:rsid w:val="005544C2"/>
    <w:rsid w:val="00554D6A"/>
    <w:rsid w:val="00554DAE"/>
    <w:rsid w:val="00555548"/>
    <w:rsid w:val="0055575F"/>
    <w:rsid w:val="005561F3"/>
    <w:rsid w:val="00557B4B"/>
    <w:rsid w:val="00560D56"/>
    <w:rsid w:val="00560FE8"/>
    <w:rsid w:val="00561FE5"/>
    <w:rsid w:val="00563EB2"/>
    <w:rsid w:val="00566318"/>
    <w:rsid w:val="00566A95"/>
    <w:rsid w:val="005719FD"/>
    <w:rsid w:val="00577968"/>
    <w:rsid w:val="00582EC9"/>
    <w:rsid w:val="00586029"/>
    <w:rsid w:val="005871A4"/>
    <w:rsid w:val="005921E3"/>
    <w:rsid w:val="00592C1E"/>
    <w:rsid w:val="005960BA"/>
    <w:rsid w:val="00596717"/>
    <w:rsid w:val="005975C7"/>
    <w:rsid w:val="005A07F6"/>
    <w:rsid w:val="005A216D"/>
    <w:rsid w:val="005A3C37"/>
    <w:rsid w:val="005A6659"/>
    <w:rsid w:val="005B0780"/>
    <w:rsid w:val="005B0790"/>
    <w:rsid w:val="005B14BF"/>
    <w:rsid w:val="005B1A81"/>
    <w:rsid w:val="005B1C5B"/>
    <w:rsid w:val="005B290F"/>
    <w:rsid w:val="005C232C"/>
    <w:rsid w:val="005C33EB"/>
    <w:rsid w:val="005C46E5"/>
    <w:rsid w:val="005C4715"/>
    <w:rsid w:val="005C6D43"/>
    <w:rsid w:val="005D0B3C"/>
    <w:rsid w:val="005D1E9B"/>
    <w:rsid w:val="005D3F87"/>
    <w:rsid w:val="005D4A0A"/>
    <w:rsid w:val="005D7264"/>
    <w:rsid w:val="005E0C43"/>
    <w:rsid w:val="005E2FF5"/>
    <w:rsid w:val="005E3051"/>
    <w:rsid w:val="005E35BD"/>
    <w:rsid w:val="005E3C97"/>
    <w:rsid w:val="005E42AD"/>
    <w:rsid w:val="005E6312"/>
    <w:rsid w:val="005E66AF"/>
    <w:rsid w:val="005E744A"/>
    <w:rsid w:val="005F1DB6"/>
    <w:rsid w:val="005F2941"/>
    <w:rsid w:val="005F335A"/>
    <w:rsid w:val="005F48DF"/>
    <w:rsid w:val="005F5D91"/>
    <w:rsid w:val="00600404"/>
    <w:rsid w:val="006010CF"/>
    <w:rsid w:val="006021FC"/>
    <w:rsid w:val="00602867"/>
    <w:rsid w:val="00607DB2"/>
    <w:rsid w:val="006106D8"/>
    <w:rsid w:val="00610826"/>
    <w:rsid w:val="006160BE"/>
    <w:rsid w:val="00616379"/>
    <w:rsid w:val="00616E9D"/>
    <w:rsid w:val="006203DF"/>
    <w:rsid w:val="006206FD"/>
    <w:rsid w:val="00622AA5"/>
    <w:rsid w:val="00624503"/>
    <w:rsid w:val="00624816"/>
    <w:rsid w:val="00626A3C"/>
    <w:rsid w:val="00627ABD"/>
    <w:rsid w:val="006301C3"/>
    <w:rsid w:val="006309AB"/>
    <w:rsid w:val="00632944"/>
    <w:rsid w:val="00634995"/>
    <w:rsid w:val="00635706"/>
    <w:rsid w:val="0063609F"/>
    <w:rsid w:val="006366C5"/>
    <w:rsid w:val="00637674"/>
    <w:rsid w:val="00637C08"/>
    <w:rsid w:val="00640259"/>
    <w:rsid w:val="00640C09"/>
    <w:rsid w:val="006441DA"/>
    <w:rsid w:val="0065267B"/>
    <w:rsid w:val="00652E84"/>
    <w:rsid w:val="00656C77"/>
    <w:rsid w:val="006577FB"/>
    <w:rsid w:val="0065789C"/>
    <w:rsid w:val="006604E6"/>
    <w:rsid w:val="00660B24"/>
    <w:rsid w:val="00660E98"/>
    <w:rsid w:val="006679E3"/>
    <w:rsid w:val="00670013"/>
    <w:rsid w:val="00671A92"/>
    <w:rsid w:val="00672983"/>
    <w:rsid w:val="00674A94"/>
    <w:rsid w:val="00675BC3"/>
    <w:rsid w:val="00676C89"/>
    <w:rsid w:val="00680652"/>
    <w:rsid w:val="0068068C"/>
    <w:rsid w:val="006824E2"/>
    <w:rsid w:val="00682E9E"/>
    <w:rsid w:val="00686899"/>
    <w:rsid w:val="00686BF9"/>
    <w:rsid w:val="006905A8"/>
    <w:rsid w:val="00691F94"/>
    <w:rsid w:val="0069246C"/>
    <w:rsid w:val="00696179"/>
    <w:rsid w:val="0069770E"/>
    <w:rsid w:val="006A01CB"/>
    <w:rsid w:val="006A36FE"/>
    <w:rsid w:val="006A3E94"/>
    <w:rsid w:val="006A5BF4"/>
    <w:rsid w:val="006B0681"/>
    <w:rsid w:val="006B1F9B"/>
    <w:rsid w:val="006B2161"/>
    <w:rsid w:val="006B321E"/>
    <w:rsid w:val="006B584F"/>
    <w:rsid w:val="006C01E2"/>
    <w:rsid w:val="006C0239"/>
    <w:rsid w:val="006C133C"/>
    <w:rsid w:val="006C25E4"/>
    <w:rsid w:val="006C2C79"/>
    <w:rsid w:val="006C30D1"/>
    <w:rsid w:val="006C32B0"/>
    <w:rsid w:val="006C3EFD"/>
    <w:rsid w:val="006C6DEA"/>
    <w:rsid w:val="006C724E"/>
    <w:rsid w:val="006D1C0F"/>
    <w:rsid w:val="006D455F"/>
    <w:rsid w:val="006D4B21"/>
    <w:rsid w:val="006D529B"/>
    <w:rsid w:val="006D7085"/>
    <w:rsid w:val="006D75D9"/>
    <w:rsid w:val="006E067B"/>
    <w:rsid w:val="006E172A"/>
    <w:rsid w:val="006E3F30"/>
    <w:rsid w:val="006E502D"/>
    <w:rsid w:val="006E6B4A"/>
    <w:rsid w:val="006E70D6"/>
    <w:rsid w:val="006F2734"/>
    <w:rsid w:val="006F2DDB"/>
    <w:rsid w:val="006F401B"/>
    <w:rsid w:val="006F4AEC"/>
    <w:rsid w:val="006F62FB"/>
    <w:rsid w:val="00701076"/>
    <w:rsid w:val="00706984"/>
    <w:rsid w:val="00707B3C"/>
    <w:rsid w:val="007114B6"/>
    <w:rsid w:val="00712683"/>
    <w:rsid w:val="00712F5E"/>
    <w:rsid w:val="00713466"/>
    <w:rsid w:val="00716B72"/>
    <w:rsid w:val="00717E2D"/>
    <w:rsid w:val="00721771"/>
    <w:rsid w:val="00724656"/>
    <w:rsid w:val="007252F1"/>
    <w:rsid w:val="007307B1"/>
    <w:rsid w:val="00730BC8"/>
    <w:rsid w:val="0073150F"/>
    <w:rsid w:val="007328F5"/>
    <w:rsid w:val="00734620"/>
    <w:rsid w:val="007346D1"/>
    <w:rsid w:val="00735F60"/>
    <w:rsid w:val="00736FA5"/>
    <w:rsid w:val="00737036"/>
    <w:rsid w:val="00742B13"/>
    <w:rsid w:val="007432E0"/>
    <w:rsid w:val="00743514"/>
    <w:rsid w:val="00745712"/>
    <w:rsid w:val="007460A4"/>
    <w:rsid w:val="00752E17"/>
    <w:rsid w:val="007530B5"/>
    <w:rsid w:val="00754526"/>
    <w:rsid w:val="00755034"/>
    <w:rsid w:val="00755873"/>
    <w:rsid w:val="00762A6E"/>
    <w:rsid w:val="007638F7"/>
    <w:rsid w:val="0077134B"/>
    <w:rsid w:val="00771A75"/>
    <w:rsid w:val="00771F8C"/>
    <w:rsid w:val="00775798"/>
    <w:rsid w:val="00775A60"/>
    <w:rsid w:val="00775FCE"/>
    <w:rsid w:val="00776FBB"/>
    <w:rsid w:val="007816B6"/>
    <w:rsid w:val="007824A4"/>
    <w:rsid w:val="00783453"/>
    <w:rsid w:val="0078543A"/>
    <w:rsid w:val="00786371"/>
    <w:rsid w:val="007870B6"/>
    <w:rsid w:val="00787564"/>
    <w:rsid w:val="007917C8"/>
    <w:rsid w:val="00793FFC"/>
    <w:rsid w:val="00794923"/>
    <w:rsid w:val="0079662A"/>
    <w:rsid w:val="00797EE1"/>
    <w:rsid w:val="007A170B"/>
    <w:rsid w:val="007A18BE"/>
    <w:rsid w:val="007A75F7"/>
    <w:rsid w:val="007B0D18"/>
    <w:rsid w:val="007B21F4"/>
    <w:rsid w:val="007B2DAB"/>
    <w:rsid w:val="007B35D7"/>
    <w:rsid w:val="007B39B4"/>
    <w:rsid w:val="007B3A08"/>
    <w:rsid w:val="007C09F7"/>
    <w:rsid w:val="007C0CD8"/>
    <w:rsid w:val="007C147A"/>
    <w:rsid w:val="007C149B"/>
    <w:rsid w:val="007C17EA"/>
    <w:rsid w:val="007C1FD1"/>
    <w:rsid w:val="007C3247"/>
    <w:rsid w:val="007C3313"/>
    <w:rsid w:val="007C4313"/>
    <w:rsid w:val="007C4464"/>
    <w:rsid w:val="007C4509"/>
    <w:rsid w:val="007C54FC"/>
    <w:rsid w:val="007C6236"/>
    <w:rsid w:val="007C6423"/>
    <w:rsid w:val="007C7AF3"/>
    <w:rsid w:val="007D049A"/>
    <w:rsid w:val="007D0E06"/>
    <w:rsid w:val="007D13F1"/>
    <w:rsid w:val="007D3E52"/>
    <w:rsid w:val="007D7039"/>
    <w:rsid w:val="007E075D"/>
    <w:rsid w:val="007E0800"/>
    <w:rsid w:val="007E3096"/>
    <w:rsid w:val="007E4342"/>
    <w:rsid w:val="007E44CA"/>
    <w:rsid w:val="007E65A5"/>
    <w:rsid w:val="007E6D22"/>
    <w:rsid w:val="007F065E"/>
    <w:rsid w:val="007F1091"/>
    <w:rsid w:val="007F200E"/>
    <w:rsid w:val="007F37B4"/>
    <w:rsid w:val="007F3BE8"/>
    <w:rsid w:val="007F614A"/>
    <w:rsid w:val="007F7ED5"/>
    <w:rsid w:val="007F7F1E"/>
    <w:rsid w:val="00800156"/>
    <w:rsid w:val="00802328"/>
    <w:rsid w:val="008034B0"/>
    <w:rsid w:val="00804BB3"/>
    <w:rsid w:val="00804F57"/>
    <w:rsid w:val="00805FFA"/>
    <w:rsid w:val="00806107"/>
    <w:rsid w:val="00806F86"/>
    <w:rsid w:val="0081114B"/>
    <w:rsid w:val="00812004"/>
    <w:rsid w:val="00812A9F"/>
    <w:rsid w:val="008137F0"/>
    <w:rsid w:val="00814227"/>
    <w:rsid w:val="00814942"/>
    <w:rsid w:val="00817AFD"/>
    <w:rsid w:val="00821FDC"/>
    <w:rsid w:val="008241EF"/>
    <w:rsid w:val="008256F3"/>
    <w:rsid w:val="00825FCE"/>
    <w:rsid w:val="00827495"/>
    <w:rsid w:val="00830A5B"/>
    <w:rsid w:val="00832FF2"/>
    <w:rsid w:val="008333E2"/>
    <w:rsid w:val="00835CED"/>
    <w:rsid w:val="00837CAE"/>
    <w:rsid w:val="00840389"/>
    <w:rsid w:val="00840E43"/>
    <w:rsid w:val="00842EDC"/>
    <w:rsid w:val="00843266"/>
    <w:rsid w:val="008458F7"/>
    <w:rsid w:val="00847A9A"/>
    <w:rsid w:val="00852D7D"/>
    <w:rsid w:val="008542E9"/>
    <w:rsid w:val="00855F3D"/>
    <w:rsid w:val="00861187"/>
    <w:rsid w:val="00861E70"/>
    <w:rsid w:val="008641FF"/>
    <w:rsid w:val="008677B2"/>
    <w:rsid w:val="008678F8"/>
    <w:rsid w:val="00867A00"/>
    <w:rsid w:val="008722C7"/>
    <w:rsid w:val="00873BD3"/>
    <w:rsid w:val="00874115"/>
    <w:rsid w:val="00874D5F"/>
    <w:rsid w:val="00876ECC"/>
    <w:rsid w:val="00882921"/>
    <w:rsid w:val="00883B88"/>
    <w:rsid w:val="00884976"/>
    <w:rsid w:val="00884CC2"/>
    <w:rsid w:val="00884E84"/>
    <w:rsid w:val="008852FD"/>
    <w:rsid w:val="0089052E"/>
    <w:rsid w:val="00894268"/>
    <w:rsid w:val="00894F63"/>
    <w:rsid w:val="008962F7"/>
    <w:rsid w:val="00896A64"/>
    <w:rsid w:val="008A0CDB"/>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7118"/>
    <w:rsid w:val="008D0A14"/>
    <w:rsid w:val="008D15D5"/>
    <w:rsid w:val="008D38C3"/>
    <w:rsid w:val="008D6D35"/>
    <w:rsid w:val="008D6FD7"/>
    <w:rsid w:val="008D70BF"/>
    <w:rsid w:val="008D7432"/>
    <w:rsid w:val="008E5E30"/>
    <w:rsid w:val="008E67AF"/>
    <w:rsid w:val="008E7D88"/>
    <w:rsid w:val="008F19BC"/>
    <w:rsid w:val="008F4C38"/>
    <w:rsid w:val="008F4E39"/>
    <w:rsid w:val="008F5204"/>
    <w:rsid w:val="008F6504"/>
    <w:rsid w:val="008F6C9F"/>
    <w:rsid w:val="008F71E2"/>
    <w:rsid w:val="00900665"/>
    <w:rsid w:val="00901A9B"/>
    <w:rsid w:val="00904153"/>
    <w:rsid w:val="00904E4B"/>
    <w:rsid w:val="00905C8C"/>
    <w:rsid w:val="009074DB"/>
    <w:rsid w:val="00907933"/>
    <w:rsid w:val="00907CA1"/>
    <w:rsid w:val="00922731"/>
    <w:rsid w:val="00923700"/>
    <w:rsid w:val="00923D34"/>
    <w:rsid w:val="00925750"/>
    <w:rsid w:val="0092575D"/>
    <w:rsid w:val="0092627A"/>
    <w:rsid w:val="00927B08"/>
    <w:rsid w:val="00931657"/>
    <w:rsid w:val="009324C3"/>
    <w:rsid w:val="00932C2F"/>
    <w:rsid w:val="0093457A"/>
    <w:rsid w:val="00934AFB"/>
    <w:rsid w:val="00935637"/>
    <w:rsid w:val="00935DE9"/>
    <w:rsid w:val="009368E2"/>
    <w:rsid w:val="00936FA8"/>
    <w:rsid w:val="00937D21"/>
    <w:rsid w:val="0094360B"/>
    <w:rsid w:val="0094610C"/>
    <w:rsid w:val="00946D20"/>
    <w:rsid w:val="0095096D"/>
    <w:rsid w:val="00951AFE"/>
    <w:rsid w:val="00952508"/>
    <w:rsid w:val="0095300B"/>
    <w:rsid w:val="00953AAA"/>
    <w:rsid w:val="00955DCE"/>
    <w:rsid w:val="009568C1"/>
    <w:rsid w:val="00956955"/>
    <w:rsid w:val="00956D2C"/>
    <w:rsid w:val="009622C7"/>
    <w:rsid w:val="00962655"/>
    <w:rsid w:val="00962EF2"/>
    <w:rsid w:val="00964BD7"/>
    <w:rsid w:val="00964FEB"/>
    <w:rsid w:val="00965BAB"/>
    <w:rsid w:val="009665FF"/>
    <w:rsid w:val="00966810"/>
    <w:rsid w:val="009677DD"/>
    <w:rsid w:val="00967844"/>
    <w:rsid w:val="00971EF9"/>
    <w:rsid w:val="0097234E"/>
    <w:rsid w:val="00972354"/>
    <w:rsid w:val="0097241D"/>
    <w:rsid w:val="009727CC"/>
    <w:rsid w:val="00974377"/>
    <w:rsid w:val="00974F9E"/>
    <w:rsid w:val="009754BC"/>
    <w:rsid w:val="00976933"/>
    <w:rsid w:val="0097701D"/>
    <w:rsid w:val="00980887"/>
    <w:rsid w:val="00980EB8"/>
    <w:rsid w:val="00981BAA"/>
    <w:rsid w:val="00982CA6"/>
    <w:rsid w:val="00983FD5"/>
    <w:rsid w:val="00984847"/>
    <w:rsid w:val="00984E9A"/>
    <w:rsid w:val="0098594F"/>
    <w:rsid w:val="00990DE2"/>
    <w:rsid w:val="0099239E"/>
    <w:rsid w:val="00994103"/>
    <w:rsid w:val="00994129"/>
    <w:rsid w:val="009A1681"/>
    <w:rsid w:val="009A28E7"/>
    <w:rsid w:val="009A379F"/>
    <w:rsid w:val="009A3821"/>
    <w:rsid w:val="009A4ADB"/>
    <w:rsid w:val="009A62A2"/>
    <w:rsid w:val="009A6C40"/>
    <w:rsid w:val="009A73FD"/>
    <w:rsid w:val="009B046F"/>
    <w:rsid w:val="009B062D"/>
    <w:rsid w:val="009B0D2F"/>
    <w:rsid w:val="009B19C5"/>
    <w:rsid w:val="009B3234"/>
    <w:rsid w:val="009B5C75"/>
    <w:rsid w:val="009B64F0"/>
    <w:rsid w:val="009B68BD"/>
    <w:rsid w:val="009B6C21"/>
    <w:rsid w:val="009B7FDA"/>
    <w:rsid w:val="009C0BA1"/>
    <w:rsid w:val="009C30EE"/>
    <w:rsid w:val="009C6633"/>
    <w:rsid w:val="009C7BAC"/>
    <w:rsid w:val="009D10DB"/>
    <w:rsid w:val="009D163C"/>
    <w:rsid w:val="009D1717"/>
    <w:rsid w:val="009D3803"/>
    <w:rsid w:val="009D3C1A"/>
    <w:rsid w:val="009D4A87"/>
    <w:rsid w:val="009D53D2"/>
    <w:rsid w:val="009D66FF"/>
    <w:rsid w:val="009E117D"/>
    <w:rsid w:val="009E1AB3"/>
    <w:rsid w:val="009E228E"/>
    <w:rsid w:val="009E363A"/>
    <w:rsid w:val="009E39EF"/>
    <w:rsid w:val="009E54E5"/>
    <w:rsid w:val="009E6ABD"/>
    <w:rsid w:val="009E7180"/>
    <w:rsid w:val="009F207D"/>
    <w:rsid w:val="009F2E48"/>
    <w:rsid w:val="009F2FA2"/>
    <w:rsid w:val="009F4CBF"/>
    <w:rsid w:val="009F5479"/>
    <w:rsid w:val="00A001B2"/>
    <w:rsid w:val="00A03DEE"/>
    <w:rsid w:val="00A04A30"/>
    <w:rsid w:val="00A06C18"/>
    <w:rsid w:val="00A07201"/>
    <w:rsid w:val="00A104E9"/>
    <w:rsid w:val="00A121D3"/>
    <w:rsid w:val="00A12CA3"/>
    <w:rsid w:val="00A13FB3"/>
    <w:rsid w:val="00A168D1"/>
    <w:rsid w:val="00A2051D"/>
    <w:rsid w:val="00A31678"/>
    <w:rsid w:val="00A32791"/>
    <w:rsid w:val="00A33877"/>
    <w:rsid w:val="00A33EF9"/>
    <w:rsid w:val="00A34A50"/>
    <w:rsid w:val="00A3786C"/>
    <w:rsid w:val="00A40B59"/>
    <w:rsid w:val="00A417FB"/>
    <w:rsid w:val="00A41D43"/>
    <w:rsid w:val="00A425BB"/>
    <w:rsid w:val="00A4295A"/>
    <w:rsid w:val="00A42FA0"/>
    <w:rsid w:val="00A460B4"/>
    <w:rsid w:val="00A462ED"/>
    <w:rsid w:val="00A46AAF"/>
    <w:rsid w:val="00A5064B"/>
    <w:rsid w:val="00A517BA"/>
    <w:rsid w:val="00A554ED"/>
    <w:rsid w:val="00A5703B"/>
    <w:rsid w:val="00A57415"/>
    <w:rsid w:val="00A57FE9"/>
    <w:rsid w:val="00A623F8"/>
    <w:rsid w:val="00A63120"/>
    <w:rsid w:val="00A6382D"/>
    <w:rsid w:val="00A638DE"/>
    <w:rsid w:val="00A64844"/>
    <w:rsid w:val="00A6639C"/>
    <w:rsid w:val="00A70CA2"/>
    <w:rsid w:val="00A71129"/>
    <w:rsid w:val="00A71734"/>
    <w:rsid w:val="00A7271D"/>
    <w:rsid w:val="00A73AED"/>
    <w:rsid w:val="00A77F41"/>
    <w:rsid w:val="00A80893"/>
    <w:rsid w:val="00A849F2"/>
    <w:rsid w:val="00A85380"/>
    <w:rsid w:val="00A87F99"/>
    <w:rsid w:val="00A9084C"/>
    <w:rsid w:val="00A91066"/>
    <w:rsid w:val="00A93ED4"/>
    <w:rsid w:val="00A9433F"/>
    <w:rsid w:val="00AA0528"/>
    <w:rsid w:val="00AA18DA"/>
    <w:rsid w:val="00AA3051"/>
    <w:rsid w:val="00AA5D22"/>
    <w:rsid w:val="00AA6190"/>
    <w:rsid w:val="00AA76A0"/>
    <w:rsid w:val="00AA7A6F"/>
    <w:rsid w:val="00AB249B"/>
    <w:rsid w:val="00AB4211"/>
    <w:rsid w:val="00AB4321"/>
    <w:rsid w:val="00AC23E3"/>
    <w:rsid w:val="00AC23F3"/>
    <w:rsid w:val="00AC271B"/>
    <w:rsid w:val="00AC3B73"/>
    <w:rsid w:val="00AC68B6"/>
    <w:rsid w:val="00AC733B"/>
    <w:rsid w:val="00AD22DD"/>
    <w:rsid w:val="00AD44E2"/>
    <w:rsid w:val="00AD46EC"/>
    <w:rsid w:val="00AE1FED"/>
    <w:rsid w:val="00AE30B3"/>
    <w:rsid w:val="00AF29C0"/>
    <w:rsid w:val="00AF3686"/>
    <w:rsid w:val="00AF3CF3"/>
    <w:rsid w:val="00AF4A4F"/>
    <w:rsid w:val="00AF5610"/>
    <w:rsid w:val="00AF56E5"/>
    <w:rsid w:val="00AF598D"/>
    <w:rsid w:val="00AF6758"/>
    <w:rsid w:val="00AF6EA5"/>
    <w:rsid w:val="00AF725C"/>
    <w:rsid w:val="00B0171E"/>
    <w:rsid w:val="00B01955"/>
    <w:rsid w:val="00B02DDB"/>
    <w:rsid w:val="00B0463E"/>
    <w:rsid w:val="00B05774"/>
    <w:rsid w:val="00B062F4"/>
    <w:rsid w:val="00B07979"/>
    <w:rsid w:val="00B13570"/>
    <w:rsid w:val="00B15AC2"/>
    <w:rsid w:val="00B21ABA"/>
    <w:rsid w:val="00B21ECE"/>
    <w:rsid w:val="00B258FC"/>
    <w:rsid w:val="00B3012C"/>
    <w:rsid w:val="00B30A5A"/>
    <w:rsid w:val="00B316E2"/>
    <w:rsid w:val="00B32AA2"/>
    <w:rsid w:val="00B33214"/>
    <w:rsid w:val="00B33A7D"/>
    <w:rsid w:val="00B36624"/>
    <w:rsid w:val="00B37E6B"/>
    <w:rsid w:val="00B4161F"/>
    <w:rsid w:val="00B41A97"/>
    <w:rsid w:val="00B43125"/>
    <w:rsid w:val="00B46282"/>
    <w:rsid w:val="00B474E8"/>
    <w:rsid w:val="00B47EE3"/>
    <w:rsid w:val="00B5015C"/>
    <w:rsid w:val="00B50E9F"/>
    <w:rsid w:val="00B55B3D"/>
    <w:rsid w:val="00B5723D"/>
    <w:rsid w:val="00B6057C"/>
    <w:rsid w:val="00B66001"/>
    <w:rsid w:val="00B67847"/>
    <w:rsid w:val="00B679D0"/>
    <w:rsid w:val="00B7082A"/>
    <w:rsid w:val="00B70E3B"/>
    <w:rsid w:val="00B71414"/>
    <w:rsid w:val="00B724B0"/>
    <w:rsid w:val="00B73148"/>
    <w:rsid w:val="00B73899"/>
    <w:rsid w:val="00B7615A"/>
    <w:rsid w:val="00B8320D"/>
    <w:rsid w:val="00B91440"/>
    <w:rsid w:val="00B9257E"/>
    <w:rsid w:val="00B95199"/>
    <w:rsid w:val="00B95276"/>
    <w:rsid w:val="00B95E40"/>
    <w:rsid w:val="00B9658B"/>
    <w:rsid w:val="00B965AD"/>
    <w:rsid w:val="00B973AD"/>
    <w:rsid w:val="00BA51AC"/>
    <w:rsid w:val="00BA5F58"/>
    <w:rsid w:val="00BA6382"/>
    <w:rsid w:val="00BA76C6"/>
    <w:rsid w:val="00BB17FC"/>
    <w:rsid w:val="00BB2DD2"/>
    <w:rsid w:val="00BB5FDA"/>
    <w:rsid w:val="00BB6F03"/>
    <w:rsid w:val="00BC4202"/>
    <w:rsid w:val="00BC4EDD"/>
    <w:rsid w:val="00BC7F67"/>
    <w:rsid w:val="00BD2394"/>
    <w:rsid w:val="00BD2478"/>
    <w:rsid w:val="00BD2711"/>
    <w:rsid w:val="00BD29D3"/>
    <w:rsid w:val="00BD3863"/>
    <w:rsid w:val="00BD4C5E"/>
    <w:rsid w:val="00BD6BCC"/>
    <w:rsid w:val="00BD799E"/>
    <w:rsid w:val="00BE00AC"/>
    <w:rsid w:val="00BE032A"/>
    <w:rsid w:val="00BE0DA2"/>
    <w:rsid w:val="00BE2A8B"/>
    <w:rsid w:val="00BE3B44"/>
    <w:rsid w:val="00BE3C63"/>
    <w:rsid w:val="00BE4477"/>
    <w:rsid w:val="00BE5C85"/>
    <w:rsid w:val="00BE64D0"/>
    <w:rsid w:val="00BF22B1"/>
    <w:rsid w:val="00BF2E3F"/>
    <w:rsid w:val="00BF5A88"/>
    <w:rsid w:val="00BF6D05"/>
    <w:rsid w:val="00BF6EA7"/>
    <w:rsid w:val="00C009A5"/>
    <w:rsid w:val="00C01B2B"/>
    <w:rsid w:val="00C07176"/>
    <w:rsid w:val="00C1225F"/>
    <w:rsid w:val="00C1232B"/>
    <w:rsid w:val="00C12D94"/>
    <w:rsid w:val="00C13285"/>
    <w:rsid w:val="00C136C6"/>
    <w:rsid w:val="00C137AA"/>
    <w:rsid w:val="00C13BC1"/>
    <w:rsid w:val="00C1436A"/>
    <w:rsid w:val="00C16086"/>
    <w:rsid w:val="00C16102"/>
    <w:rsid w:val="00C16233"/>
    <w:rsid w:val="00C1688A"/>
    <w:rsid w:val="00C20573"/>
    <w:rsid w:val="00C22B87"/>
    <w:rsid w:val="00C24910"/>
    <w:rsid w:val="00C250AD"/>
    <w:rsid w:val="00C3066A"/>
    <w:rsid w:val="00C31D7F"/>
    <w:rsid w:val="00C32CB6"/>
    <w:rsid w:val="00C34A70"/>
    <w:rsid w:val="00C35050"/>
    <w:rsid w:val="00C350EE"/>
    <w:rsid w:val="00C353E5"/>
    <w:rsid w:val="00C3561D"/>
    <w:rsid w:val="00C369DB"/>
    <w:rsid w:val="00C41C7E"/>
    <w:rsid w:val="00C4236A"/>
    <w:rsid w:val="00C42D6F"/>
    <w:rsid w:val="00C43FD2"/>
    <w:rsid w:val="00C44BD7"/>
    <w:rsid w:val="00C4578F"/>
    <w:rsid w:val="00C46132"/>
    <w:rsid w:val="00C46842"/>
    <w:rsid w:val="00C47AD7"/>
    <w:rsid w:val="00C50646"/>
    <w:rsid w:val="00C52BCB"/>
    <w:rsid w:val="00C575E9"/>
    <w:rsid w:val="00C57D01"/>
    <w:rsid w:val="00C6292D"/>
    <w:rsid w:val="00C62C09"/>
    <w:rsid w:val="00C6383C"/>
    <w:rsid w:val="00C65768"/>
    <w:rsid w:val="00C66901"/>
    <w:rsid w:val="00C710AB"/>
    <w:rsid w:val="00C75D8A"/>
    <w:rsid w:val="00C769D1"/>
    <w:rsid w:val="00C76D97"/>
    <w:rsid w:val="00C81171"/>
    <w:rsid w:val="00C82243"/>
    <w:rsid w:val="00C844AC"/>
    <w:rsid w:val="00C84F32"/>
    <w:rsid w:val="00C8532D"/>
    <w:rsid w:val="00C86368"/>
    <w:rsid w:val="00C9195C"/>
    <w:rsid w:val="00C92D5E"/>
    <w:rsid w:val="00C94A81"/>
    <w:rsid w:val="00C95A1F"/>
    <w:rsid w:val="00C9689D"/>
    <w:rsid w:val="00C97AA9"/>
    <w:rsid w:val="00C97F1B"/>
    <w:rsid w:val="00CA0609"/>
    <w:rsid w:val="00CA0CF8"/>
    <w:rsid w:val="00CA287F"/>
    <w:rsid w:val="00CA308E"/>
    <w:rsid w:val="00CA3A12"/>
    <w:rsid w:val="00CA57C1"/>
    <w:rsid w:val="00CB04EC"/>
    <w:rsid w:val="00CB36BE"/>
    <w:rsid w:val="00CB525F"/>
    <w:rsid w:val="00CB6B28"/>
    <w:rsid w:val="00CC2272"/>
    <w:rsid w:val="00CC468D"/>
    <w:rsid w:val="00CC6527"/>
    <w:rsid w:val="00CC7046"/>
    <w:rsid w:val="00CC7A6B"/>
    <w:rsid w:val="00CD1DDB"/>
    <w:rsid w:val="00CD5F48"/>
    <w:rsid w:val="00CD6453"/>
    <w:rsid w:val="00CE0F51"/>
    <w:rsid w:val="00CE2A01"/>
    <w:rsid w:val="00CE4722"/>
    <w:rsid w:val="00CE517F"/>
    <w:rsid w:val="00CE5D11"/>
    <w:rsid w:val="00CE5D9C"/>
    <w:rsid w:val="00CF1D34"/>
    <w:rsid w:val="00CF2D96"/>
    <w:rsid w:val="00CF398D"/>
    <w:rsid w:val="00CF40B2"/>
    <w:rsid w:val="00CF4747"/>
    <w:rsid w:val="00D00B7A"/>
    <w:rsid w:val="00D033B7"/>
    <w:rsid w:val="00D0440B"/>
    <w:rsid w:val="00D0578A"/>
    <w:rsid w:val="00D05EF9"/>
    <w:rsid w:val="00D07623"/>
    <w:rsid w:val="00D124A7"/>
    <w:rsid w:val="00D152AC"/>
    <w:rsid w:val="00D15338"/>
    <w:rsid w:val="00D158BD"/>
    <w:rsid w:val="00D20787"/>
    <w:rsid w:val="00D20B7E"/>
    <w:rsid w:val="00D20CFD"/>
    <w:rsid w:val="00D22744"/>
    <w:rsid w:val="00D22E5B"/>
    <w:rsid w:val="00D26914"/>
    <w:rsid w:val="00D31305"/>
    <w:rsid w:val="00D31DE8"/>
    <w:rsid w:val="00D36930"/>
    <w:rsid w:val="00D36DAF"/>
    <w:rsid w:val="00D36F4A"/>
    <w:rsid w:val="00D37B46"/>
    <w:rsid w:val="00D4050D"/>
    <w:rsid w:val="00D446DE"/>
    <w:rsid w:val="00D5153B"/>
    <w:rsid w:val="00D52A96"/>
    <w:rsid w:val="00D53B94"/>
    <w:rsid w:val="00D544C5"/>
    <w:rsid w:val="00D55EB5"/>
    <w:rsid w:val="00D56674"/>
    <w:rsid w:val="00D57046"/>
    <w:rsid w:val="00D61FBF"/>
    <w:rsid w:val="00D6219B"/>
    <w:rsid w:val="00D626A3"/>
    <w:rsid w:val="00D637D4"/>
    <w:rsid w:val="00D6438B"/>
    <w:rsid w:val="00D64E73"/>
    <w:rsid w:val="00D65F1F"/>
    <w:rsid w:val="00D665D1"/>
    <w:rsid w:val="00D66D86"/>
    <w:rsid w:val="00D701E1"/>
    <w:rsid w:val="00D732FE"/>
    <w:rsid w:val="00D73544"/>
    <w:rsid w:val="00D77242"/>
    <w:rsid w:val="00D77363"/>
    <w:rsid w:val="00D779BF"/>
    <w:rsid w:val="00D834EB"/>
    <w:rsid w:val="00D83AAD"/>
    <w:rsid w:val="00D86059"/>
    <w:rsid w:val="00D861F5"/>
    <w:rsid w:val="00D867B5"/>
    <w:rsid w:val="00D877E8"/>
    <w:rsid w:val="00D91589"/>
    <w:rsid w:val="00D91F13"/>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540A"/>
    <w:rsid w:val="00DB5879"/>
    <w:rsid w:val="00DB5993"/>
    <w:rsid w:val="00DB7562"/>
    <w:rsid w:val="00DC10C3"/>
    <w:rsid w:val="00DC265A"/>
    <w:rsid w:val="00DC32AB"/>
    <w:rsid w:val="00DC3A01"/>
    <w:rsid w:val="00DC6528"/>
    <w:rsid w:val="00DD2F68"/>
    <w:rsid w:val="00DD3179"/>
    <w:rsid w:val="00DD3BE3"/>
    <w:rsid w:val="00DD45C4"/>
    <w:rsid w:val="00DD4C7D"/>
    <w:rsid w:val="00DD4EF0"/>
    <w:rsid w:val="00DE186D"/>
    <w:rsid w:val="00DE20D0"/>
    <w:rsid w:val="00DE2EB7"/>
    <w:rsid w:val="00DE2FCF"/>
    <w:rsid w:val="00DE3FD6"/>
    <w:rsid w:val="00DE7362"/>
    <w:rsid w:val="00DE752E"/>
    <w:rsid w:val="00DF0708"/>
    <w:rsid w:val="00DF14CF"/>
    <w:rsid w:val="00DF3718"/>
    <w:rsid w:val="00DF422D"/>
    <w:rsid w:val="00DF7240"/>
    <w:rsid w:val="00DF7314"/>
    <w:rsid w:val="00E00E40"/>
    <w:rsid w:val="00E022C5"/>
    <w:rsid w:val="00E02528"/>
    <w:rsid w:val="00E0269E"/>
    <w:rsid w:val="00E074DA"/>
    <w:rsid w:val="00E07611"/>
    <w:rsid w:val="00E07DF6"/>
    <w:rsid w:val="00E11184"/>
    <w:rsid w:val="00E116CF"/>
    <w:rsid w:val="00E11F41"/>
    <w:rsid w:val="00E14238"/>
    <w:rsid w:val="00E146C4"/>
    <w:rsid w:val="00E14C99"/>
    <w:rsid w:val="00E200F8"/>
    <w:rsid w:val="00E20DEA"/>
    <w:rsid w:val="00E2158A"/>
    <w:rsid w:val="00E22EA2"/>
    <w:rsid w:val="00E22FF2"/>
    <w:rsid w:val="00E23B2E"/>
    <w:rsid w:val="00E24A6B"/>
    <w:rsid w:val="00E27C1F"/>
    <w:rsid w:val="00E309A4"/>
    <w:rsid w:val="00E31E73"/>
    <w:rsid w:val="00E3251B"/>
    <w:rsid w:val="00E40F84"/>
    <w:rsid w:val="00E4122B"/>
    <w:rsid w:val="00E41A50"/>
    <w:rsid w:val="00E4296A"/>
    <w:rsid w:val="00E4373F"/>
    <w:rsid w:val="00E43757"/>
    <w:rsid w:val="00E46DBB"/>
    <w:rsid w:val="00E47B7B"/>
    <w:rsid w:val="00E504F6"/>
    <w:rsid w:val="00E5117C"/>
    <w:rsid w:val="00E51309"/>
    <w:rsid w:val="00E52260"/>
    <w:rsid w:val="00E523EA"/>
    <w:rsid w:val="00E548AC"/>
    <w:rsid w:val="00E54A50"/>
    <w:rsid w:val="00E56D36"/>
    <w:rsid w:val="00E628AD"/>
    <w:rsid w:val="00E629CE"/>
    <w:rsid w:val="00E62C31"/>
    <w:rsid w:val="00E63C0C"/>
    <w:rsid w:val="00E6481A"/>
    <w:rsid w:val="00E672EE"/>
    <w:rsid w:val="00E67F18"/>
    <w:rsid w:val="00E70174"/>
    <w:rsid w:val="00E71EA8"/>
    <w:rsid w:val="00E74BF8"/>
    <w:rsid w:val="00E779CA"/>
    <w:rsid w:val="00E835E8"/>
    <w:rsid w:val="00E844C8"/>
    <w:rsid w:val="00E919FF"/>
    <w:rsid w:val="00E97024"/>
    <w:rsid w:val="00E97075"/>
    <w:rsid w:val="00E97AB6"/>
    <w:rsid w:val="00EA0EE1"/>
    <w:rsid w:val="00EA0F32"/>
    <w:rsid w:val="00EA1309"/>
    <w:rsid w:val="00EA445B"/>
    <w:rsid w:val="00EA44CA"/>
    <w:rsid w:val="00EA4992"/>
    <w:rsid w:val="00EA5CE0"/>
    <w:rsid w:val="00EA66CA"/>
    <w:rsid w:val="00EA74C3"/>
    <w:rsid w:val="00EB2DDA"/>
    <w:rsid w:val="00EB3913"/>
    <w:rsid w:val="00EB4EC4"/>
    <w:rsid w:val="00EB5E19"/>
    <w:rsid w:val="00EC0B70"/>
    <w:rsid w:val="00EC20E6"/>
    <w:rsid w:val="00EC4748"/>
    <w:rsid w:val="00EC5ACC"/>
    <w:rsid w:val="00ED0403"/>
    <w:rsid w:val="00ED04EE"/>
    <w:rsid w:val="00ED174D"/>
    <w:rsid w:val="00ED1797"/>
    <w:rsid w:val="00ED1A35"/>
    <w:rsid w:val="00ED1B05"/>
    <w:rsid w:val="00ED296B"/>
    <w:rsid w:val="00ED2BE2"/>
    <w:rsid w:val="00ED3A19"/>
    <w:rsid w:val="00ED439F"/>
    <w:rsid w:val="00ED5FBC"/>
    <w:rsid w:val="00ED652F"/>
    <w:rsid w:val="00ED6A41"/>
    <w:rsid w:val="00ED6A97"/>
    <w:rsid w:val="00EE1BF2"/>
    <w:rsid w:val="00EE38D7"/>
    <w:rsid w:val="00EE48F1"/>
    <w:rsid w:val="00EE4FED"/>
    <w:rsid w:val="00EE54C3"/>
    <w:rsid w:val="00EE5BDA"/>
    <w:rsid w:val="00EE6F9B"/>
    <w:rsid w:val="00EF26D7"/>
    <w:rsid w:val="00EF34D6"/>
    <w:rsid w:val="00EF3B5C"/>
    <w:rsid w:val="00EF4C03"/>
    <w:rsid w:val="00EF75AC"/>
    <w:rsid w:val="00F00A05"/>
    <w:rsid w:val="00F00DBC"/>
    <w:rsid w:val="00F021D9"/>
    <w:rsid w:val="00F0380A"/>
    <w:rsid w:val="00F0385D"/>
    <w:rsid w:val="00F03A92"/>
    <w:rsid w:val="00F03B50"/>
    <w:rsid w:val="00F07C79"/>
    <w:rsid w:val="00F12A39"/>
    <w:rsid w:val="00F12AF2"/>
    <w:rsid w:val="00F131A6"/>
    <w:rsid w:val="00F16C13"/>
    <w:rsid w:val="00F20E6A"/>
    <w:rsid w:val="00F21BA0"/>
    <w:rsid w:val="00F22823"/>
    <w:rsid w:val="00F239FD"/>
    <w:rsid w:val="00F25479"/>
    <w:rsid w:val="00F26461"/>
    <w:rsid w:val="00F31E2A"/>
    <w:rsid w:val="00F35E38"/>
    <w:rsid w:val="00F36379"/>
    <w:rsid w:val="00F42F56"/>
    <w:rsid w:val="00F430E0"/>
    <w:rsid w:val="00F44109"/>
    <w:rsid w:val="00F44E23"/>
    <w:rsid w:val="00F454B7"/>
    <w:rsid w:val="00F512E1"/>
    <w:rsid w:val="00F51C60"/>
    <w:rsid w:val="00F52328"/>
    <w:rsid w:val="00F523B2"/>
    <w:rsid w:val="00F5556D"/>
    <w:rsid w:val="00F562BE"/>
    <w:rsid w:val="00F57629"/>
    <w:rsid w:val="00F61463"/>
    <w:rsid w:val="00F618B7"/>
    <w:rsid w:val="00F6375F"/>
    <w:rsid w:val="00F63D45"/>
    <w:rsid w:val="00F64B5C"/>
    <w:rsid w:val="00F65D96"/>
    <w:rsid w:val="00F6642F"/>
    <w:rsid w:val="00F7279C"/>
    <w:rsid w:val="00F72BCF"/>
    <w:rsid w:val="00F7356E"/>
    <w:rsid w:val="00F7381C"/>
    <w:rsid w:val="00F74FC0"/>
    <w:rsid w:val="00F83626"/>
    <w:rsid w:val="00F83666"/>
    <w:rsid w:val="00F8403B"/>
    <w:rsid w:val="00F846FC"/>
    <w:rsid w:val="00F861C2"/>
    <w:rsid w:val="00F86209"/>
    <w:rsid w:val="00F86E4E"/>
    <w:rsid w:val="00F90028"/>
    <w:rsid w:val="00F9342E"/>
    <w:rsid w:val="00F943A0"/>
    <w:rsid w:val="00F950A6"/>
    <w:rsid w:val="00F978A4"/>
    <w:rsid w:val="00FA0979"/>
    <w:rsid w:val="00FA1043"/>
    <w:rsid w:val="00FA11C6"/>
    <w:rsid w:val="00FA3335"/>
    <w:rsid w:val="00FA4722"/>
    <w:rsid w:val="00FA5037"/>
    <w:rsid w:val="00FA5435"/>
    <w:rsid w:val="00FA5A58"/>
    <w:rsid w:val="00FA798A"/>
    <w:rsid w:val="00FA7E90"/>
    <w:rsid w:val="00FB1027"/>
    <w:rsid w:val="00FB1295"/>
    <w:rsid w:val="00FB17DB"/>
    <w:rsid w:val="00FB18C8"/>
    <w:rsid w:val="00FB1B7E"/>
    <w:rsid w:val="00FB24B7"/>
    <w:rsid w:val="00FB2702"/>
    <w:rsid w:val="00FB3022"/>
    <w:rsid w:val="00FB3704"/>
    <w:rsid w:val="00FB44EE"/>
    <w:rsid w:val="00FB50B9"/>
    <w:rsid w:val="00FC093E"/>
    <w:rsid w:val="00FC509F"/>
    <w:rsid w:val="00FC5BB1"/>
    <w:rsid w:val="00FC7E78"/>
    <w:rsid w:val="00FD2E86"/>
    <w:rsid w:val="00FD3CD5"/>
    <w:rsid w:val="00FD4B28"/>
    <w:rsid w:val="00FD51A0"/>
    <w:rsid w:val="00FE0284"/>
    <w:rsid w:val="00FE317E"/>
    <w:rsid w:val="00FE78F3"/>
    <w:rsid w:val="00FF2414"/>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3F608E6"/>
    <w:rsid w:val="041169FC"/>
    <w:rsid w:val="04156509"/>
    <w:rsid w:val="047371F5"/>
    <w:rsid w:val="04D715DA"/>
    <w:rsid w:val="04EB1C45"/>
    <w:rsid w:val="05166405"/>
    <w:rsid w:val="05477104"/>
    <w:rsid w:val="0553272D"/>
    <w:rsid w:val="055C0F63"/>
    <w:rsid w:val="056F09EF"/>
    <w:rsid w:val="05FA785A"/>
    <w:rsid w:val="0605091C"/>
    <w:rsid w:val="0616745F"/>
    <w:rsid w:val="062D7496"/>
    <w:rsid w:val="064B6044"/>
    <w:rsid w:val="06657089"/>
    <w:rsid w:val="06726600"/>
    <w:rsid w:val="06CF0083"/>
    <w:rsid w:val="06D90382"/>
    <w:rsid w:val="070C0696"/>
    <w:rsid w:val="071E5A16"/>
    <w:rsid w:val="07485F77"/>
    <w:rsid w:val="07C937BF"/>
    <w:rsid w:val="07EF0979"/>
    <w:rsid w:val="0831053B"/>
    <w:rsid w:val="08412C76"/>
    <w:rsid w:val="08793CA9"/>
    <w:rsid w:val="089D72D2"/>
    <w:rsid w:val="08FF7763"/>
    <w:rsid w:val="09057635"/>
    <w:rsid w:val="096F0ABB"/>
    <w:rsid w:val="09910354"/>
    <w:rsid w:val="09A15DBC"/>
    <w:rsid w:val="09C6027F"/>
    <w:rsid w:val="09D04095"/>
    <w:rsid w:val="0A2A7A5B"/>
    <w:rsid w:val="0A3B709C"/>
    <w:rsid w:val="0A4506CE"/>
    <w:rsid w:val="0A954FB6"/>
    <w:rsid w:val="0ACC1F39"/>
    <w:rsid w:val="0AD125F3"/>
    <w:rsid w:val="0ADF77EF"/>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79746D"/>
    <w:rsid w:val="117C7BA5"/>
    <w:rsid w:val="11BC03B1"/>
    <w:rsid w:val="11D120ED"/>
    <w:rsid w:val="11E51C7F"/>
    <w:rsid w:val="11F35547"/>
    <w:rsid w:val="121D065C"/>
    <w:rsid w:val="12437710"/>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764D40"/>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3C1E70"/>
    <w:rsid w:val="30473BB7"/>
    <w:rsid w:val="3068359D"/>
    <w:rsid w:val="30697628"/>
    <w:rsid w:val="30C7223B"/>
    <w:rsid w:val="30E14516"/>
    <w:rsid w:val="30E3292A"/>
    <w:rsid w:val="30F370BF"/>
    <w:rsid w:val="31312D5C"/>
    <w:rsid w:val="31AC65DF"/>
    <w:rsid w:val="31C44103"/>
    <w:rsid w:val="31D44E4E"/>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D0205C5"/>
    <w:rsid w:val="3D2A3905"/>
    <w:rsid w:val="3D5E6B9F"/>
    <w:rsid w:val="3D682A15"/>
    <w:rsid w:val="3D7C311D"/>
    <w:rsid w:val="3DA3169F"/>
    <w:rsid w:val="3DAB01EA"/>
    <w:rsid w:val="3DB66094"/>
    <w:rsid w:val="3DC74EBF"/>
    <w:rsid w:val="3DDE1DEE"/>
    <w:rsid w:val="3E0110BE"/>
    <w:rsid w:val="3E1255D9"/>
    <w:rsid w:val="3E614ECC"/>
    <w:rsid w:val="3E65507C"/>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FE41A9"/>
    <w:rsid w:val="41014F47"/>
    <w:rsid w:val="411C3B71"/>
    <w:rsid w:val="412F601C"/>
    <w:rsid w:val="413D2424"/>
    <w:rsid w:val="41770E3B"/>
    <w:rsid w:val="41AC5379"/>
    <w:rsid w:val="42083C1C"/>
    <w:rsid w:val="4213297E"/>
    <w:rsid w:val="42493F85"/>
    <w:rsid w:val="424C0C7C"/>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7374D25"/>
    <w:rsid w:val="474E2E57"/>
    <w:rsid w:val="475E085F"/>
    <w:rsid w:val="47950C9A"/>
    <w:rsid w:val="47FD7038"/>
    <w:rsid w:val="482B0B2C"/>
    <w:rsid w:val="48960240"/>
    <w:rsid w:val="48C60692"/>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D0B0B3B"/>
    <w:rsid w:val="4D2601D8"/>
    <w:rsid w:val="4D336DED"/>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602515"/>
    <w:rsid w:val="50694480"/>
    <w:rsid w:val="50922E13"/>
    <w:rsid w:val="513D6408"/>
    <w:rsid w:val="51726808"/>
    <w:rsid w:val="51B502FB"/>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1342D8"/>
    <w:rsid w:val="5B19044E"/>
    <w:rsid w:val="5BF50E30"/>
    <w:rsid w:val="5C5E622F"/>
    <w:rsid w:val="5C822D6B"/>
    <w:rsid w:val="5CB6277D"/>
    <w:rsid w:val="5CC05C4D"/>
    <w:rsid w:val="5CC060C8"/>
    <w:rsid w:val="5CC5262C"/>
    <w:rsid w:val="5CD04DA2"/>
    <w:rsid w:val="5CD669FD"/>
    <w:rsid w:val="5D2E37A1"/>
    <w:rsid w:val="5D457310"/>
    <w:rsid w:val="5D5E35F2"/>
    <w:rsid w:val="5DF52BD7"/>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27FB8"/>
    <w:rsid w:val="61BE6FE7"/>
    <w:rsid w:val="61C15CEC"/>
    <w:rsid w:val="62352C29"/>
    <w:rsid w:val="624C02BD"/>
    <w:rsid w:val="625721AE"/>
    <w:rsid w:val="627059B3"/>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60D6171"/>
    <w:rsid w:val="66292819"/>
    <w:rsid w:val="667708B2"/>
    <w:rsid w:val="669D3C48"/>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546496"/>
    <w:rsid w:val="739F49DB"/>
    <w:rsid w:val="73B135E8"/>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93B4DC4"/>
    <w:rsid w:val="795C32C5"/>
    <w:rsid w:val="7A346A2E"/>
    <w:rsid w:val="7A8462E8"/>
    <w:rsid w:val="7AE8696E"/>
    <w:rsid w:val="7AF71574"/>
    <w:rsid w:val="7B05608A"/>
    <w:rsid w:val="7B1D3E06"/>
    <w:rsid w:val="7B8841BE"/>
    <w:rsid w:val="7BBF6B45"/>
    <w:rsid w:val="7BCE7897"/>
    <w:rsid w:val="7BE83ACA"/>
    <w:rsid w:val="7BF212DD"/>
    <w:rsid w:val="7C2B0E57"/>
    <w:rsid w:val="7C6D2CAB"/>
    <w:rsid w:val="7C7E3B32"/>
    <w:rsid w:val="7C843D45"/>
    <w:rsid w:val="7D112EAB"/>
    <w:rsid w:val="7D6F5DEB"/>
    <w:rsid w:val="7D970116"/>
    <w:rsid w:val="7DCE15B2"/>
    <w:rsid w:val="7DE56E8E"/>
    <w:rsid w:val="7E7D1D7F"/>
    <w:rsid w:val="7E7D3960"/>
    <w:rsid w:val="7E822D47"/>
    <w:rsid w:val="7EB43C2A"/>
    <w:rsid w:val="7ECA3219"/>
    <w:rsid w:val="7ED94842"/>
    <w:rsid w:val="7F050E88"/>
    <w:rsid w:val="7F603545"/>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1"/>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Body Text Indent"/>
    <w:basedOn w:val="1"/>
    <w:qFormat/>
    <w:uiPriority w:val="0"/>
    <w:pPr>
      <w:spacing w:line="320" w:lineRule="exact"/>
      <w:ind w:firstLine="425"/>
    </w:pPr>
    <w:rPr>
      <w:color w:val="000000"/>
      <w:sz w:val="24"/>
    </w:rPr>
  </w:style>
  <w:style w:type="paragraph" w:styleId="8">
    <w:name w:val="Plain Text"/>
    <w:basedOn w:val="1"/>
    <w:link w:val="31"/>
    <w:qFormat/>
    <w:uiPriority w:val="0"/>
    <w:rPr>
      <w:rFonts w:ascii="宋体" w:hAnsi="Courier New"/>
      <w:kern w:val="0"/>
      <w:sz w:val="24"/>
      <w:szCs w:val="20"/>
    </w:rPr>
  </w:style>
  <w:style w:type="paragraph" w:styleId="9">
    <w:name w:val="Balloon Text"/>
    <w:basedOn w:val="1"/>
    <w:link w:val="30"/>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Body Text Indent 3"/>
    <w:basedOn w:val="1"/>
    <w:qFormat/>
    <w:uiPriority w:val="0"/>
    <w:pPr>
      <w:snapToGrid w:val="0"/>
      <w:spacing w:line="360" w:lineRule="auto"/>
      <w:ind w:firstLine="425"/>
    </w:pPr>
    <w:rPr>
      <w:sz w:val="24"/>
    </w:rPr>
  </w:style>
  <w:style w:type="paragraph" w:styleId="1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none"/>
    </w:rPr>
  </w:style>
  <w:style w:type="paragraph" w:customStyle="1" w:styleId="19">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0">
    <w:name w:val="4正文"/>
    <w:basedOn w:val="1"/>
    <w:qFormat/>
    <w:uiPriority w:val="0"/>
    <w:pPr>
      <w:spacing w:line="360" w:lineRule="auto"/>
      <w:ind w:firstLine="480" w:firstLineChars="200"/>
    </w:pPr>
    <w:rPr>
      <w:rFonts w:cs="宋体"/>
      <w:szCs w:val="20"/>
    </w:rPr>
  </w:style>
  <w:style w:type="character" w:customStyle="1" w:styleId="21">
    <w:name w:val="标题 2 字符"/>
    <w:link w:val="3"/>
    <w:qFormat/>
    <w:uiPriority w:val="0"/>
    <w:rPr>
      <w:rFonts w:ascii="Arial" w:hAnsi="Arial" w:cs="Times New Roman"/>
      <w:b/>
      <w:sz w:val="28"/>
      <w:szCs w:val="22"/>
    </w:rPr>
  </w:style>
  <w:style w:type="paragraph" w:customStyle="1" w:styleId="22">
    <w:name w:val="p0"/>
    <w:basedOn w:val="1"/>
    <w:qFormat/>
    <w:uiPriority w:val="0"/>
    <w:pPr>
      <w:widowControl/>
    </w:pPr>
    <w:rPr>
      <w:kern w:val="0"/>
      <w:szCs w:val="21"/>
    </w:rPr>
  </w:style>
  <w:style w:type="paragraph" w:customStyle="1" w:styleId="23">
    <w:name w:val="_Style 1"/>
    <w:basedOn w:val="1"/>
    <w:qFormat/>
    <w:uiPriority w:val="1"/>
    <w:rPr>
      <w:szCs w:val="32"/>
    </w:rPr>
  </w:style>
  <w:style w:type="paragraph" w:customStyle="1" w:styleId="24">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5">
    <w:name w:val="表标题"/>
    <w:basedOn w:val="1"/>
    <w:qFormat/>
    <w:uiPriority w:val="0"/>
    <w:pPr>
      <w:jc w:val="center"/>
    </w:pPr>
    <w:rPr>
      <w:rFonts w:ascii="黑体" w:eastAsia="黑体"/>
      <w:sz w:val="24"/>
    </w:rPr>
  </w:style>
  <w:style w:type="paragraph" w:customStyle="1" w:styleId="26">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7">
    <w:name w:val="公文正文"/>
    <w:basedOn w:val="1"/>
    <w:qFormat/>
    <w:uiPriority w:val="0"/>
    <w:pPr>
      <w:ind w:firstLine="200" w:firstLineChars="200"/>
    </w:pPr>
    <w:rPr>
      <w:rFonts w:eastAsia="方正仿宋简体"/>
      <w:sz w:val="30"/>
    </w:rPr>
  </w:style>
  <w:style w:type="paragraph" w:customStyle="1" w:styleId="28">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2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0">
    <w:name w:val="批注框文本 字符"/>
    <w:basedOn w:val="17"/>
    <w:link w:val="9"/>
    <w:qFormat/>
    <w:uiPriority w:val="0"/>
    <w:rPr>
      <w:kern w:val="2"/>
      <w:sz w:val="18"/>
      <w:szCs w:val="18"/>
    </w:rPr>
  </w:style>
  <w:style w:type="character" w:customStyle="1" w:styleId="31">
    <w:name w:val="纯文本 字符"/>
    <w:basedOn w:val="17"/>
    <w:link w:val="8"/>
    <w:qFormat/>
    <w:uiPriority w:val="0"/>
    <w:rPr>
      <w:rFonts w:ascii="宋体" w:hAnsi="Courier New"/>
      <w:sz w:val="24"/>
    </w:rPr>
  </w:style>
  <w:style w:type="paragraph" w:customStyle="1" w:styleId="32">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3">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4">
    <w:name w:val="No Spacing"/>
    <w:qFormat/>
    <w:uiPriority w:val="1"/>
    <w:rPr>
      <w:rFonts w:asciiTheme="minorHAnsi" w:hAnsiTheme="minorHAnsi" w:eastAsiaTheme="minorEastAsia" w:cstheme="minorBidi"/>
      <w:sz w:val="22"/>
      <w:szCs w:val="22"/>
      <w:lang w:val="en-US" w:eastAsia="zh-CN" w:bidi="ar-SA"/>
    </w:rPr>
  </w:style>
  <w:style w:type="paragraph" w:customStyle="1" w:styleId="35">
    <w:name w:val="BG"/>
    <w:basedOn w:val="1"/>
    <w:link w:val="36"/>
    <w:qFormat/>
    <w:uiPriority w:val="0"/>
    <w:pPr>
      <w:adjustRightInd w:val="0"/>
      <w:snapToGrid w:val="0"/>
      <w:jc w:val="center"/>
    </w:pPr>
    <w:rPr>
      <w:rFonts w:ascii="宋体" w:hAnsi="宋体"/>
      <w:bCs/>
      <w:szCs w:val="21"/>
    </w:rPr>
  </w:style>
  <w:style w:type="character" w:customStyle="1" w:styleId="36">
    <w:name w:val="BG Char"/>
    <w:basedOn w:val="17"/>
    <w:link w:val="35"/>
    <w:qFormat/>
    <w:uiPriority w:val="0"/>
    <w:rPr>
      <w:rFonts w:ascii="宋体" w:hAnsi="宋体"/>
      <w:bCs/>
      <w:sz w:val="21"/>
      <w:szCs w:val="21"/>
    </w:rPr>
  </w:style>
  <w:style w:type="paragraph" w:styleId="3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E1F8B3-1056-4C64-A081-5A1D3DA9714C}">
  <ds:schemaRefs/>
</ds:datastoreItem>
</file>

<file path=docProps/app.xml><?xml version="1.0" encoding="utf-8"?>
<Properties xmlns="http://schemas.openxmlformats.org/officeDocument/2006/extended-properties" xmlns:vt="http://schemas.openxmlformats.org/officeDocument/2006/docPropsVTypes">
  <Template>0</Template>
  <Company>ICOS</Company>
  <Pages>1</Pages>
  <Words>3309</Words>
  <Characters>18863</Characters>
  <Lines>157</Lines>
  <Paragraphs>44</Paragraphs>
  <TotalTime>26</TotalTime>
  <ScaleCrop>false</ScaleCrop>
  <LinksUpToDate>false</LinksUpToDate>
  <CharactersWithSpaces>22128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2020-07-13T07:05:23Z</dcterms:modified>
  <cp:revision>6095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