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 xml:space="preserve"> </w:t>
      </w:r>
      <w:r>
        <w:t xml:space="preserve">                                                                                            </w:t>
      </w:r>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5"/>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rPr>
          <w:jc w:val="center"/>
        </w:trPr>
        <w:tc>
          <w:tcPr>
            <w:tcW w:w="8504" w:type="dxa"/>
            <w:tcBorders>
              <w:tl2br w:val="nil"/>
              <w:tr2bl w:val="nil"/>
            </w:tcBorders>
            <w:tcMar>
              <w:top w:w="216" w:type="dxa"/>
              <w:left w:w="115" w:type="dxa"/>
              <w:bottom w:w="216" w:type="dxa"/>
              <w:right w:w="115" w:type="dxa"/>
            </w:tcMar>
            <w:vAlign w:val="center"/>
          </w:tcPr>
          <w:p>
            <w:pPr>
              <w:pStyle w:val="34"/>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中海油贵州销售有限公司三荔高速荔波东加油站建设项目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4"/>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5"/>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编制单位：</w:t>
            </w:r>
          </w:p>
        </w:tc>
        <w:tc>
          <w:tcPr>
            <w:tcW w:w="6851" w:type="dxa"/>
            <w:tcBorders>
              <w:top w:val="nil"/>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中海油贵州销售公司三荔高速荔波东加油站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w:t>
            </w:r>
          </w:p>
        </w:tc>
      </w:tr>
      <w:tr>
        <w:trPr>
          <w:trHeight w:val="680" w:hRule="atLeast"/>
          <w:jc w:val="center"/>
        </w:trPr>
        <w:tc>
          <w:tcPr>
            <w:tcW w:w="2220" w:type="dxa"/>
            <w:tcBorders>
              <w:top w:val="nil"/>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编制时间：</w:t>
            </w:r>
          </w:p>
        </w:tc>
        <w:tc>
          <w:tcPr>
            <w:tcW w:w="6851" w:type="dxa"/>
            <w:tcBorders>
              <w:top w:val="single" w:color="auto" w:sz="12" w:space="0"/>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2"/>
                <w:szCs w:val="32"/>
              </w:rPr>
              <w:t>二〇二〇年六月</w:t>
            </w:r>
          </w:p>
        </w:tc>
      </w:tr>
    </w:tbl>
    <w:p>
      <w:pPr>
        <w:rPr>
          <w:rFonts w:hAnsi="Arial" w:eastAsia="仿宋_GB2312"/>
          <w:b/>
          <w:color w:val="000000"/>
          <w:sz w:val="30"/>
          <w:szCs w:val="30"/>
        </w:rPr>
      </w:pPr>
    </w:p>
    <w:p>
      <w:pPr>
        <w:pStyle w:val="8"/>
        <w:jc w:val="center"/>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2"/>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6"/>
        <w:tblW w:w="9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534"/>
        <w:gridCol w:w="1121"/>
        <w:gridCol w:w="934"/>
        <w:gridCol w:w="1288"/>
        <w:gridCol w:w="1337"/>
        <w:gridCol w:w="1396"/>
        <w:gridCol w:w="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2"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中海油贵州销售有限公司三荔高速荔波东加油站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2"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3" w:hRule="atLeast"/>
          <w:jc w:val="center"/>
        </w:trPr>
        <w:tc>
          <w:tcPr>
            <w:tcW w:w="1752"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6"/>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6"/>
            <w:vAlign w:val="center"/>
          </w:tcPr>
          <w:p>
            <w:pPr>
              <w:spacing w:line="360" w:lineRule="auto"/>
              <w:ind w:firstLine="960" w:firstLineChars="400"/>
              <w:rPr>
                <w:rFonts w:ascii="Times New Roman" w:hAnsi="Times New Roman" w:eastAsia="宋体" w:cs="Times New Roman"/>
                <w:sz w:val="24"/>
              </w:rPr>
            </w:pPr>
            <w:r>
              <w:rPr>
                <w:sz w:val="24"/>
              </w:rPr>
              <w:t>贵州省黔南州荔波县三荔高速荔波服务区东侧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30"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66" w:hRule="atLeast"/>
          <w:jc w:val="center"/>
        </w:trPr>
        <w:tc>
          <w:tcPr>
            <w:tcW w:w="1752"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66" w:hRule="atLeast"/>
          <w:jc w:val="center"/>
        </w:trPr>
        <w:tc>
          <w:tcPr>
            <w:tcW w:w="1752"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6"/>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55" w:hRule="atLeast"/>
          <w:jc w:val="center"/>
        </w:trPr>
        <w:tc>
          <w:tcPr>
            <w:tcW w:w="1752"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19</w:t>
            </w:r>
            <w:r>
              <w:rPr>
                <w:rFonts w:ascii="Times New Roman" w:hAnsi="Times New Roman" w:cs="Times New Roman"/>
                <w:sz w:val="24"/>
              </w:rPr>
              <w:t>年</w:t>
            </w:r>
            <w:r>
              <w:rPr>
                <w:rFonts w:hint="eastAsia" w:ascii="Times New Roman" w:hAnsi="Times New Roman" w:cs="Times New Roman"/>
                <w:sz w:val="24"/>
              </w:rPr>
              <w:t>04</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2"/>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08</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00"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11</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rPr>
              <w:t>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黔南州生态环节局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2"/>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贵州怡宁环保咨询有限公司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4700万元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48.3万元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vAlign w:val="center"/>
          </w:tcPr>
          <w:p>
            <w:pPr>
              <w:jc w:val="center"/>
              <w:rPr>
                <w:rFonts w:ascii="Times New Roman" w:hAnsi="Times New Roman" w:eastAsia="宋体" w:cs="Times New Roman"/>
                <w:sz w:val="24"/>
              </w:rPr>
            </w:pPr>
            <w:r>
              <w:rPr>
                <w:rFonts w:hint="eastAsia" w:ascii="Times New Roman" w:hAnsi="Times New Roman" w:cs="Times New Roman"/>
                <w:sz w:val="24"/>
              </w:rPr>
              <w:t>1</w:t>
            </w:r>
            <w:r>
              <w:rPr>
                <w:rFonts w:ascii="Times New Roman" w:hAnsi="Times New Roman" w:cs="Times New Roman"/>
                <w:sz w:val="24"/>
              </w:rPr>
              <w:t>.</w:t>
            </w:r>
            <w:r>
              <w:rPr>
                <w:rFonts w:hint="eastAsia" w:ascii="Times New Roman" w:hAnsi="Times New Roman" w:cs="Times New Roman"/>
                <w:sz w:val="24"/>
              </w:rPr>
              <w:t>03</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4700万元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48.3</w:t>
            </w:r>
            <w:r>
              <w:rPr>
                <w:rFonts w:ascii="Times New Roman" w:hAnsi="Times New Roman" w:cs="Times New Roman"/>
                <w:sz w:val="24"/>
              </w:rPr>
              <w:t>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.03</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91"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6"/>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中海油贵州销售有限公司三荔高速荔波东加油站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w:t>
            </w:r>
            <w:r>
              <w:rPr>
                <w:rFonts w:ascii="Times New Roman" w:hAnsi="Times New Roman" w:cs="Times New Roman"/>
                <w:sz w:val="24"/>
              </w:rPr>
              <w:t>9年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lang w:val="en-US" w:eastAsia="zh-CN"/>
              </w:rPr>
              <w:t>13</w:t>
            </w:r>
            <w:r>
              <w:rPr>
                <w:rFonts w:ascii="Times New Roman" w:hAnsi="Times New Roman" w:cs="Times New Roman"/>
                <w:sz w:val="24"/>
              </w:rPr>
              <w:t>日</w:t>
            </w:r>
            <w:r>
              <w:rPr>
                <w:rFonts w:hint="eastAsia" w:ascii="Times New Roman" w:hAnsi="Times New Roman" w:cs="Times New Roman"/>
                <w:sz w:val="24"/>
              </w:rPr>
              <w:t>黔南州生态环境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Times New Roman" w:hAnsi="Times New Roman" w:eastAsia="宋体" w:cs="Times New Roman"/>
                <w:sz w:val="24"/>
              </w:rPr>
              <w:t>中海油贵州销售有限公司三荔高速荔波东加油站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批复，批复文号：黔南环审[2019]51号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13606"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6"/>
            <w:vAlign w:val="center"/>
          </w:tcPr>
          <w:p>
            <w:pPr>
              <w:spacing w:line="360" w:lineRule="auto"/>
              <w:ind w:firstLine="480" w:firstLineChars="200"/>
              <w:jc w:val="left"/>
              <w:rPr>
                <w:rFonts w:ascii="Times New Roman" w:hAnsi="Times New Roman" w:cs="Times New Roman"/>
                <w:bCs/>
                <w:sz w:val="24"/>
              </w:rPr>
            </w:pPr>
            <w:r>
              <w:rPr>
                <w:rFonts w:ascii="Times New Roman" w:hAnsi="Times New Roman" w:cs="Times New Roman"/>
                <w:bCs/>
                <w:sz w:val="24"/>
              </w:rPr>
              <w:t>根据</w:t>
            </w:r>
            <w:r>
              <w:rPr>
                <w:rFonts w:ascii="Times New Roman" w:hAnsi="Times New Roman" w:cs="Times New Roman"/>
                <w:b/>
                <w:bCs/>
                <w:sz w:val="24"/>
              </w:rPr>
              <w:t>《</w:t>
            </w:r>
            <w:r>
              <w:rPr>
                <w:rFonts w:hint="eastAsia" w:ascii="Times New Roman" w:hAnsi="Times New Roman" w:eastAsia="宋体" w:cs="Times New Roman"/>
                <w:sz w:val="24"/>
              </w:rPr>
              <w:t>中海油贵州销售有限公司三荔高速荔波东加油站</w:t>
            </w:r>
            <w:r>
              <w:rPr>
                <w:rFonts w:ascii="Times New Roman" w:hAnsi="Times New Roman" w:cs="Times New Roman"/>
                <w:spacing w:val="-4"/>
                <w:kern w:val="0"/>
                <w:sz w:val="24"/>
              </w:rPr>
              <w:t>环境影响报告表</w:t>
            </w:r>
            <w:r>
              <w:rPr>
                <w:rFonts w:ascii="Times New Roman" w:hAnsi="Times New Roman" w:cs="Times New Roman"/>
                <w:b/>
                <w:bCs/>
                <w:sz w:val="24"/>
              </w:rPr>
              <w:t>》，</w:t>
            </w:r>
            <w:r>
              <w:rPr>
                <w:rFonts w:hint="eastAsia" w:ascii="Times New Roman" w:hAnsi="Times New Roman" w:eastAsia="宋体" w:cs="Times New Roman"/>
                <w:sz w:val="24"/>
              </w:rPr>
              <w:t>中海油贵州销售有限公司三荔高速荔波东</w:t>
            </w:r>
            <w:r>
              <w:rPr>
                <w:rFonts w:hint="eastAsia" w:ascii="Times New Roman" w:hAnsi="Times New Roman" w:cs="Times New Roman"/>
                <w:bCs/>
                <w:kern w:val="0"/>
                <w:sz w:val="24"/>
              </w:rPr>
              <w:t>加油站建设项目</w:t>
            </w:r>
            <w:r>
              <w:rPr>
                <w:rFonts w:ascii="Times New Roman" w:hAnsi="Times New Roman" w:cs="Times New Roman"/>
                <w:bCs/>
                <w:sz w:val="24"/>
              </w:rPr>
              <w:t>环境保护验收执行标准如下：</w:t>
            </w:r>
          </w:p>
          <w:p>
            <w:pPr>
              <w:pStyle w:val="19"/>
              <w:ind w:firstLine="480"/>
              <w:jc w:val="both"/>
            </w:pPr>
            <w:r>
              <w:rPr>
                <w:rFonts w:hint="eastAsia"/>
              </w:rPr>
              <w:t>废水：</w:t>
            </w:r>
            <w:r>
              <w:rPr>
                <w:rFonts w:ascii="Times New Roman" w:hAnsi="Times New Roman"/>
              </w:rPr>
              <w:t>《</w:t>
            </w:r>
            <w:r>
              <w:rPr>
                <w:rFonts w:hint="eastAsia" w:ascii="Times New Roman" w:hAnsi="Times New Roman"/>
              </w:rPr>
              <w:t>污水综合</w:t>
            </w:r>
            <w:r>
              <w:rPr>
                <w:rFonts w:ascii="Times New Roman" w:hAnsi="Times New Roman"/>
              </w:rPr>
              <w:t>排放标准》</w:t>
            </w:r>
            <w:r>
              <w:rPr>
                <w:rFonts w:hint="eastAsia" w:ascii="Times New Roman" w:hAnsi="Times New Roman"/>
              </w:rPr>
              <w:t>（</w:t>
            </w:r>
            <w:r>
              <w:rPr>
                <w:rFonts w:ascii="Times New Roman" w:hAnsi="Times New Roman"/>
              </w:rPr>
              <w:t>GB8978-1996</w:t>
            </w:r>
            <w:r>
              <w:rPr>
                <w:rFonts w:hint="eastAsia" w:ascii="Times New Roman" w:hAnsi="Times New Roma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废气：《大气污染物综合排放标准》（GB16297-1996）无组织排放监控浓度限值；</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类标准</w:t>
            </w:r>
            <w:r>
              <w:rPr>
                <w:rFonts w:hint="eastAsia" w:ascii="Times New Roman" w:hAnsi="Times New Roman" w:cs="Times New Roman"/>
                <w:sz w:val="24"/>
              </w:rPr>
              <w:t>、</w:t>
            </w:r>
            <w:r>
              <w:t>4a 类</w:t>
            </w:r>
            <w:r>
              <w:rPr>
                <w:rFonts w:hint="eastAsia"/>
              </w:rPr>
              <w:t>；</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7" w:hRule="atLeast"/>
          <w:jc w:val="center"/>
        </w:trPr>
        <w:tc>
          <w:tcPr>
            <w:tcW w:w="9475" w:type="dxa"/>
            <w:gridSpan w:val="8"/>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9958"/>
            <w:bookmarkStart w:id="6" w:name="_Toc26698"/>
            <w:bookmarkStart w:id="7" w:name="_Toc22276"/>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sz w:val="24"/>
              </w:rPr>
              <w:t>在</w:t>
            </w:r>
            <w:r>
              <w:rPr>
                <w:rFonts w:hint="eastAsia"/>
                <w:sz w:val="24"/>
              </w:rPr>
              <w:t>三荔</w:t>
            </w:r>
            <w:r>
              <w:rPr>
                <w:sz w:val="24"/>
              </w:rPr>
              <w:t>高速</w:t>
            </w:r>
            <w:r>
              <w:rPr>
                <w:rFonts w:hint="eastAsia"/>
                <w:sz w:val="24"/>
              </w:rPr>
              <w:t>荔波服务东区</w:t>
            </w:r>
            <w:r>
              <w:rPr>
                <w:sz w:val="24"/>
              </w:rPr>
              <w:t>规范经营加油站，可保障三荔高速沿线的车辆用油需求，为周边地区区域交通提供便利，有利于地方社会经济的发展</w:t>
            </w:r>
            <w:r>
              <w:rPr>
                <w:rFonts w:hint="eastAsia"/>
                <w:sz w:val="24"/>
              </w:rPr>
              <w:t>,</w:t>
            </w:r>
            <w:r>
              <w:rPr>
                <w:sz w:val="24"/>
              </w:rPr>
              <w:t>有利于地方建设的安全和稳定</w:t>
            </w:r>
            <w:r>
              <w:rPr>
                <w:rFonts w:hint="eastAsia"/>
                <w:sz w:val="24"/>
              </w:rPr>
              <w:t>；</w:t>
            </w:r>
            <w:r>
              <w:rPr>
                <w:sz w:val="24"/>
              </w:rPr>
              <w:t>有利于提升该高速公路的服务水平，通过优质服务销售优质油品，作为完善该区域的高速交通配套设施，是十分必要的</w:t>
            </w:r>
            <w:r>
              <w:t>。</w:t>
            </w:r>
            <w:r>
              <w:rPr>
                <w:rFonts w:hint="eastAsia" w:ascii="Times New Roman" w:hAnsi="Times New Roman" w:cs="Times New Roman"/>
                <w:sz w:val="24"/>
              </w:rPr>
              <w:t>该项目由中海油贵州销售有限公司投资建设。</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#汽油罐1 个、95 #汽油罐1个)，30m</w:t>
            </w:r>
            <w:r>
              <w:rPr>
                <w:sz w:val="24"/>
                <w:vertAlign w:val="superscript"/>
              </w:rPr>
              <w:t>3</w:t>
            </w:r>
            <w:r>
              <w:rPr>
                <w:sz w:val="24"/>
              </w:rPr>
              <w:t xml:space="preserve"> 汽油储罐 1个（92 #汽油罐）。加油机 4 台(16枪)。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版，属二级加油站。</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中海油贵州销售有限公司三荔高速荔波东加油站</w:t>
            </w:r>
            <w:r>
              <w:rPr>
                <w:rFonts w:ascii="Times New Roman" w:hAnsi="Times New Roman" w:cs="Times New Roman"/>
                <w:spacing w:val="-4"/>
                <w:kern w:val="0"/>
                <w:sz w:val="24"/>
              </w:rPr>
              <w:t>环境影响报告表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color w:val="auto"/>
                <w:sz w:val="24"/>
              </w:rPr>
              <w:t>13</w:t>
            </w:r>
            <w:r>
              <w:rPr>
                <w:rFonts w:ascii="Times New Roman" w:hAnsi="Times New Roman" w:cs="Times New Roman"/>
                <w:sz w:val="24"/>
              </w:rPr>
              <w:t>日取得</w:t>
            </w:r>
            <w:r>
              <w:rPr>
                <w:rFonts w:hint="eastAsia" w:ascii="Times New Roman" w:hAnsi="Times New Roman" w:cs="Times New Roman"/>
                <w:sz w:val="24"/>
              </w:rPr>
              <w:t>黔南州生态环境</w:t>
            </w:r>
            <w:r>
              <w:rPr>
                <w:rFonts w:ascii="Times New Roman" w:hAnsi="Times New Roman" w:cs="Times New Roman"/>
                <w:sz w:val="24"/>
              </w:rPr>
              <w:t>局对《</w:t>
            </w:r>
            <w:r>
              <w:rPr>
                <w:rFonts w:hint="eastAsia" w:ascii="Times New Roman" w:hAnsi="Times New Roman" w:eastAsia="宋体" w:cs="Times New Roman"/>
                <w:sz w:val="24"/>
              </w:rPr>
              <w:t>中海油贵州销售有限公司三荔高速荔波东加油站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黔南环审[2019]51号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海油贵州销售有限公司三荔高速荔波东加油站委托第三方检测公司（贵州明德工程咨询有限公司）</w:t>
            </w:r>
            <w:r>
              <w:rPr>
                <w:rFonts w:ascii="Times New Roman" w:hAnsi="Times New Roman" w:cs="Times New Roman"/>
                <w:sz w:val="24"/>
              </w:rPr>
              <w:t>对</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海油贵州销售有限公司三荔高速荔波东加油站建设项目</w:t>
            </w:r>
            <w:r>
              <w:rPr>
                <w:rFonts w:ascii="Times New Roman" w:hAnsi="Times New Roman" w:cs="Times New Roman"/>
                <w:sz w:val="24"/>
              </w:rPr>
              <w:t>进行竣工环境保护验收监测</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海油贵州销售有限公司三荔高速荔波东加油站</w:t>
            </w:r>
            <w:r>
              <w:rPr>
                <w:rFonts w:hint="eastAsia" w:ascii="Times New Roman" w:hAnsi="Times New Roman" w:cs="Times New Roman"/>
                <w:sz w:val="24"/>
              </w:rPr>
              <w:t>根据第三方检测机构提供的验收监测数据，并结合中</w:t>
            </w:r>
            <w:r>
              <w:rPr>
                <w:rFonts w:hint="eastAsia" w:ascii="Times New Roman" w:hAnsi="Times New Roman" w:eastAsia="宋体" w:cs="Times New Roman"/>
                <w:sz w:val="24"/>
              </w:rPr>
              <w:t>海油贵州销售有限公司三荔高速荔波东</w:t>
            </w:r>
            <w:r>
              <w:rPr>
                <w:rFonts w:hint="eastAsia" w:ascii="Times New Roman" w:hAnsi="Times New Roman" w:cs="Times New Roman"/>
                <w:sz w:val="24"/>
              </w:rPr>
              <w:t>加油站建设项目相关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海油贵州销售有限公司三荔高速荔波东</w:t>
            </w:r>
            <w:r>
              <w:rPr>
                <w:rFonts w:hint="eastAsia" w:ascii="Times New Roman" w:hAnsi="Times New Roman" w:cs="Times New Roman"/>
                <w:sz w:val="24"/>
              </w:rPr>
              <w:t>加油站建设项目</w:t>
            </w:r>
            <w:r>
              <w:rPr>
                <w:rFonts w:ascii="Times New Roman" w:hAnsi="Times New Roman" w:cs="Times New Roman"/>
                <w:sz w:val="24"/>
              </w:rPr>
              <w:t>的主体工程、辅助及公用工程、环保工程</w:t>
            </w:r>
            <w:r>
              <w:rPr>
                <w:rFonts w:hint="eastAsia" w:ascii="Times New Roman" w:hAnsi="Times New Roman" w:cs="Times New Roman"/>
                <w:sz w:val="24"/>
              </w:rPr>
              <w:t>、景观工程</w:t>
            </w:r>
            <w:r>
              <w:rPr>
                <w:rFonts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项目位于</w:t>
            </w:r>
            <w:r>
              <w:rPr>
                <w:rFonts w:hint="eastAsia"/>
                <w:sz w:val="24"/>
              </w:rPr>
              <w:t>贵州省黔南州荔波县</w:t>
            </w:r>
            <w:r>
              <w:rPr>
                <w:sz w:val="24"/>
              </w:rPr>
              <w:t>三荔高速</w:t>
            </w:r>
            <w:r>
              <w:rPr>
                <w:rFonts w:hint="eastAsia"/>
                <w:sz w:val="24"/>
              </w:rPr>
              <w:t>荔波</w:t>
            </w:r>
            <w:r>
              <w:rPr>
                <w:sz w:val="24"/>
              </w:rPr>
              <w:t>服务区</w:t>
            </w:r>
            <w:r>
              <w:rPr>
                <w:rFonts w:hint="eastAsia"/>
                <w:sz w:val="24"/>
              </w:rPr>
              <w:t>东区内</w:t>
            </w:r>
            <w:r>
              <w:rPr>
                <w:rFonts w:ascii="Times New Roman" w:hAnsi="Times New Roman" w:eastAsia="宋体" w:cs="Times New Roman"/>
                <w:sz w:val="24"/>
              </w:rPr>
              <w:t>，</w:t>
            </w:r>
            <w:r>
              <w:rPr>
                <w:sz w:val="24"/>
              </w:rPr>
              <w:t>服务于三荔高速，西侧为三荔高速公路；三荔高速路西侧为中海油贵州销售有限公司三荔高速荔波西加油站， 和本加油站的距离为 75m；北侧、东侧、南侧均为荒山</w:t>
            </w:r>
            <w:r>
              <w:rPr>
                <w:rFonts w:hint="eastAsia"/>
              </w:rPr>
              <w:t>。</w:t>
            </w:r>
            <w:r>
              <w:rPr>
                <w:rFonts w:hint="eastAsia"/>
                <w:sz w:val="24"/>
              </w:rPr>
              <w:t>地理位置为</w:t>
            </w:r>
            <w:r>
              <w:rPr>
                <w:rFonts w:ascii="Times New Roman" w:hAnsi="Times New Roman" w:eastAsia="宋体" w:cs="Times New Roman"/>
                <w:sz w:val="24"/>
              </w:rPr>
              <w:t>东经107°</w:t>
            </w:r>
            <w:r>
              <w:rPr>
                <w:rFonts w:hint="eastAsia" w:ascii="Times New Roman" w:hAnsi="Times New Roman" w:eastAsia="宋体" w:cs="Times New Roman"/>
                <w:sz w:val="24"/>
              </w:rPr>
              <w:t>57</w:t>
            </w:r>
            <w:r>
              <w:rPr>
                <w:rFonts w:ascii="Times New Roman" w:hAnsi="Times New Roman" w:eastAsia="宋体" w:cs="Times New Roman"/>
                <w:sz w:val="24"/>
              </w:rPr>
              <w:t>′</w:t>
            </w:r>
            <w:r>
              <w:rPr>
                <w:rFonts w:hint="eastAsia" w:ascii="Times New Roman" w:hAnsi="Times New Roman" w:eastAsia="宋体" w:cs="Times New Roman"/>
                <w:sz w:val="24"/>
              </w:rPr>
              <w:t>23.36</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27</w:t>
            </w:r>
            <w:r>
              <w:rPr>
                <w:rFonts w:ascii="Times New Roman" w:hAnsi="Times New Roman" w:eastAsia="宋体" w:cs="Times New Roman"/>
                <w:sz w:val="24"/>
              </w:rPr>
              <w:t>′</w:t>
            </w:r>
            <w:r>
              <w:rPr>
                <w:rFonts w:hint="eastAsia"/>
                <w:sz w:val="24"/>
              </w:rPr>
              <w:t>56.87</w:t>
            </w:r>
            <w:r>
              <w:rPr>
                <w:sz w:val="24"/>
              </w:rPr>
              <w:t>"</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Times New Roman" w:hAnsi="Times New Roman" w:eastAsia="宋体" w:cs="Times New Roman"/>
                <w:sz w:val="24"/>
              </w:rPr>
              <w:t>中海油贵州销售有限公司三荔高速荔波东加油站建设项目</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ascii="Times New Roman" w:hAnsi="Times New Roman" w:eastAsia="宋体" w:cs="Times New Roman"/>
                <w:sz w:val="24"/>
              </w:rPr>
              <w:t>贵州省黔南州三都水族自治县三荔高速三洞服务区西侧（桩点K62</w:t>
            </w:r>
            <w:r>
              <w:rPr>
                <w:rFonts w:ascii="Times New Roman" w:hAnsi="Times New Roman" w:eastAsia="宋体" w:cs="Times New Roman"/>
                <w:sz w:val="24"/>
              </w:rPr>
              <w:t>+</w:t>
            </w:r>
            <w:r>
              <w:rPr>
                <w:rFonts w:hint="eastAsia" w:ascii="Times New Roman" w:hAnsi="Times New Roman" w:eastAsia="宋体" w:cs="Times New Roman"/>
                <w:sz w:val="24"/>
              </w:rPr>
              <w:t>950）</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建设规模：</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 罐 1 个、95 #汽油罐 1 个)，30m</w:t>
            </w:r>
            <w:r>
              <w:rPr>
                <w:sz w:val="24"/>
                <w:vertAlign w:val="superscript"/>
              </w:rPr>
              <w:t>3</w:t>
            </w:r>
            <w:r>
              <w:rPr>
                <w:sz w:val="24"/>
              </w:rPr>
              <w:t xml:space="preserve"> 汽油储罐 1 个（92 #汽油罐）。加油机 4 台(16 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版，属二级加油站。项目生活设施依托于现有服务区，不设食宿，仅设置临时休息间。</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Times New Roman" w:hAnsi="Times New Roman" w:eastAsia="宋体" w:cs="Times New Roman"/>
                <w:sz w:val="24"/>
              </w:rPr>
              <w:t>中海油贵州销售有限公司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4700</w:t>
            </w:r>
            <w:r>
              <w:rPr>
                <w:rFonts w:ascii="Times New Roman" w:hAnsi="Times New Roman" w:cs="Times New Roman"/>
                <w:color w:val="000000"/>
                <w:sz w:val="24"/>
              </w:rPr>
              <w:t>万元</w:t>
            </w:r>
          </w:p>
          <w:p>
            <w:pPr>
              <w:pStyle w:val="37"/>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占地面积：6670m</w:t>
            </w:r>
            <w:r>
              <w:rPr>
                <w:vertAlign w:val="superscript"/>
              </w:rPr>
              <w:t>2</w:t>
            </w:r>
          </w:p>
          <w:p>
            <w:pPr>
              <w:spacing w:line="360" w:lineRule="auto"/>
              <w:ind w:firstLine="1200" w:firstLineChars="500"/>
              <w:rPr>
                <w:rFonts w:ascii="Times New Roman" w:hAnsi="Times New Roman" w:cs="Times New Roman"/>
                <w:color w:val="000000" w:themeColor="text1"/>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工作制度及劳动定员：每天</w:t>
            </w:r>
            <w:r>
              <w:rPr>
                <w:rFonts w:hint="eastAsia" w:ascii="Times New Roman" w:hAnsi="Times New Roman" w:cs="Times New Roman"/>
                <w:color w:val="000000" w:themeColor="text1"/>
                <w:sz w:val="24"/>
              </w:rPr>
              <w:t>2</w:t>
            </w:r>
            <w:r>
              <w:rPr>
                <w:rFonts w:ascii="Times New Roman" w:hAnsi="Times New Roman" w:cs="Times New Roman"/>
                <w:color w:val="000000" w:themeColor="text1"/>
                <w:sz w:val="24"/>
              </w:rPr>
              <w:t>班，每班</w:t>
            </w:r>
            <w:r>
              <w:rPr>
                <w:rFonts w:hint="eastAsia" w:ascii="Times New Roman" w:hAnsi="Times New Roman" w:cs="Times New Roman"/>
                <w:color w:val="000000" w:themeColor="text1"/>
                <w:sz w:val="24"/>
              </w:rPr>
              <w:t>12</w:t>
            </w:r>
            <w:r>
              <w:rPr>
                <w:rFonts w:ascii="Times New Roman" w:hAnsi="Times New Roman" w:cs="Times New Roman"/>
                <w:color w:val="000000" w:themeColor="text1"/>
                <w:sz w:val="24"/>
              </w:rPr>
              <w:t>小时，年工作365天；职工人数</w:t>
            </w:r>
            <w:r>
              <w:rPr>
                <w:rFonts w:hint="eastAsia" w:ascii="Times New Roman" w:hAnsi="Times New Roman" w:cs="Times New Roman"/>
                <w:color w:val="000000" w:themeColor="text1"/>
                <w:sz w:val="24"/>
              </w:rPr>
              <w:t>11</w:t>
            </w:r>
            <w:r>
              <w:rPr>
                <w:rFonts w:ascii="Times New Roman" w:hAnsi="Times New Roman" w:cs="Times New Roman"/>
                <w:color w:val="000000" w:themeColor="text1"/>
                <w:sz w:val="24"/>
              </w:rPr>
              <w:t>人。</w:t>
            </w: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6"/>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410"/>
              <w:gridCol w:w="2846"/>
              <w:gridCol w:w="30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2410"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2846"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3092"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2846" w:type="dxa"/>
                </w:tcPr>
                <w:p>
                  <w:pPr>
                    <w:jc w:val="center"/>
                  </w:pPr>
                </w:p>
                <w:p>
                  <w:pPr>
                    <w:jc w:val="center"/>
                    <w:rPr>
                      <w:rFonts w:ascii="Times New Roman" w:hAnsi="Times New Roman" w:cs="Times New Roman"/>
                      <w:color w:val="000000"/>
                      <w:szCs w:val="21"/>
                    </w:rPr>
                  </w:pPr>
                  <w:r>
                    <w:t>40m</w:t>
                  </w:r>
                  <w:r>
                    <w:rPr>
                      <w:vertAlign w:val="superscript"/>
                    </w:rPr>
                    <w:t>3</w:t>
                  </w:r>
                  <w:r>
                    <w:t xml:space="preserve"> 柴油储罐 1 个，50m</w:t>
                  </w:r>
                  <w:r>
                    <w:rPr>
                      <w:vertAlign w:val="superscript"/>
                    </w:rPr>
                    <w:t>3</w:t>
                  </w:r>
                  <w:r>
                    <w:t xml:space="preserve"> 汽油储罐 </w:t>
                  </w:r>
                  <w:r>
                    <w:rPr>
                      <w:rFonts w:hint="eastAsia"/>
                    </w:rPr>
                    <w:t>2</w:t>
                  </w:r>
                  <w:r>
                    <w:t xml:space="preserve"> 个，</w:t>
                  </w:r>
                  <w:r>
                    <w:rPr>
                      <w:rFonts w:hint="eastAsia"/>
                    </w:rPr>
                    <w:t>3</w:t>
                  </w:r>
                  <w:r>
                    <w:t>0m</w:t>
                  </w:r>
                  <w:r>
                    <w:rPr>
                      <w:vertAlign w:val="superscript"/>
                    </w:rPr>
                    <w:t>3</w:t>
                  </w:r>
                  <w:r>
                    <w:t xml:space="preserve"> 汽油储罐 </w:t>
                  </w:r>
                  <w:r>
                    <w:rPr>
                      <w:rFonts w:hint="eastAsia"/>
                    </w:rPr>
                    <w:t>1</w:t>
                  </w:r>
                  <w:r>
                    <w:t xml:space="preserve"> 个</w:t>
                  </w:r>
                  <w:r>
                    <w:rPr>
                      <w:rFonts w:hint="eastAsia"/>
                    </w:rPr>
                    <w:t>，</w:t>
                  </w:r>
                  <w:r>
                    <w:t>占地面积 155.8m</w:t>
                  </w:r>
                  <w:r>
                    <w:rPr>
                      <w:rFonts w:hint="eastAsia"/>
                      <w:vertAlign w:val="superscript"/>
                    </w:rPr>
                    <w:t>2</w:t>
                  </w:r>
                </w:p>
              </w:tc>
              <w:tc>
                <w:tcPr>
                  <w:tcW w:w="3092" w:type="dxa"/>
                </w:tcPr>
                <w:p>
                  <w:pPr>
                    <w:jc w:val="center"/>
                    <w:rPr>
                      <w:rFonts w:ascii="Times New Roman" w:hAnsi="Times New Roman" w:cs="Times New Roman"/>
                      <w:color w:val="000000"/>
                      <w:szCs w:val="21"/>
                    </w:rPr>
                  </w:pPr>
                  <w:r>
                    <w:t>油罐为地埋卧式，布置在埋地油罐池内，为双层储 罐, 储罐位于加油区东面， 油罐采用地埋式方式安装 且罐顶上覆土厚度大于 0.5m。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vAlign w:val="center"/>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2846" w:type="dxa"/>
                </w:tcPr>
                <w:p>
                  <w:pPr>
                    <w:jc w:val="center"/>
                  </w:pPr>
                  <w:r>
                    <w:t xml:space="preserve">单层螺栓球网架，投影面积 </w:t>
                  </w:r>
                  <w:r>
                    <w:rPr>
                      <w:rFonts w:hint="eastAsia"/>
                    </w:rPr>
                    <w:t>781</w:t>
                  </w:r>
                  <w:r>
                    <w:t>m</w:t>
                  </w:r>
                  <w:r>
                    <w:rPr>
                      <w:vertAlign w:val="superscript"/>
                    </w:rPr>
                    <w:t>2</w:t>
                  </w:r>
                </w:p>
                <w:p>
                  <w:pPr>
                    <w:pStyle w:val="19"/>
                    <w:ind w:firstLine="480"/>
                    <w:jc w:val="both"/>
                  </w:pPr>
                </w:p>
              </w:tc>
              <w:tc>
                <w:tcPr>
                  <w:tcW w:w="3092" w:type="dxa"/>
                </w:tcPr>
                <w:p>
                  <w:pPr>
                    <w:jc w:val="center"/>
                  </w:pPr>
                </w:p>
                <w:p>
                  <w:pPr>
                    <w:jc w:val="center"/>
                  </w:pPr>
                  <w:r>
                    <w:t>加油机 4 台，16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2410" w:type="dxa"/>
                </w:tcPr>
                <w:p>
                  <w:pPr>
                    <w:rPr>
                      <w:rFonts w:ascii="Times New Roman" w:hAnsi="Times New Roman" w:cs="Times New Roman"/>
                      <w:color w:val="000000"/>
                      <w:szCs w:val="21"/>
                    </w:rPr>
                  </w:pPr>
                </w:p>
                <w:p>
                  <w:pPr>
                    <w:ind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2846" w:type="dxa"/>
                </w:tcPr>
                <w:p>
                  <w:pPr>
                    <w:rPr>
                      <w:rFonts w:ascii="Times New Roman" w:hAnsi="Times New Roman" w:cs="Times New Roman"/>
                      <w:color w:val="000000"/>
                      <w:szCs w:val="21"/>
                    </w:rPr>
                  </w:pPr>
                  <w:r>
                    <w:t>1 层，砖混结构，含柴油发电 机房、配电室、</w:t>
                  </w:r>
                  <w:r>
                    <w:rPr>
                      <w:rFonts w:hint="eastAsia"/>
                    </w:rPr>
                    <w:t>职工临时休息室、</w:t>
                  </w:r>
                  <w:r>
                    <w:t>便利店、储藏室、卫生间等。</w:t>
                  </w:r>
                </w:p>
              </w:tc>
              <w:tc>
                <w:tcPr>
                  <w:tcW w:w="3092" w:type="dxa"/>
                </w:tcPr>
                <w:p>
                  <w:pPr>
                    <w:rPr>
                      <w:rFonts w:ascii="Times New Roman" w:hAnsi="Times New Roman" w:cs="Times New Roman"/>
                      <w:color w:val="000000"/>
                      <w:szCs w:val="21"/>
                    </w:rPr>
                  </w:pPr>
                  <w:r>
                    <w:t xml:space="preserve">占地面积 </w:t>
                  </w:r>
                  <w:r>
                    <w:rPr>
                      <w:rFonts w:hint="eastAsia"/>
                    </w:rPr>
                    <w:t>149.31</w:t>
                  </w:r>
                  <w:r>
                    <w:t>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停车位</w:t>
                  </w:r>
                </w:p>
              </w:tc>
              <w:tc>
                <w:tcPr>
                  <w:tcW w:w="2846" w:type="dxa"/>
                </w:tcPr>
                <w:p>
                  <w:pPr>
                    <w:rPr>
                      <w:rFonts w:ascii="Times New Roman" w:hAnsi="Times New Roman" w:cs="Times New Roman"/>
                      <w:color w:val="000000"/>
                      <w:szCs w:val="21"/>
                    </w:rPr>
                  </w:pPr>
                  <w:r>
                    <w:rPr>
                      <w:rFonts w:hint="eastAsia" w:ascii="Times New Roman" w:hAnsi="Times New Roman" w:cs="Times New Roman"/>
                      <w:color w:val="000000"/>
                      <w:szCs w:val="21"/>
                    </w:rPr>
                    <w:t>8个</w:t>
                  </w:r>
                </w:p>
              </w:tc>
              <w:tc>
                <w:tcPr>
                  <w:tcW w:w="3092" w:type="dxa"/>
                </w:tcPr>
                <w:p>
                  <w:pPr>
                    <w:rPr>
                      <w:rFonts w:ascii="Times New Roman" w:hAnsi="Times New Roman" w:cs="Times New Roman"/>
                      <w:color w:val="000000"/>
                      <w:szCs w:val="21"/>
                    </w:rPr>
                  </w:pPr>
                  <w:r>
                    <w:t>混凝土地坪(面层 250m2 )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水</w:t>
                  </w:r>
                </w:p>
              </w:tc>
              <w:tc>
                <w:tcPr>
                  <w:tcW w:w="2846" w:type="dxa"/>
                </w:tcPr>
                <w:p>
                  <w:pPr>
                    <w:rPr>
                      <w:rFonts w:ascii="Times New Roman" w:hAnsi="Times New Roman" w:cs="Times New Roman"/>
                      <w:color w:val="000000"/>
                      <w:szCs w:val="21"/>
                    </w:rPr>
                  </w:pPr>
                  <w:r>
                    <w:t>2</w:t>
                  </w:r>
                  <w:r>
                    <w:rPr>
                      <w:rFonts w:hint="eastAsia"/>
                    </w:rPr>
                    <w:t>587.12</w:t>
                  </w:r>
                  <w:r>
                    <w:t xml:space="preserve">m³/a </w:t>
                  </w:r>
                </w:p>
              </w:tc>
              <w:tc>
                <w:tcPr>
                  <w:tcW w:w="3092" w:type="dxa"/>
                </w:tcPr>
                <w:p>
                  <w:pPr>
                    <w:rPr>
                      <w:rFonts w:ascii="Times New Roman" w:hAnsi="Times New Roman" w:cs="Times New Roman"/>
                      <w:color w:val="000000"/>
                      <w:sz w:val="18"/>
                      <w:szCs w:val="18"/>
                    </w:rPr>
                  </w:pPr>
                  <w:r>
                    <w:t>荔波县市政供水管网引入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电</w:t>
                  </w:r>
                </w:p>
              </w:tc>
              <w:tc>
                <w:tcPr>
                  <w:tcW w:w="2846" w:type="dxa"/>
                </w:tcPr>
                <w:p>
                  <w:pPr>
                    <w:rPr>
                      <w:rFonts w:ascii="Times New Roman" w:hAnsi="Times New Roman" w:cs="Times New Roman"/>
                      <w:color w:val="000000"/>
                      <w:szCs w:val="21"/>
                    </w:rPr>
                  </w:pPr>
                  <w:r>
                    <w:t xml:space="preserve">年耗电量约 </w:t>
                  </w:r>
                  <w:r>
                    <w:rPr>
                      <w:rFonts w:hint="eastAsia"/>
                    </w:rPr>
                    <w:t>163400</w:t>
                  </w:r>
                  <w:r>
                    <w:t xml:space="preserve">kw·h </w:t>
                  </w:r>
                </w:p>
              </w:tc>
              <w:tc>
                <w:tcPr>
                  <w:tcW w:w="3092" w:type="dxa"/>
                </w:tcPr>
                <w:p>
                  <w:pPr>
                    <w:rPr>
                      <w:rFonts w:ascii="Times New Roman" w:hAnsi="Times New Roman" w:cs="Times New Roman"/>
                      <w:color w:val="000000"/>
                      <w:sz w:val="18"/>
                      <w:szCs w:val="18"/>
                    </w:rPr>
                  </w:pPr>
                  <w:r>
                    <w:t>荔波县市政电网引入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消防沙地</w:t>
                  </w:r>
                </w:p>
              </w:tc>
              <w:tc>
                <w:tcPr>
                  <w:tcW w:w="2846" w:type="dxa"/>
                </w:tcPr>
                <w:p>
                  <w:r>
                    <w:rPr>
                      <w:rFonts w:hint="eastAsia"/>
                    </w:rPr>
                    <w:t>1个，</w:t>
                  </w:r>
                  <w:r>
                    <w:t>2m</w:t>
                  </w:r>
                  <w:r>
                    <w:rPr>
                      <w:vertAlign w:val="superscript"/>
                    </w:rPr>
                    <w:t>3</w:t>
                  </w:r>
                </w:p>
              </w:tc>
              <w:tc>
                <w:tcPr>
                  <w:tcW w:w="3092" w:type="dxa"/>
                </w:tcPr>
                <w:p>
                  <w:r>
                    <w:t>占地 2m</w:t>
                  </w:r>
                  <w:r>
                    <w:rPr>
                      <w:vertAlign w:val="superscript"/>
                    </w:rPr>
                    <w:t>2</w:t>
                  </w:r>
                  <w:r>
                    <w:t>，高 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B050"/>
                      <w:szCs w:val="21"/>
                    </w:rPr>
                  </w:pPr>
                  <w:r>
                    <w:t>隔油池</w:t>
                  </w:r>
                </w:p>
              </w:tc>
              <w:tc>
                <w:tcPr>
                  <w:tcW w:w="2846" w:type="dxa"/>
                </w:tcPr>
                <w:p>
                  <w:pPr>
                    <w:rPr>
                      <w:rFonts w:ascii="Times New Roman" w:hAnsi="Times New Roman" w:cs="Times New Roman"/>
                      <w:color w:val="00B050"/>
                      <w:szCs w:val="21"/>
                    </w:rPr>
                  </w:pPr>
                  <w:r>
                    <w:t>1 个，1m</w:t>
                  </w:r>
                  <w:r>
                    <w:rPr>
                      <w:vertAlign w:val="superscript"/>
                    </w:rPr>
                    <w:t>3</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t>三级化粪池</w:t>
                  </w:r>
                </w:p>
              </w:tc>
              <w:tc>
                <w:tcPr>
                  <w:tcW w:w="2846" w:type="dxa"/>
                </w:tcPr>
                <w:p>
                  <w:pPr>
                    <w:rPr>
                      <w:rFonts w:ascii="Times New Roman" w:hAnsi="Times New Roman" w:cs="Times New Roman"/>
                      <w:color w:val="00B050"/>
                      <w:szCs w:val="21"/>
                    </w:rPr>
                  </w:pPr>
                  <w:r>
                    <w:t>1 个，5m³</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rPr>
                      <w:rFonts w:hint="eastAsia"/>
                    </w:rPr>
                    <w:t>危废</w:t>
                  </w:r>
                  <w:r>
                    <w:t>暂存间</w:t>
                  </w:r>
                </w:p>
              </w:tc>
              <w:tc>
                <w:tcPr>
                  <w:tcW w:w="2846" w:type="dxa"/>
                </w:tcPr>
                <w:p>
                  <w:pPr>
                    <w:rPr>
                      <w:rFonts w:ascii="Times New Roman" w:hAnsi="Times New Roman" w:cs="Times New Roman"/>
                      <w:color w:val="00B050"/>
                      <w:szCs w:val="21"/>
                    </w:rPr>
                  </w:pPr>
                  <w:r>
                    <w:t>1 个，20m³</w:t>
                  </w:r>
                </w:p>
              </w:tc>
              <w:tc>
                <w:tcPr>
                  <w:tcW w:w="3092"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vAlign w:val="center"/>
                </w:tcPr>
                <w:p>
                  <w:pPr>
                    <w:jc w:val="center"/>
                    <w:rPr>
                      <w:rFonts w:ascii="Times New Roman" w:hAnsi="Times New Roman" w:cs="Times New Roman"/>
                      <w:color w:val="00B050"/>
                      <w:szCs w:val="21"/>
                    </w:rPr>
                  </w:pPr>
                  <w:r>
                    <w:t>油气回收系统</w:t>
                  </w:r>
                </w:p>
              </w:tc>
              <w:tc>
                <w:tcPr>
                  <w:tcW w:w="2846" w:type="dxa"/>
                </w:tcPr>
                <w:p>
                  <w:pPr>
                    <w:rPr>
                      <w:rFonts w:ascii="Times New Roman" w:hAnsi="Times New Roman" w:cs="Times New Roman"/>
                      <w:color w:val="00B050"/>
                      <w:szCs w:val="21"/>
                    </w:rPr>
                  </w:pPr>
                  <w:r>
                    <w:t>卸油油气回收系统(即一次油 气回收)、加油油气回收系统 (即二次油气回收)</w:t>
                  </w:r>
                </w:p>
              </w:tc>
              <w:tc>
                <w:tcPr>
                  <w:tcW w:w="3092" w:type="dxa"/>
                </w:tcPr>
                <w:p/>
                <w:p>
                  <w:pPr>
                    <w:rPr>
                      <w:rFonts w:ascii="Times New Roman" w:hAnsi="Times New Roman" w:cs="Times New Roman"/>
                      <w:color w:val="00B050"/>
                      <w:szCs w:val="21"/>
                    </w:rPr>
                  </w:pPr>
                  <w:r>
                    <w:t>油罐、加油机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2410" w:type="dxa"/>
                </w:tcPr>
                <w:p>
                  <w:pPr>
                    <w:ind w:firstLine="630" w:firstLineChars="300"/>
                    <w:rPr>
                      <w:rFonts w:ascii="Times New Roman" w:hAnsi="Times New Roman" w:cs="Times New Roman"/>
                      <w:szCs w:val="21"/>
                    </w:rPr>
                  </w:pPr>
                </w:p>
                <w:p>
                  <w:pPr>
                    <w:ind w:firstLine="630" w:firstLineChars="300"/>
                    <w:rPr>
                      <w:rFonts w:ascii="Times New Roman" w:hAnsi="Times New Roman" w:cs="Times New Roman"/>
                      <w:szCs w:val="21"/>
                    </w:rPr>
                  </w:pPr>
                  <w:r>
                    <w:rPr>
                      <w:rFonts w:hint="eastAsia" w:ascii="Times New Roman" w:hAnsi="Times New Roman" w:cs="Times New Roman"/>
                      <w:szCs w:val="21"/>
                    </w:rPr>
                    <w:t>绿化</w:t>
                  </w:r>
                </w:p>
              </w:tc>
              <w:tc>
                <w:tcPr>
                  <w:tcW w:w="2846" w:type="dxa"/>
                </w:tcPr>
                <w:p>
                  <w:pPr>
                    <w:rPr>
                      <w:rFonts w:ascii="Times New Roman" w:hAnsi="Times New Roman" w:cs="Times New Roman"/>
                      <w:color w:val="00B050"/>
                      <w:szCs w:val="21"/>
                    </w:rPr>
                  </w:pPr>
                  <w:r>
                    <w:t xml:space="preserve">绿化面积 </w:t>
                  </w:r>
                  <w:r>
                    <w:rPr>
                      <w:rFonts w:hint="eastAsia"/>
                    </w:rPr>
                    <w:t>820</w:t>
                  </w:r>
                  <w:r>
                    <w:t>m</w:t>
                  </w:r>
                  <w:r>
                    <w:rPr>
                      <w:vertAlign w:val="superscript"/>
                    </w:rPr>
                    <w:t>2</w:t>
                  </w:r>
                </w:p>
              </w:tc>
              <w:tc>
                <w:tcPr>
                  <w:tcW w:w="3092" w:type="dxa"/>
                </w:tcPr>
                <w:p>
                  <w:pPr>
                    <w:rPr>
                      <w:rFonts w:ascii="Times New Roman" w:hAnsi="Times New Roman" w:cs="Times New Roman"/>
                      <w:color w:val="00B050"/>
                      <w:szCs w:val="21"/>
                    </w:rPr>
                  </w:pPr>
                  <w:r>
                    <w:t>绿化率 1</w:t>
                  </w:r>
                  <w:r>
                    <w:rPr>
                      <w:rFonts w:hint="eastAsia"/>
                    </w:rPr>
                    <w:t>2.3</w:t>
                  </w:r>
                  <w:r>
                    <w:t>%</w:t>
                  </w:r>
                </w:p>
              </w:tc>
            </w:tr>
          </w:tbl>
          <w:p>
            <w:pPr>
              <w:ind w:firstLine="482" w:firstLineChars="200"/>
              <w:jc w:val="cente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SF双层罐，40m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SF双层罐，30m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潜泵工艺</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4 机 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vMerge w:val="restart"/>
                  <w:tcBorders>
                    <w:tl2br w:val="nil"/>
                    <w:tr2bl w:val="nil"/>
                  </w:tcBorders>
                  <w:vAlign w:val="center"/>
                </w:tcPr>
                <w:p>
                  <w:pPr>
                    <w:adjustRightInd w:val="0"/>
                    <w:snapToGrid w:val="0"/>
                    <w:jc w:val="center"/>
                    <w:rPr>
                      <w:kern w:val="0"/>
                    </w:rPr>
                  </w:pPr>
                  <w:r>
                    <w:t>干粉灭火器</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手提(4kg)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vMerge w:val="continue"/>
                  <w:tcBorders>
                    <w:tl2br w:val="nil"/>
                    <w:tr2bl w:val="nil"/>
                  </w:tcBorders>
                  <w:vAlign w:val="center"/>
                </w:tcPr>
                <w:p>
                  <w:pPr>
                    <w:adjustRightInd w:val="0"/>
                    <w:snapToGrid w:val="0"/>
                    <w:jc w:val="cente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推车(35kg)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rPr>
                      <w:kern w:val="0"/>
                    </w:rPr>
                  </w:pP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XG-500GF</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本项目主要从事机动车燃料的零售，包括柴油和汽油，均为外购。</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5"/>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120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8807683"/>
            <w:bookmarkStart w:id="10" w:name="_Toc479078401"/>
            <w:bookmarkStart w:id="11" w:name="_Toc478807402"/>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11</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由</w:t>
            </w:r>
            <w:r>
              <w:rPr>
                <w:sz w:val="24"/>
              </w:rPr>
              <w:t>贵州省黔南州</w:t>
            </w:r>
            <w:r>
              <w:rPr>
                <w:rFonts w:hint="eastAsia"/>
                <w:sz w:val="24"/>
              </w:rPr>
              <w:t>荔波县</w:t>
            </w:r>
            <w:r>
              <w:rPr>
                <w:sz w:val="24"/>
              </w:rPr>
              <w:t>市政供水管网供给</w:t>
            </w:r>
            <w:r>
              <w:rPr>
                <w:rFonts w:ascii="Times New Roman" w:hAnsi="Times New Roman" w:cs="Times New Roman"/>
                <w:sz w:val="24"/>
              </w:rPr>
              <w:t>，项目用水主要为生活用水、场地清洗水、绿化用水等。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项目采取雨污分流，屋面雨水经落水管流至地面，与地面雨水汇集到排雨水管沟(400mm*200mm，地面坡度为0.4%)，排出站外；项目废水场地冲洗水经隔油池预处理与其他生活</w:t>
            </w:r>
            <w:r>
              <w:rPr>
                <w:rFonts w:hint="eastAsia"/>
                <w:sz w:val="24"/>
              </w:rPr>
              <w:t>废水</w:t>
            </w:r>
            <w:r>
              <w:rPr>
                <w:sz w:val="24"/>
              </w:rPr>
              <w:t>一并</w:t>
            </w:r>
            <w:r>
              <w:rPr>
                <w:rFonts w:hint="eastAsia"/>
                <w:sz w:val="24"/>
              </w:rPr>
              <w:t>收集，</w:t>
            </w:r>
            <w:r>
              <w:rPr>
                <w:rFonts w:hint="eastAsia"/>
                <w:color w:val="auto"/>
                <w:sz w:val="24"/>
              </w:rPr>
              <w:t>达到一定量后联系相关污水处理单位送至相关场所处理，未在加油站区进行排放。</w:t>
            </w:r>
            <w:r>
              <w:rPr>
                <w:rFonts w:hint="eastAsia"/>
                <w:sz w:val="24"/>
              </w:rPr>
              <w:t>（环评要求：</w:t>
            </w:r>
            <w:r>
              <w:rPr>
                <w:sz w:val="24"/>
              </w:rPr>
              <w:t>项目废水场地冲洗水经隔油池预处理与其他生活</w:t>
            </w:r>
            <w:r>
              <w:rPr>
                <w:rFonts w:hint="eastAsia"/>
                <w:sz w:val="24"/>
              </w:rPr>
              <w:t>废水</w:t>
            </w:r>
            <w:r>
              <w:rPr>
                <w:sz w:val="24"/>
              </w:rPr>
              <w:t>一并进入三级生化池处理达《污水综合排放标准标准》(GB8978-1996) 中三级标准后，依托三都水族自治县三荔高速三洞服务</w:t>
            </w:r>
            <w:r>
              <w:rPr>
                <w:rFonts w:hint="eastAsia"/>
                <w:sz w:val="24"/>
              </w:rPr>
              <w:t>西</w:t>
            </w:r>
            <w:r>
              <w:rPr>
                <w:sz w:val="24"/>
              </w:rPr>
              <w:t>区污水处理站处理达到 《城镇污水处理厂污染物排放标准》(GB18918-2002)一级B标准后，回用于绿化或农灌，不外排</w:t>
            </w:r>
            <w:r>
              <w:rPr>
                <w:rFonts w:hint="eastAsia"/>
                <w:sz w:val="24"/>
              </w:rPr>
              <w:t>）</w:t>
            </w:r>
            <w:r>
              <w:rPr>
                <w:rFonts w:hint="eastAsia" w:ascii="Times New Roman" w:hAnsi="Times New Roman" w:cs="Times New Roman"/>
                <w:sz w:val="24"/>
              </w:rPr>
              <w:t>。</w:t>
            </w:r>
            <w:r>
              <w:rPr>
                <w:rFonts w:ascii="Times New Roman" w:hAnsi="Times New Roman" w:cs="Times New Roman"/>
                <w:sz w:val="24"/>
              </w:rPr>
              <w:t>详情水平衡图见图1-2。</w:t>
            </w:r>
            <w:bookmarkStart w:id="83" w:name="_GoBack"/>
            <w:bookmarkEnd w:id="83"/>
          </w:p>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1659264" behindDoc="0" locked="0" layoutInCell="1" allowOverlap="1">
                  <wp:simplePos x="0" y="0"/>
                  <wp:positionH relativeFrom="column">
                    <wp:posOffset>377825</wp:posOffset>
                  </wp:positionH>
                  <wp:positionV relativeFrom="paragraph">
                    <wp:posOffset>26035</wp:posOffset>
                  </wp:positionV>
                  <wp:extent cx="5445125" cy="29292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45125" cy="2929255"/>
                          </a:xfrm>
                          <a:prstGeom prst="rect">
                            <a:avLst/>
                          </a:prstGeom>
                          <a:noFill/>
                          <a:ln>
                            <a:noFill/>
                          </a:ln>
                        </pic:spPr>
                      </pic:pic>
                    </a:graphicData>
                  </a:graphic>
                </wp:anchor>
              </w:drawing>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adjustRightInd w:val="0"/>
              <w:snapToGrid w:val="0"/>
              <w:ind w:firstLine="3120" w:firstLineChars="1300"/>
              <w:rPr>
                <w:rFonts w:ascii="宋体" w:hAnsi="宋体" w:eastAsia="宋体" w:cs="宋体"/>
                <w:kern w:val="0"/>
                <w:sz w:val="24"/>
              </w:rPr>
            </w:pPr>
          </w:p>
          <w:p>
            <w:pPr>
              <w:adjustRightInd w:val="0"/>
              <w:snapToGrid w:val="0"/>
              <w:ind w:firstLine="3132" w:firstLineChars="1300"/>
              <w:rPr>
                <w:rFonts w:ascii="Times New Roman" w:hAnsi="Times New Roman" w:cs="Times New Roman"/>
                <w:b/>
                <w:bCs/>
                <w:sz w:val="24"/>
              </w:rPr>
            </w:pPr>
            <w:r>
              <w:rPr>
                <w:rFonts w:ascii="Times New Roman" w:hAnsi="Times New Roman" w:cs="Times New Roman"/>
                <w:b/>
                <w:bCs/>
                <w:sz w:val="24"/>
              </w:rPr>
              <w:t>图1-2 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spacing w:line="360" w:lineRule="auto"/>
              <w:ind w:firstLine="560"/>
              <w:rPr>
                <w:rFonts w:ascii="Times New Roman" w:hAnsi="Times New Roman" w:cs="Times New Roman"/>
                <w:sz w:val="24"/>
              </w:rPr>
            </w:pPr>
            <w:r>
              <w:rPr>
                <w:rFonts w:hint="eastAsia" w:ascii="Times New Roman" w:hAnsi="Times New Roman" w:cs="Times New Roman"/>
                <w:sz w:val="24"/>
              </w:rPr>
              <w:t>本项目</w:t>
            </w:r>
            <w:r>
              <w:rPr>
                <w:sz w:val="24"/>
              </w:rPr>
              <w:t>由由荔波县市政供电电网引入。供电电源采用交流三相 380/220V。为确保工作电源故障时加油加气站仍能继续营业，由柴油发电机作为备用电源。</w:t>
            </w:r>
          </w:p>
          <w:p>
            <w:pPr>
              <w:pStyle w:val="3"/>
              <w:outlineLvl w:val="1"/>
              <w:rPr>
                <w:rFonts w:ascii="Times New Roman" w:hAnsi="Times New Roman" w:eastAsia="宋体"/>
              </w:rPr>
            </w:pPr>
            <w:r>
              <w:rPr>
                <w:rFonts w:ascii="Times New Roman" w:hAnsi="Times New Roman" w:eastAsia="宋体"/>
              </w:rPr>
              <w:t>1.10 生产制度及劳动定员</w:t>
            </w:r>
          </w:p>
          <w:p>
            <w:pPr>
              <w:pStyle w:val="3"/>
              <w:ind w:firstLine="480" w:firstLineChars="200"/>
              <w:outlineLvl w:val="1"/>
              <w:rPr>
                <w:rFonts w:ascii="Times New Roman" w:hAnsi="Times New Roman" w:eastAsia="宋体"/>
                <w:b w:val="0"/>
                <w:bCs/>
              </w:rPr>
            </w:pPr>
            <w:r>
              <w:rPr>
                <w:rFonts w:ascii="Times New Roman" w:hAnsi="Times New Roman"/>
                <w:b w:val="0"/>
                <w:bCs/>
                <w:sz w:val="24"/>
              </w:rPr>
              <w:t>本项目劳动定员</w:t>
            </w:r>
            <w:r>
              <w:rPr>
                <w:rFonts w:hint="eastAsia" w:ascii="Times New Roman" w:hAnsi="Times New Roman"/>
                <w:b w:val="0"/>
                <w:bCs/>
                <w:sz w:val="24"/>
              </w:rPr>
              <w:t>11</w:t>
            </w:r>
            <w:r>
              <w:rPr>
                <w:rFonts w:ascii="Times New Roman" w:hAnsi="Times New Roman"/>
                <w:b w:val="0"/>
                <w:bCs/>
                <w:sz w:val="24"/>
              </w:rPr>
              <w:t>人，采用三班</w:t>
            </w:r>
            <w:r>
              <w:rPr>
                <w:rFonts w:hint="eastAsia" w:ascii="Times New Roman" w:hAnsi="Times New Roman"/>
                <w:b w:val="0"/>
                <w:bCs/>
                <w:sz w:val="24"/>
              </w:rPr>
              <w:t>二运转工作</w:t>
            </w:r>
            <w:r>
              <w:rPr>
                <w:rFonts w:ascii="Times New Roman" w:hAnsi="Times New Roman"/>
                <w:b w:val="0"/>
                <w:bCs/>
                <w:sz w:val="24"/>
              </w:rPr>
              <w:t>制，每班</w:t>
            </w:r>
            <w:r>
              <w:rPr>
                <w:rFonts w:hint="eastAsia" w:ascii="Times New Roman" w:hAnsi="Times New Roman"/>
                <w:b w:val="0"/>
                <w:bCs/>
                <w:sz w:val="24"/>
              </w:rPr>
              <w:t>12</w:t>
            </w:r>
            <w:r>
              <w:rPr>
                <w:rFonts w:ascii="Times New Roman" w:hAnsi="Times New Roman"/>
                <w:b w:val="0"/>
                <w:bCs/>
                <w:sz w:val="24"/>
              </w:rPr>
              <w:t>小时，年工作365天。</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（1）加油工艺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本项目加油站设地下SF双层地埋储罐。其工艺流程为：</w:t>
            </w:r>
            <w:r>
              <w:rPr>
                <w:sz w:val="24"/>
              </w:rPr>
              <w:t>油类采用罐车运输至加油站，卸油过程是油泵将槽罐车内的油类注入地下卧式储油罐内，在此过程中停留在罐内的烃类气体被液体置换，大部分经进油口的油气回收装置从储油罐进入槽罐车，小部分通过呼吸口进入大气。加油过程是通过站内的双枪加油机把油类充入汽车的油箱内，达到给汽车加油的目的，该过程中油箱内的大部分非甲烷总烃经加油枪的油气回收装置回收入储油罐内，少部分烃类气体被液体置换排入大气</w:t>
            </w:r>
            <w:r>
              <w:rPr>
                <w:rFonts w:hint="eastAsia" w:ascii="Times New Roman" w:hAnsi="Times New Roman" w:cs="Times New Roman"/>
                <w:sz w:val="24"/>
              </w:rPr>
              <w:t>。加油站工艺流程</w:t>
            </w:r>
            <w:r>
              <w:rPr>
                <w:rFonts w:ascii="Times New Roman" w:hAnsi="Times New Roman" w:cs="Times New Roman"/>
                <w:sz w:val="24"/>
              </w:rPr>
              <w:t>及排污节点见图1-3。</w:t>
            </w:r>
          </w:p>
          <w:p>
            <w:pPr>
              <w:tabs>
                <w:tab w:val="left" w:pos="4320"/>
                <w:tab w:val="center" w:pos="4361"/>
              </w:tabs>
              <w:jc w:val="center"/>
            </w:pPr>
          </w:p>
          <w:p>
            <w:pPr>
              <w:tabs>
                <w:tab w:val="left" w:pos="4320"/>
                <w:tab w:val="center" w:pos="4361"/>
              </w:tabs>
              <w:jc w:val="center"/>
              <w:rPr>
                <w:rFonts w:ascii="Times New Roman" w:hAnsi="Times New Roman" w:cs="Times New Roman"/>
                <w:b/>
                <w:sz w:val="28"/>
                <w:szCs w:val="28"/>
              </w:rPr>
            </w:pPr>
            <w:r>
              <w:drawing>
                <wp:inline distT="0" distB="0" distL="0" distR="0">
                  <wp:extent cx="5024120" cy="21875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srcRect l="23693" t="27911" r="16591" b="25856"/>
                          <a:stretch>
                            <a:fillRect/>
                          </a:stretch>
                        </pic:blipFill>
                        <pic:spPr>
                          <a:xfrm>
                            <a:off x="0" y="0"/>
                            <a:ext cx="5094593" cy="2218613"/>
                          </a:xfrm>
                          <a:prstGeom prst="rect">
                            <a:avLst/>
                          </a:prstGeom>
                          <a:ln>
                            <a:noFill/>
                          </a:ln>
                        </pic:spPr>
                      </pic:pic>
                    </a:graphicData>
                  </a:graphic>
                </wp:inline>
              </w:drawing>
            </w: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图1-3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7"/>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7"/>
              <w:numPr>
                <w:ilvl w:val="0"/>
                <w:numId w:val="4"/>
              </w:numPr>
              <w:spacing w:line="360" w:lineRule="auto"/>
              <w:ind w:firstLineChars="0"/>
              <w:rPr>
                <w:sz w:val="24"/>
              </w:rPr>
            </w:pPr>
            <w:r>
              <w:rPr>
                <w:rFonts w:hint="eastAsia"/>
                <w:sz w:val="24"/>
              </w:rPr>
              <w:t>油罐的事故泄漏、着火或爆炸是引起大气及水污染的风险性因素；</w:t>
            </w:r>
          </w:p>
          <w:p>
            <w:pPr>
              <w:pStyle w:val="37"/>
              <w:numPr>
                <w:ilvl w:val="0"/>
                <w:numId w:val="4"/>
              </w:numPr>
              <w:spacing w:line="360" w:lineRule="auto"/>
              <w:ind w:firstLineChars="0"/>
              <w:rPr>
                <w:sz w:val="24"/>
              </w:rPr>
            </w:pPr>
            <w:r>
              <w:rPr>
                <w:rFonts w:hint="eastAsia"/>
                <w:sz w:val="24"/>
              </w:rPr>
              <w:t>地面冲洗会产生含油废水；</w:t>
            </w:r>
          </w:p>
          <w:p>
            <w:pPr>
              <w:pStyle w:val="37"/>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7"/>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rPr>
                <w:rFonts w:ascii="Times New Roman" w:hAnsi="Times New Roman" w:cs="Times New Roman"/>
                <w:sz w:val="24"/>
              </w:rPr>
            </w:pP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项目采取雨污分流，屋面雨水经落水管流至地面，与地面雨水汇集到排雨水管沟排</w:t>
            </w:r>
            <w:r>
              <w:rPr>
                <w:rFonts w:hint="eastAsia"/>
                <w:sz w:val="24"/>
              </w:rPr>
              <w:t>入附近地表水</w:t>
            </w:r>
            <w:r>
              <w:rPr>
                <w:sz w:val="24"/>
              </w:rPr>
              <w:t>；项目废水场地冲洗水经隔油池预处理与其他生活</w:t>
            </w:r>
            <w:r>
              <w:rPr>
                <w:rFonts w:hint="eastAsia"/>
                <w:sz w:val="24"/>
              </w:rPr>
              <w:t>废水</w:t>
            </w:r>
            <w:r>
              <w:rPr>
                <w:sz w:val="24"/>
              </w:rPr>
              <w:t>一并</w:t>
            </w:r>
            <w:r>
              <w:rPr>
                <w:rFonts w:hint="eastAsia"/>
                <w:sz w:val="24"/>
              </w:rPr>
              <w:t>收集，</w:t>
            </w:r>
            <w:r>
              <w:rPr>
                <w:rFonts w:hint="eastAsia"/>
                <w:color w:val="auto"/>
                <w:sz w:val="24"/>
              </w:rPr>
              <w:t>达到一定量后联系相关污水处理单位送至相关场所处理，未在加油站区进行排放。</w:t>
            </w:r>
            <w:r>
              <w:rPr>
                <w:rFonts w:hint="eastAsia"/>
                <w:sz w:val="24"/>
              </w:rPr>
              <w:t>（环评要求：</w:t>
            </w:r>
            <w:r>
              <w:rPr>
                <w:sz w:val="24"/>
              </w:rPr>
              <w:t>项目废水场地冲洗水经隔油池预处理与其他生活</w:t>
            </w:r>
            <w:r>
              <w:rPr>
                <w:rFonts w:hint="eastAsia"/>
                <w:sz w:val="24"/>
              </w:rPr>
              <w:t>废水</w:t>
            </w:r>
            <w:r>
              <w:rPr>
                <w:sz w:val="24"/>
              </w:rPr>
              <w:t>一并进入三级生化池处理达《污水综合排放标准标准》(GB8978-1996) 中三级标准后，依托</w:t>
            </w:r>
            <w:r>
              <w:rPr>
                <w:rFonts w:hint="eastAsia"/>
                <w:sz w:val="24"/>
              </w:rPr>
              <w:t>荔波</w:t>
            </w:r>
            <w:r>
              <w:rPr>
                <w:sz w:val="24"/>
              </w:rPr>
              <w:t>县三荔高速</w:t>
            </w:r>
            <w:r>
              <w:rPr>
                <w:rFonts w:hint="eastAsia"/>
                <w:sz w:val="24"/>
              </w:rPr>
              <w:t>荔波</w:t>
            </w:r>
            <w:r>
              <w:rPr>
                <w:sz w:val="24"/>
              </w:rPr>
              <w:t>服务污水处理站处理达到 《城镇污水处理厂污染物排放标准》(GB18918-2002)一级B标准后，回用于绿化或农灌，不外排</w:t>
            </w:r>
            <w:r>
              <w:rPr>
                <w:rFonts w:hint="eastAsia"/>
                <w:sz w:val="24"/>
              </w:rPr>
              <w:t>）</w:t>
            </w:r>
            <w:r>
              <w:rPr>
                <w:rFonts w:hint="eastAsia"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rFonts w:ascii="Times New Roman" w:hAnsi="Times New Roman" w:cs="Times New Roman"/>
                <w:sz w:val="24"/>
              </w:rPr>
              <w:t>建设项目废气主要来自加油站作业过程中产生的</w:t>
            </w:r>
            <w:r>
              <w:rPr>
                <w:rFonts w:ascii="Times New Roman" w:hAnsi="Times New Roman" w:cs="Times New Roman"/>
                <w:spacing w:val="6"/>
                <w:sz w:val="24"/>
              </w:rPr>
              <w:t>非甲烷总烃类</w:t>
            </w:r>
            <w:r>
              <w:rPr>
                <w:rFonts w:ascii="Times New Roman" w:hAnsi="Times New Roman" w:cs="Times New Roman"/>
                <w:sz w:val="24"/>
              </w:rPr>
              <w:t>废气、汽车进出时的尾气和扬尘。</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w:t>
            </w:r>
            <w:r>
              <w:rPr>
                <w:rFonts w:hint="eastAsia" w:ascii="Times New Roman" w:hAnsi="Times New Roman" w:cs="Times New Roman"/>
                <w:sz w:val="24"/>
              </w:rPr>
              <w:t>大</w:t>
            </w:r>
            <w:r>
              <w:rPr>
                <w:rFonts w:ascii="Times New Roman" w:hAnsi="Times New Roman" w:cs="Times New Roman"/>
                <w:sz w:val="24"/>
              </w:rPr>
              <w:t>小呼吸油气后处理装置，并在通气管管口加装阻火器，对柴油系统设置卸油回气管。这样可以一定程度上减少非甲烷总烃的排放。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建设项目采用</w:t>
            </w:r>
            <w:r>
              <w:rPr>
                <w:rFonts w:hint="eastAsia" w:ascii="Times New Roman" w:hAnsi="Times New Roman" w:cs="Times New Roman"/>
                <w:sz w:val="24"/>
              </w:rPr>
              <w:t>SF双层地埋储罐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spacing w:line="360" w:lineRule="auto"/>
              <w:ind w:firstLine="480" w:firstLineChars="200"/>
              <w:rPr>
                <w:rFonts w:ascii="Times New Roman" w:hAnsi="Times New Roman" w:cs="Times New Roman"/>
              </w:rPr>
            </w:pPr>
            <w:r>
              <w:rPr>
                <w:rFonts w:ascii="Times New Roman" w:hAnsi="Times New Roman" w:cs="Times New Roman"/>
              </w:rPr>
              <w:t>（2）对于汽车尾气：本项目通过加强绿化、加油车辆的管理及自然扩散，汽车尾气对环境影响较小。</w:t>
            </w:r>
          </w:p>
          <w:p>
            <w:pPr>
              <w:pStyle w:val="8"/>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本项目通过设置油气回收系统、自然扩散、加强绿化及加油车辆管理，项目产生的非甲烷总烃及汽车尾气对环境的影响较小。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来往的机动车产生的噪声和加油泵、备用柴油发电机等设备运行时产生的噪声及加油车辆</w:t>
            </w:r>
            <w:r>
              <w:rPr>
                <w:rFonts w:ascii="Times New Roman" w:hAnsi="Times New Roman" w:cs="Times New Roman"/>
                <w:sz w:val="24"/>
              </w:rPr>
              <w:t>产生的噪声。</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采用低噪声设备，</w:t>
            </w:r>
            <w:r>
              <w:rPr>
                <w:sz w:val="24"/>
              </w:rPr>
              <w:t>机泵地埋式安装，隔声、消声等</w:t>
            </w:r>
            <w:r>
              <w:rPr>
                <w:rFonts w:ascii="Times New Roman" w:hAnsi="Times New Roman" w:cs="Times New Roman"/>
                <w:sz w:val="24"/>
              </w:rPr>
              <w:t>；在项目区域内加强交通管理，做好交通疏导，限制进入区域内车辆的车速，同时，禁止在区域内鸣喇叭；备用发电机噪声通过优选低噪声设备、建筑隔声、防振、消声措施控制，主机房墙面贴吸声材料，站区内、外加强绿化等措施，减小项目产生的噪声对周边环境的影响。</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加油站运营后产生的生活垃圾，经垃圾桶集中收集后，由当地环卫部门统一收集集中处理</w:t>
            </w:r>
            <w:r>
              <w:rPr>
                <w:rFonts w:ascii="Times New Roman" w:hAnsi="Times New Roman" w:cs="Times New Roman"/>
                <w:sz w:val="24"/>
              </w:rPr>
              <w:t>。</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油泥、废机油、含油棉纱等危险废物收集于铁桶，由加油站委托有资质单位对产生的危废进行处理处置，不在加油站场区内贮存。</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采取上述措施后，固体废弃物对环境影响很小</w:t>
            </w:r>
            <w:r>
              <w:rPr>
                <w:rFonts w:ascii="Times New Roman" w:hAnsi="Times New Roman" w:cs="Times New Roman"/>
                <w:color w:val="000000" w:themeColor="text1"/>
              </w:rPr>
              <w:t>。</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5"/>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330"/>
              <w:gridCol w:w="1378"/>
              <w:gridCol w:w="992"/>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33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37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w:t>
                  </w:r>
                  <w:r>
                    <w:rPr>
                      <w:rFonts w:hint="eastAsia" w:ascii="Times New Roman" w:hAnsi="Times New Roman" w:cs="Times New Roman"/>
                      <w:szCs w:val="21"/>
                    </w:rPr>
                    <w:t>、</w:t>
                  </w:r>
                  <w:r>
                    <w:rPr>
                      <w:rFonts w:ascii="Times New Roman" w:hAnsi="Times New Roman" w:cs="Times New Roman"/>
                      <w:szCs w:val="21"/>
                    </w:rPr>
                    <w:t>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330"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采用密闭加油、卸油设备，加强密封性，减少废气泄漏</w:t>
                  </w:r>
                  <w:r>
                    <w:rPr>
                      <w:rFonts w:hint="eastAsia" w:ascii="Times New Roman" w:hAnsi="Times New Roman" w:cs="Times New Roman"/>
                      <w:szCs w:val="21"/>
                    </w:rPr>
                    <w:t>。</w:t>
                  </w:r>
                  <w:r>
                    <w:t>设置油气回收装置，严格管理， 提高设备的自动化控制水平</w:t>
                  </w:r>
                </w:p>
              </w:tc>
              <w:tc>
                <w:tcPr>
                  <w:tcW w:w="1378" w:type="dxa"/>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27" w:type="dxa"/>
                  <w:tcBorders>
                    <w:tl2br w:val="nil"/>
                    <w:tr2bl w:val="nil"/>
                  </w:tcBorders>
                  <w:vAlign w:val="center"/>
                </w:tcPr>
                <w:p>
                  <w:pPr>
                    <w:jc w:val="center"/>
                    <w:rPr>
                      <w:rFonts w:ascii="Times New Roman" w:hAnsi="Times New Roman" w:cs="Times New Roman"/>
                      <w:szCs w:val="21"/>
                    </w:rPr>
                  </w:pPr>
                  <w:r>
                    <w:t>过往加油车 辆</w:t>
                  </w:r>
                </w:p>
              </w:tc>
              <w:tc>
                <w:tcPr>
                  <w:tcW w:w="1270" w:type="dxa"/>
                  <w:tcBorders>
                    <w:tl2br w:val="nil"/>
                    <w:tr2bl w:val="nil"/>
                  </w:tcBorders>
                  <w:vAlign w:val="center"/>
                </w:tcPr>
                <w:p>
                  <w:pPr>
                    <w:jc w:val="center"/>
                    <w:rPr>
                      <w:rFonts w:ascii="Times New Roman" w:hAnsi="Times New Roman" w:cs="Times New Roman"/>
                      <w:szCs w:val="21"/>
                    </w:rPr>
                  </w:pPr>
                  <w:r>
                    <w:t>汽车尾气</w:t>
                  </w:r>
                </w:p>
              </w:tc>
              <w:tc>
                <w:tcPr>
                  <w:tcW w:w="2330" w:type="dxa"/>
                  <w:tcBorders>
                    <w:tl2br w:val="nil"/>
                    <w:tr2bl w:val="nil"/>
                  </w:tcBorders>
                  <w:vAlign w:val="center"/>
                </w:tcPr>
                <w:p>
                  <w:pPr>
                    <w:rPr>
                      <w:rFonts w:ascii="Times New Roman" w:hAnsi="Times New Roman" w:cs="Times New Roman"/>
                      <w:szCs w:val="21"/>
                    </w:rPr>
                  </w:pPr>
                  <w:r>
                    <w:t>通过加强管理，减少汽车滞留 时间，从而减少尾气排放量</w:t>
                  </w:r>
                </w:p>
              </w:tc>
              <w:tc>
                <w:tcPr>
                  <w:tcW w:w="1378" w:type="dxa"/>
                  <w:vMerge w:val="continue"/>
                  <w:tcBorders>
                    <w:tl2br w:val="nil"/>
                    <w:tr2bl w:val="nil"/>
                  </w:tcBorders>
                  <w:vAlign w:val="center"/>
                </w:tcPr>
                <w:p>
                  <w:pPr>
                    <w:ind w:left="105" w:leftChars="50" w:right="105" w:rightChars="50"/>
                    <w:jc w:val="center"/>
                    <w:rPr>
                      <w:rFonts w:ascii="Times New Roman" w:hAnsi="Times New Roman" w:eastAsia="宋体" w:cs="Times New Roman"/>
                      <w:szCs w:val="21"/>
                    </w:rPr>
                  </w:pPr>
                </w:p>
              </w:tc>
              <w:tc>
                <w:tcPr>
                  <w:tcW w:w="992"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73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t>办公</w:t>
                  </w:r>
                  <w:r>
                    <w:rPr>
                      <w:rFonts w:hint="eastAsia"/>
                    </w:rPr>
                    <w:t>废水</w:t>
                  </w:r>
                  <w:r>
                    <w:t>、 外来人员入 厕用水</w:t>
                  </w:r>
                  <w:r>
                    <w:rPr>
                      <w:rFonts w:hint="eastAsia"/>
                    </w:rPr>
                    <w:t>、</w:t>
                  </w:r>
                  <w:r>
                    <w:t>食堂的含油污水及地坪冲洗水</w:t>
                  </w:r>
                </w:p>
              </w:tc>
              <w:tc>
                <w:tcPr>
                  <w:tcW w:w="12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w:t>
                  </w:r>
                  <w:r>
                    <w:rPr>
                      <w:rFonts w:hint="eastAsia" w:ascii="Times New Roman" w:hAnsi="Times New Roman" w:cs="Times New Roman"/>
                      <w:szCs w:val="21"/>
                    </w:rPr>
                    <w:t>p</w:t>
                  </w:r>
                  <w:r>
                    <w:rPr>
                      <w:rFonts w:ascii="Times New Roman" w:hAnsi="Times New Roman" w:cs="Times New Roman"/>
                      <w:szCs w:val="21"/>
                    </w:rPr>
                    <w:t>H</w:t>
                  </w:r>
                </w:p>
                <w:p>
                  <w:pPr>
                    <w:jc w:val="center"/>
                    <w:rPr>
                      <w:rFonts w:ascii="Times New Roman" w:hAnsi="Times New Roman" w:eastAsia="宋体" w:cs="Times New Roman"/>
                      <w:bCs/>
                      <w:szCs w:val="21"/>
                    </w:rPr>
                  </w:pPr>
                  <w:r>
                    <w:rPr>
                      <w:rFonts w:hint="eastAsia" w:ascii="Times New Roman" w:hAnsi="Times New Roman" w:cs="Times New Roman"/>
                      <w:szCs w:val="21"/>
                    </w:rPr>
                    <w:t>、</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330" w:type="dxa"/>
                  <w:tcBorders>
                    <w:tl2br w:val="nil"/>
                    <w:tr2bl w:val="nil"/>
                  </w:tcBorders>
                  <w:vAlign w:val="center"/>
                </w:tcPr>
                <w:p>
                  <w:pPr>
                    <w:rPr>
                      <w:rFonts w:ascii="Times New Roman" w:hAnsi="Times New Roman" w:cs="Times New Roman"/>
                      <w:bCs/>
                      <w:szCs w:val="21"/>
                    </w:rPr>
                  </w:pPr>
                  <w:r>
                    <w:t>场地冲洗水经隔油池预处理与其 他生活污水一并进入三级化粪池 处理达《污水综合排放标准标准》 (GB8978-1996)中三级标准后，依 托</w:t>
                  </w:r>
                  <w:r>
                    <w:rPr>
                      <w:rFonts w:hint="eastAsia"/>
                    </w:rPr>
                    <w:t>荔波县</w:t>
                  </w:r>
                  <w:r>
                    <w:t>三荔高速</w:t>
                  </w:r>
                  <w:r>
                    <w:rPr>
                      <w:rFonts w:hint="eastAsia"/>
                    </w:rPr>
                    <w:t>荔波</w:t>
                  </w:r>
                  <w:r>
                    <w:t>服务区污水处理站处理达到《城 镇污水处理厂污染物排放标准》 (GB18918-2002)一级 B 标准后，回 用于绿化或农灌，不外排</w:t>
                  </w:r>
                </w:p>
              </w:tc>
              <w:tc>
                <w:tcPr>
                  <w:tcW w:w="1378"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330"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p>
              </w:tc>
              <w:tc>
                <w:tcPr>
                  <w:tcW w:w="3104"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隔油池</w:t>
                  </w: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33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w:t>
                  </w:r>
                </w:p>
              </w:tc>
              <w:tc>
                <w:tcPr>
                  <w:tcW w:w="3104"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隔油池、生 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p>
              </w:tc>
              <w:tc>
                <w:tcPr>
                  <w:tcW w:w="2330"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t>配备容积不小于100L的防腐铁桶，将隔油池的含水废油、油罐污泥定期打捞后装入铁桶 内，定期交由单位处理</w:t>
                  </w: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33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通过采购低噪声设备，对泵体等高噪声设备采取隔音降噪；在项目区域内加强交通管理，做好交通疏导，限制进入区域内车辆的车速，同时，禁止在区域内鸣喇叭；备用发电机噪声通过优选低噪声设备、建筑隔声、防振、消声措施控制，主机房墙面贴吸声材料，站区内、外加强绿化等措施，尽量减小项目营运期噪声对周边环境的影响。</w:t>
                  </w:r>
                </w:p>
              </w:tc>
            </w:tr>
          </w:tbl>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4700</w:t>
            </w:r>
            <w:r>
              <w:rPr>
                <w:rFonts w:ascii="Times New Roman" w:hAnsi="Times New Roman" w:cs="Times New Roman"/>
                <w:sz w:val="24"/>
              </w:rPr>
              <w:t>万元，环保投资</w:t>
            </w:r>
            <w:r>
              <w:rPr>
                <w:rFonts w:hint="eastAsia" w:ascii="Times New Roman" w:hAnsi="Times New Roman" w:cs="Times New Roman"/>
                <w:sz w:val="24"/>
              </w:rPr>
              <w:t>48.3</w:t>
            </w:r>
            <w:r>
              <w:rPr>
                <w:rFonts w:ascii="Times New Roman" w:hAnsi="Times New Roman" w:cs="Times New Roman"/>
                <w:sz w:val="24"/>
              </w:rPr>
              <w:t>万元，占总投资</w:t>
            </w:r>
            <w:r>
              <w:rPr>
                <w:rFonts w:hint="eastAsia" w:ascii="Times New Roman" w:hAnsi="Times New Roman" w:cs="Times New Roman"/>
                <w:sz w:val="24"/>
              </w:rPr>
              <w:t>1.03</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szCs w:val="21"/>
                    </w:rPr>
                    <w:t>三级化粪池</w:t>
                  </w:r>
                  <w:r>
                    <w:rPr>
                      <w:rFonts w:ascii="Times New Roman" w:hAnsi="Times New Roman" w:cs="Times New Roman"/>
                      <w:szCs w:val="21"/>
                    </w:rPr>
                    <w:t>（</w:t>
                  </w:r>
                  <w:r>
                    <w:rPr>
                      <w:rFonts w:hint="eastAsia" w:ascii="Times New Roman" w:hAnsi="Times New Roman" w:cs="Times New Roman"/>
                      <w:szCs w:val="21"/>
                    </w:rPr>
                    <w:t>1个，5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隔油</w:t>
                  </w:r>
                  <w:r>
                    <w:rPr>
                      <w:rFonts w:hint="eastAsia" w:ascii="Times New Roman" w:hAnsi="Times New Roman" w:cs="Times New Roman"/>
                      <w:szCs w:val="21"/>
                    </w:rPr>
                    <w:t>池</w:t>
                  </w:r>
                  <w:r>
                    <w:rPr>
                      <w:rFonts w:ascii="Times New Roman" w:hAnsi="Times New Roman" w:cs="Times New Roman"/>
                      <w:szCs w:val="21"/>
                    </w:rPr>
                    <w:t>（</w:t>
                  </w:r>
                  <w:r>
                    <w:rPr>
                      <w:rFonts w:hint="eastAsia" w:ascii="Times New Roman" w:hAnsi="Times New Roman" w:cs="Times New Roman"/>
                      <w:szCs w:val="21"/>
                    </w:rPr>
                    <w:t>1个，1</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减震安装，消声、吸声、隔声措施</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垃圾桶</w:t>
                  </w:r>
                  <w:r>
                    <w:rPr>
                      <w:rFonts w:hint="eastAsia" w:ascii="Times New Roman" w:hAnsi="Times New Roman" w:cs="Times New Roman"/>
                      <w:szCs w:val="21"/>
                    </w:rPr>
                    <w:t>2</w:t>
                  </w:r>
                  <w:r>
                    <w:rPr>
                      <w:rFonts w:ascii="Times New Roman" w:hAnsi="Times New Roman" w:cs="Times New Roman"/>
                      <w:szCs w:val="21"/>
                    </w:rPr>
                    <w:t>个</w:t>
                  </w:r>
                  <w:r>
                    <w:rPr>
                      <w:rFonts w:hint="eastAsia" w:ascii="Times New Roman" w:hAnsi="Times New Roman" w:cs="Times New Roman"/>
                      <w:szCs w:val="21"/>
                    </w:rPr>
                    <w:t>，铁通</w:t>
                  </w:r>
                  <w:r>
                    <w:t xml:space="preserve">100L(1 个)，用于收集隔油沉砂池废油； </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r>
                    <w:rPr>
                      <w:rFonts w:hint="eastAsia" w:ascii="Times New Roman" w:hAnsi="Times New Roman" w:cs="Times New Roman"/>
                      <w:szCs w:val="21"/>
                    </w:rPr>
                    <w:t>1个，20</w:t>
                  </w:r>
                  <w:r>
                    <w:rPr>
                      <w:rFonts w:ascii="Times New Roman" w:hAnsi="Times New Roman" w:cs="Times New Roman"/>
                      <w:szCs w:val="21"/>
                    </w:rPr>
                    <w:t>m</w:t>
                  </w:r>
                  <w:r>
                    <w:rPr>
                      <w:rFonts w:hint="eastAsia"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面积820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t>地下水污染防治</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厂区、罐区的防渗、污水管道、污水处理设施的防渗处理</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环保管理</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环评、应急预案、油气回收监测、验收监测等</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48.3</w:t>
                  </w:r>
                </w:p>
              </w:tc>
            </w:tr>
          </w:tbl>
          <w:p>
            <w:pPr>
              <w:spacing w:line="360" w:lineRule="auto"/>
              <w:rPr>
                <w:rFonts w:ascii="Times New Roman" w:hAnsi="Times New Roman" w:eastAsia="宋体" w:cs="Times New Roman"/>
                <w:sz w:val="28"/>
                <w:szCs w:val="28"/>
              </w:rPr>
            </w:pPr>
          </w:p>
        </w:tc>
      </w:tr>
    </w:tbl>
    <w:p>
      <w:pPr>
        <w:pageBreakBefore/>
        <w:spacing w:line="360" w:lineRule="auto"/>
        <w:outlineLvl w:val="0"/>
        <w:rPr>
          <w:rFonts w:ascii="Times New Roman" w:hAnsi="Times New Roman" w:cs="Times New Roman"/>
          <w:b/>
          <w:sz w:val="28"/>
          <w:szCs w:val="28"/>
        </w:rPr>
      </w:pPr>
      <w:bookmarkStart w:id="13" w:name="_Toc21219"/>
      <w:bookmarkStart w:id="14" w:name="_Toc10223"/>
      <w:r>
        <w:rPr>
          <w:rFonts w:ascii="Times New Roman" w:hAnsi="Times New Roman" w:cs="Times New Roman"/>
          <w:b/>
          <w:sz w:val="28"/>
          <w:szCs w:val="28"/>
        </w:rPr>
        <w:t>表三</w:t>
      </w:r>
      <w:bookmarkEnd w:id="13"/>
      <w:r>
        <w:rPr>
          <w:rFonts w:ascii="Times New Roman" w:hAnsi="Times New Roman" w:cs="Times New Roman"/>
          <w:b/>
          <w:sz w:val="28"/>
          <w:szCs w:val="28"/>
        </w:rPr>
        <w:t xml:space="preserve">  环境影响评价报告表主要结论、建议及批复</w:t>
      </w:r>
      <w:bookmarkEnd w:id="14"/>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项目地处贵州省黔南州</w:t>
            </w:r>
            <w:r>
              <w:rPr>
                <w:rFonts w:hint="eastAsia"/>
                <w:sz w:val="24"/>
              </w:rPr>
              <w:t>荔波</w:t>
            </w:r>
            <w:r>
              <w:rPr>
                <w:sz w:val="24"/>
              </w:rPr>
              <w:t>县三荔高速</w:t>
            </w:r>
            <w:r>
              <w:rPr>
                <w:rFonts w:hint="eastAsia"/>
                <w:sz w:val="24"/>
              </w:rPr>
              <w:t>荔波</w:t>
            </w:r>
            <w:r>
              <w:rPr>
                <w:sz w:val="24"/>
              </w:rPr>
              <w:t>服务区</w:t>
            </w:r>
            <w:r>
              <w:rPr>
                <w:rFonts w:hint="eastAsia"/>
                <w:sz w:val="24"/>
              </w:rPr>
              <w:t>东</w:t>
            </w:r>
            <w:r>
              <w:rPr>
                <w:sz w:val="24"/>
              </w:rPr>
              <w:t>侧。项目区地理位置为：东经</w:t>
            </w:r>
            <w:r>
              <w:rPr>
                <w:rFonts w:ascii="Times New Roman" w:hAnsi="Times New Roman" w:eastAsia="宋体" w:cs="Times New Roman"/>
                <w:sz w:val="24"/>
              </w:rPr>
              <w:t>107°</w:t>
            </w:r>
            <w:r>
              <w:rPr>
                <w:rFonts w:hint="eastAsia" w:ascii="Times New Roman" w:hAnsi="Times New Roman" w:eastAsia="宋体" w:cs="Times New Roman"/>
                <w:sz w:val="24"/>
              </w:rPr>
              <w:t>57</w:t>
            </w:r>
            <w:r>
              <w:rPr>
                <w:rFonts w:ascii="Times New Roman" w:hAnsi="Times New Roman" w:eastAsia="宋体" w:cs="Times New Roman"/>
                <w:sz w:val="24"/>
              </w:rPr>
              <w:t>′</w:t>
            </w:r>
            <w:r>
              <w:rPr>
                <w:rFonts w:hint="eastAsia" w:ascii="Times New Roman" w:hAnsi="Times New Roman" w:eastAsia="宋体" w:cs="Times New Roman"/>
                <w:sz w:val="24"/>
              </w:rPr>
              <w:t>23.36</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27</w:t>
            </w:r>
            <w:r>
              <w:rPr>
                <w:rFonts w:ascii="Times New Roman" w:hAnsi="Times New Roman" w:eastAsia="宋体" w:cs="Times New Roman"/>
                <w:sz w:val="24"/>
              </w:rPr>
              <w:t>′</w:t>
            </w:r>
            <w:r>
              <w:rPr>
                <w:rFonts w:hint="eastAsia"/>
                <w:sz w:val="24"/>
              </w:rPr>
              <w:t>56.87</w:t>
            </w:r>
            <w:r>
              <w:rPr>
                <w:sz w:val="24"/>
              </w:rPr>
              <w:t>"</w:t>
            </w:r>
            <w:r>
              <w:rPr>
                <w:rFonts w:hint="eastAsia" w:ascii="Times New Roman" w:hAnsi="Times New Roman" w:eastAsia="宋体" w:cs="Times New Roman"/>
                <w:sz w:val="24"/>
              </w:rPr>
              <w:t>。</w:t>
            </w:r>
            <w:r>
              <w:rPr>
                <w:sz w:val="24"/>
              </w:rPr>
              <w:t>项目规模为 40m</w:t>
            </w:r>
            <w:r>
              <w:rPr>
                <w:sz w:val="24"/>
                <w:vertAlign w:val="superscript"/>
              </w:rPr>
              <w:t>3</w:t>
            </w:r>
            <w:r>
              <w:rPr>
                <w:sz w:val="24"/>
              </w:rPr>
              <w:t xml:space="preserve"> 柴油储罐 1 个，50m</w:t>
            </w:r>
            <w:r>
              <w:rPr>
                <w:sz w:val="24"/>
                <w:vertAlign w:val="superscript"/>
              </w:rPr>
              <w:t xml:space="preserve">3 </w:t>
            </w:r>
            <w:r>
              <w:rPr>
                <w:sz w:val="24"/>
              </w:rPr>
              <w:t>汽油储罐 2 个(92 #汽油罐 1 个、95 #汽油罐 1 个)，30m</w:t>
            </w:r>
            <w:r>
              <w:rPr>
                <w:sz w:val="24"/>
                <w:vertAlign w:val="superscript"/>
              </w:rPr>
              <w:t xml:space="preserve">3 </w:t>
            </w:r>
            <w:r>
              <w:rPr>
                <w:sz w:val="24"/>
              </w:rPr>
              <w:t>汽油储罐 1 个（92 #汽油罐 1 个）。加油机 4 台(16 枪)。油罐总容积 150m</w:t>
            </w:r>
            <w:r>
              <w:rPr>
                <w:sz w:val="24"/>
                <w:vertAlign w:val="superscript"/>
              </w:rPr>
              <w:t>3</w:t>
            </w:r>
            <w:r>
              <w:rPr>
                <w:sz w:val="24"/>
              </w:rPr>
              <w:t xml:space="preserve"> (柴油罐容积折半 计入油罐总容积)，单罐容积小于或等于 50m</w:t>
            </w:r>
            <w:r>
              <w:rPr>
                <w:sz w:val="24"/>
                <w:vertAlign w:val="superscript"/>
              </w:rPr>
              <w:t>3</w:t>
            </w:r>
            <w:r>
              <w:rPr>
                <w:sz w:val="24"/>
              </w:rPr>
              <w:t>，根据《汽车加油加气站设计与施 工规范》(GB50156-2012)2014 版，属二级加油站。项目生活设施依托于现有服务区，不设食宿，仅设置临时休息间</w:t>
            </w:r>
            <w:r>
              <w:rPr>
                <w:rFonts w:hint="eastAsia"/>
                <w:sz w:val="24"/>
              </w:rPr>
              <w:t>，</w:t>
            </w:r>
            <w:r>
              <w:rPr>
                <w:sz w:val="24"/>
              </w:rPr>
              <w:t>项目共计投资：4</w:t>
            </w:r>
            <w:r>
              <w:rPr>
                <w:rFonts w:hint="eastAsia"/>
                <w:sz w:val="24"/>
              </w:rPr>
              <w:t>700</w:t>
            </w:r>
            <w:r>
              <w:rPr>
                <w:sz w:val="24"/>
              </w:rPr>
              <w:t xml:space="preserve"> 万元。</w:t>
            </w: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项目周边无饮用水源保护区、</w:t>
            </w:r>
            <w:r>
              <w:rPr>
                <w:rFonts w:hint="eastAsia"/>
                <w:sz w:val="24"/>
              </w:rPr>
              <w:t>无</w:t>
            </w:r>
            <w:r>
              <w:rPr>
                <w:sz w:val="24"/>
              </w:rPr>
              <w:t>生态环境敏感区。项目用水、用电、路等基础设施齐全，因此，从环保的角度分析，本项目选址是合理的。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autoSpaceDE w:val="0"/>
              <w:autoSpaceDN w:val="0"/>
              <w:adjustRightInd w:val="0"/>
              <w:spacing w:line="360" w:lineRule="auto"/>
              <w:ind w:firstLine="480" w:firstLineChars="200"/>
              <w:rPr>
                <w:rFonts w:ascii="Times New Roman" w:hAnsi="Times New Roman" w:cs="Times New Roman"/>
                <w:sz w:val="24"/>
              </w:rPr>
            </w:pPr>
            <w:r>
              <w:rPr>
                <w:sz w:val="24"/>
              </w:rPr>
              <w:t>根据站场的功能，大致分为 4 个功能设施区。分别为加油区、办公区、卸油区、停车区等。 加油区布置在地块前端，面向站外道路，连接高速公路的出入口，方便加油车辆的进出；留有满足车辆回转的回车场地；</w:t>
            </w:r>
            <w:r>
              <w:rPr>
                <w:rFonts w:hint="eastAsia"/>
                <w:sz w:val="24"/>
              </w:rPr>
              <w:t>站房</w:t>
            </w:r>
            <w:r>
              <w:rPr>
                <w:sz w:val="24"/>
              </w:rPr>
              <w:t>布置于地块中部，位于加油棚的</w:t>
            </w:r>
            <w:r>
              <w:rPr>
                <w:rFonts w:hint="eastAsia"/>
                <w:sz w:val="24"/>
              </w:rPr>
              <w:t>两侧</w:t>
            </w:r>
            <w:r>
              <w:rPr>
                <w:sz w:val="24"/>
              </w:rPr>
              <w:t xml:space="preserve">；总平面布置合理。 根据《石油与天然气工程设计防火规范》(GB20183-2015)、《汽车加油加气设计与施工规范》，本项目周围建筑物距油罐、通气管管口、加油机中最近距离为 </w:t>
            </w:r>
            <w:r>
              <w:rPr>
                <w:rFonts w:hint="eastAsia"/>
                <w:sz w:val="24"/>
              </w:rPr>
              <w:t>70</w:t>
            </w:r>
            <w:r>
              <w:rPr>
                <w:sz w:val="24"/>
              </w:rPr>
              <w:t>m，50m范围内无重要公共建筑物。符合二级加油加气站与民用建筑物防火距离的要求</w:t>
            </w:r>
            <w:r>
              <w:rPr>
                <w:rFonts w:hint="eastAsia"/>
                <w:sz w:val="24"/>
              </w:rPr>
              <w:t>。</w:t>
            </w: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pStyle w:val="6"/>
              <w:spacing w:line="360" w:lineRule="auto"/>
              <w:ind w:firstLine="480"/>
              <w:rPr>
                <w:sz w:val="24"/>
                <w:szCs w:val="24"/>
              </w:rPr>
            </w:pPr>
            <w:r>
              <w:rPr>
                <w:rFonts w:hint="eastAsia" w:ascii="宋体" w:hAnsi="宋体"/>
                <w:sz w:val="24"/>
                <w:szCs w:val="24"/>
              </w:rPr>
              <w:t>①</w:t>
            </w:r>
            <w:r>
              <w:rPr>
                <w:sz w:val="24"/>
                <w:szCs w:val="24"/>
              </w:rPr>
              <w:t>地表水：本项目受纳地表水体为项目西侧的樟江，按照水功能区划划定原则， 应划分为</w:t>
            </w:r>
            <w:r>
              <w:rPr>
                <w:rFonts w:hint="eastAsia" w:ascii="宋体" w:hAnsi="宋体" w:cs="宋体"/>
                <w:sz w:val="24"/>
                <w:szCs w:val="24"/>
              </w:rPr>
              <w:t>Ⅲ</w:t>
            </w:r>
            <w:r>
              <w:rPr>
                <w:sz w:val="24"/>
                <w:szCs w:val="24"/>
              </w:rPr>
              <w:t>类标准，沿河区域无污染，地表水质量能够满足《地表水环境质量标准》 (GB3838-2002)</w:t>
            </w:r>
            <w:r>
              <w:rPr>
                <w:rFonts w:hint="eastAsia" w:ascii="宋体" w:hAnsi="宋体" w:cs="宋体"/>
                <w:sz w:val="24"/>
                <w:szCs w:val="24"/>
              </w:rPr>
              <w:t>Ⅲ</w:t>
            </w:r>
            <w:r>
              <w:rPr>
                <w:sz w:val="24"/>
                <w:szCs w:val="24"/>
              </w:rPr>
              <w:t>类标准</w:t>
            </w:r>
            <w:r>
              <w:rPr>
                <w:rFonts w:hint="eastAsia"/>
                <w:sz w:val="24"/>
                <w:szCs w:val="24"/>
              </w:rPr>
              <w:t>；</w:t>
            </w:r>
          </w:p>
          <w:p>
            <w:pPr>
              <w:pStyle w:val="6"/>
              <w:spacing w:line="360" w:lineRule="auto"/>
              <w:ind w:firstLine="480"/>
              <w:rPr>
                <w:rFonts w:ascii="Times New Roman" w:hAnsi="Times New Roman" w:cs="Times New Roman"/>
                <w:sz w:val="24"/>
                <w:szCs w:val="24"/>
              </w:rPr>
            </w:pPr>
            <w:r>
              <w:rPr>
                <w:sz w:val="24"/>
                <w:szCs w:val="24"/>
              </w:rPr>
              <w:t>②地下水：项目评价区域内未发现地下水出露，区域地下水质量满足《地下水质 量标准》(GB/T14848-2017)III 类标准</w:t>
            </w:r>
            <w:r>
              <w:rPr>
                <w:rFonts w:hint="eastAsia"/>
                <w:sz w:val="24"/>
                <w:szCs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sz w:val="24"/>
                <w:szCs w:val="24"/>
              </w:rPr>
              <w:t>本项目位于贵州省黔南州荔波县三荔高速荔波服务区东区内，项目周边无大型 工矿企业，环境空气质量较好，评价区域环境空气质量能够满足《环境空气质量标 准》(GB3095-2012)中二级标准</w:t>
            </w:r>
            <w:r>
              <w:rPr>
                <w:rFonts w:hint="eastAsia"/>
                <w:sz w:val="24"/>
                <w:szCs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pStyle w:val="6"/>
              <w:spacing w:line="360" w:lineRule="auto"/>
              <w:ind w:firstLine="720" w:firstLineChars="300"/>
              <w:rPr>
                <w:rFonts w:ascii="Times New Roman" w:hAnsi="Times New Roman" w:cs="Times New Roman"/>
                <w:sz w:val="24"/>
                <w:szCs w:val="24"/>
              </w:rPr>
            </w:pPr>
            <w:r>
              <w:rPr>
                <w:sz w:val="24"/>
                <w:szCs w:val="24"/>
              </w:rPr>
              <w:t>区内噪声主要是三荔高速交通噪声，对区域有一定影响。由于地处农村，区内现有的声环境质量较好，声环境质量满足《声环境质量标准》(GB3096-2008)2 类区标准。</w:t>
            </w:r>
          </w:p>
          <w:p>
            <w:pPr>
              <w:pStyle w:val="6"/>
              <w:spacing w:line="360" w:lineRule="auto"/>
              <w:ind w:firstLine="480"/>
              <w:rPr>
                <w:sz w:val="24"/>
                <w:szCs w:val="24"/>
              </w:rPr>
            </w:pPr>
            <w:r>
              <w:rPr>
                <w:rFonts w:hint="eastAsia"/>
                <w:sz w:val="24"/>
                <w:szCs w:val="24"/>
              </w:rPr>
              <w:t>（</w:t>
            </w:r>
            <w:r>
              <w:rPr>
                <w:sz w:val="24"/>
                <w:szCs w:val="24"/>
              </w:rPr>
              <w:t>4</w:t>
            </w:r>
            <w:r>
              <w:rPr>
                <w:rFonts w:hint="eastAsia"/>
                <w:sz w:val="24"/>
                <w:szCs w:val="24"/>
              </w:rPr>
              <w:t>）</w:t>
            </w:r>
            <w:r>
              <w:rPr>
                <w:sz w:val="24"/>
                <w:szCs w:val="24"/>
              </w:rPr>
              <w:t>生态环境现状：</w:t>
            </w:r>
          </w:p>
          <w:p>
            <w:pPr>
              <w:pStyle w:val="6"/>
              <w:spacing w:line="360" w:lineRule="auto"/>
              <w:ind w:firstLine="480"/>
              <w:rPr>
                <w:sz w:val="24"/>
                <w:szCs w:val="24"/>
              </w:rPr>
            </w:pPr>
            <w:r>
              <w:rPr>
                <w:rFonts w:hint="eastAsia"/>
                <w:sz w:val="24"/>
                <w:szCs w:val="24"/>
              </w:rPr>
              <w:t xml:space="preserve"> </w:t>
            </w:r>
            <w:r>
              <w:rPr>
                <w:sz w:val="24"/>
                <w:szCs w:val="24"/>
              </w:rPr>
              <w:t xml:space="preserve"> 项目区由于人为破坏等因素现原生植被已不复存在，被次生植被所代替。主要植被类型有：灌草丛、人工植被和农田植被。植物种类比较单调，植被类型主要以 北亚热带温凉针阔叶林和中亚热带针叶混交林，偶见漆树、松、紫木等树种，局部 地段有草丛、灌木丛分布。</w:t>
            </w:r>
          </w:p>
          <w:p>
            <w:pPr>
              <w:pStyle w:val="6"/>
              <w:spacing w:line="360" w:lineRule="auto"/>
              <w:ind w:firstLine="720" w:firstLineChars="300"/>
              <w:rPr>
                <w:rFonts w:ascii="Times New Roman" w:hAnsi="Times New Roman" w:cs="Times New Roman"/>
                <w:sz w:val="24"/>
                <w:szCs w:val="24"/>
              </w:rPr>
            </w:pPr>
            <w:r>
              <w:rPr>
                <w:sz w:val="24"/>
                <w:szCs w:val="24"/>
              </w:rPr>
              <w:t>目前建设项目区域内的生态环境质量</w:t>
            </w:r>
            <w:r>
              <w:rPr>
                <w:rFonts w:hint="eastAsia"/>
                <w:sz w:val="24"/>
                <w:szCs w:val="24"/>
              </w:rPr>
              <w:t>现状较好</w:t>
            </w:r>
            <w:r>
              <w:rPr>
                <w:sz w:val="24"/>
                <w:szCs w:val="24"/>
              </w:rPr>
              <w:t>。</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360" w:lineRule="auto"/>
              <w:ind w:firstLine="482"/>
              <w:rPr>
                <w:sz w:val="24"/>
              </w:rPr>
            </w:pPr>
            <w:r>
              <w:rPr>
                <w:sz w:val="24"/>
              </w:rPr>
              <w:t>(1)废水：施工废水经沉砂池收集回用，</w:t>
            </w:r>
            <w:r>
              <w:rPr>
                <w:rFonts w:hint="eastAsia"/>
                <w:sz w:val="24"/>
              </w:rPr>
              <w:t>不外排；</w:t>
            </w:r>
            <w:r>
              <w:rPr>
                <w:sz w:val="24"/>
              </w:rPr>
              <w:t>施工人员为附近村民，施工现场不设置食宿</w:t>
            </w:r>
            <w:r>
              <w:rPr>
                <w:rFonts w:hint="eastAsia"/>
                <w:sz w:val="24"/>
              </w:rPr>
              <w:t>，</w:t>
            </w:r>
            <w:r>
              <w:rPr>
                <w:sz w:val="24"/>
              </w:rPr>
              <w:t>生活污水利用该停车区现有卫生服务设施，对环境的影响较小。</w:t>
            </w:r>
          </w:p>
          <w:p>
            <w:pPr>
              <w:spacing w:line="360" w:lineRule="auto"/>
              <w:ind w:firstLine="482"/>
              <w:rPr>
                <w:color w:val="FF0000"/>
                <w:sz w:val="24"/>
              </w:rPr>
            </w:pPr>
            <w:r>
              <w:rPr>
                <w:color w:val="FF0000"/>
                <w:sz w:val="24"/>
              </w:rPr>
              <w:t xml:space="preserve"> </w:t>
            </w:r>
            <w:r>
              <w:rPr>
                <w:sz w:val="24"/>
              </w:rPr>
              <w:t>(2)废气：施工期废气主要为重型机械及运输建筑材料车辆产生的尾气及运输扬尘，施工扬尘和装修时产生的废气。施工期勤洒水保持施工作业面具有一定的湿度，严禁高空抛物， 做到轻拿轻放，严禁将粉状物料露天堆放，降低风力作用产生扬尘造成二次污染； 装修废气在装修时选用使用环保漆，保持室内通风等，本项目装修面积较小，装修废气微量施工期废气对环境的影响</w:t>
            </w:r>
            <w:r>
              <w:rPr>
                <w:rFonts w:hint="eastAsia"/>
                <w:sz w:val="24"/>
              </w:rPr>
              <w:t>小</w:t>
            </w:r>
            <w:r>
              <w:rPr>
                <w:sz w:val="24"/>
              </w:rPr>
              <w:t>。由于项目地较为平坦，使用重型机械较少，但是建筑材料均为汽车运输，产生的尾气仍对周边环境有一定的影响。</w:t>
            </w:r>
          </w:p>
          <w:p>
            <w:pPr>
              <w:spacing w:line="360" w:lineRule="auto"/>
              <w:ind w:firstLine="482"/>
              <w:rPr>
                <w:sz w:val="24"/>
              </w:rPr>
            </w:pPr>
            <w:r>
              <w:rPr>
                <w:sz w:val="24"/>
              </w:rPr>
              <w:t xml:space="preserve"> (3)噪声：施工期的噪声主要包括施工机械噪声、施工作业噪声和工程车辆噪声</w:t>
            </w:r>
            <w:r>
              <w:t>。</w:t>
            </w:r>
            <w:r>
              <w:rPr>
                <w:sz w:val="24"/>
              </w:rPr>
              <w:t xml:space="preserve">通过选用低噪声设备，合理安排施工时间段，加强管理，减少人 为噪声，对运输车辆采取限速限载，禁止鸣笛等措施，噪声对环境的影响较小。 </w:t>
            </w:r>
          </w:p>
          <w:p>
            <w:pPr>
              <w:spacing w:line="360" w:lineRule="auto"/>
              <w:ind w:firstLine="482"/>
              <w:rPr>
                <w:rFonts w:ascii="Times New Roman" w:hAnsi="Times New Roman" w:cs="Times New Roman"/>
                <w:sz w:val="24"/>
              </w:rPr>
            </w:pPr>
            <w:r>
              <w:rPr>
                <w:sz w:val="24"/>
              </w:rPr>
              <w:t>(4)固体废物：项目主要产生的固体废物分为施工人员的生活垃 圾、建筑垃圾及装修固废</w:t>
            </w:r>
            <w:r>
              <w:t>。</w:t>
            </w:r>
            <w:r>
              <w:rPr>
                <w:sz w:val="24"/>
              </w:rPr>
              <w:t>产生的建筑垃圾分类收集，不能回收利用的运至政府制定堆 场；生活垃圾经收集后交由环卫部门统一清运处理；装修期间产生废油漆桶、废 涂料桶等，经过收集后交由厂家回收利用或有资质的单位处理。</w:t>
            </w:r>
          </w:p>
          <w:p>
            <w:pPr>
              <w:spacing w:line="360" w:lineRule="auto"/>
              <w:ind w:firstLine="482"/>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sz w:val="24"/>
              </w:rPr>
            </w:pPr>
            <w:r>
              <w:rPr>
                <w:rFonts w:hint="eastAsia" w:ascii="Times New Roman" w:hAnsi="Times New Roman" w:cs="Times New Roman"/>
                <w:b/>
                <w:sz w:val="24"/>
              </w:rPr>
              <w:t>7、营运期环境影响及防治措施</w:t>
            </w:r>
          </w:p>
          <w:p>
            <w:pPr>
              <w:spacing w:line="348" w:lineRule="auto"/>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(1)废水：项目采取雨污分流制。屋面雨水经落水管流至地面，与地面雨水汇 集到排雨水管沟(400mm*200mm，地面坡度为0.4%)</w:t>
            </w:r>
            <w:r>
              <w:t>，排出站外</w:t>
            </w:r>
            <w:r>
              <w:rPr>
                <w:rFonts w:hint="eastAsia"/>
              </w:rPr>
              <w:t>；</w:t>
            </w:r>
            <w:r>
              <w:rPr>
                <w:sz w:val="24"/>
              </w:rPr>
              <w:t>场地冲洗水经隔油池预处理与其他生活污水一并进入三级生化池处理达《污水综合排放标准标准》(GB8978-1996)中三级标准后，排到荔波县三荔高速荔波服务东区污水处理站处理达到《城镇 污水处理厂污染物排放标准》(GB18918-2002)一级 B 标准后，回用于绿化或农灌， 不外排。 项目地下水采取分区防治措施后对地下水基本无影响。</w:t>
            </w:r>
          </w:p>
          <w:p>
            <w:pPr>
              <w:spacing w:line="348" w:lineRule="auto"/>
              <w:rPr>
                <w:sz w:val="24"/>
              </w:rPr>
            </w:pPr>
            <w:r>
              <w:rPr>
                <w:sz w:val="24"/>
              </w:rPr>
              <w:t xml:space="preserve">     (2)废气：项目运行期大气污染物主要为卸油、储存、加油过程中挥发的有机废气；汽车尾气、扬尘</w:t>
            </w:r>
            <w:r>
              <w:t>。</w:t>
            </w:r>
            <w:r>
              <w:rPr>
                <w:sz w:val="24"/>
              </w:rPr>
              <w:t>设置</w:t>
            </w:r>
            <w:r>
              <w:rPr>
                <w:rFonts w:hint="eastAsia"/>
                <w:sz w:val="24"/>
              </w:rPr>
              <w:t>一、二次</w:t>
            </w:r>
            <w:r>
              <w:rPr>
                <w:sz w:val="24"/>
              </w:rPr>
              <w:t>油气回收装置</w:t>
            </w:r>
            <w:r>
              <w:rPr>
                <w:rFonts w:hint="eastAsia"/>
                <w:sz w:val="24"/>
              </w:rPr>
              <w:t>后</w:t>
            </w:r>
            <w:r>
              <w:rPr>
                <w:sz w:val="24"/>
              </w:rPr>
              <w:t>非甲烷总烃排放量较小，无组织排放监控浓度限值周接外最高浓度点：非甲烷总烃≤4.0mg/m</w:t>
            </w:r>
            <w:r>
              <w:rPr>
                <w:sz w:val="24"/>
                <w:vertAlign w:val="superscript"/>
              </w:rPr>
              <w:t>3</w:t>
            </w:r>
            <w:r>
              <w:rPr>
                <w:sz w:val="24"/>
              </w:rPr>
              <w:t xml:space="preserve">。因为车辆在站内行程较短，排放量较小，对环境影响不大。项目备用发电机仅在停电时作为备用电源，运行时间有限， 对环境影响甚微。 </w:t>
            </w:r>
          </w:p>
          <w:p>
            <w:pPr>
              <w:spacing w:line="348" w:lineRule="auto"/>
              <w:ind w:firstLine="480" w:firstLineChars="200"/>
              <w:rPr>
                <w:sz w:val="24"/>
              </w:rPr>
            </w:pPr>
            <w:r>
              <w:rPr>
                <w:sz w:val="24"/>
              </w:rPr>
              <w:t>(3)噪声：主要来源于项目区内来往的机动车产生的噪声和加油泵、备用柴油发电机等设备运行时产生的噪声及加油车辆噪声</w:t>
            </w:r>
            <w:r>
              <w:t>。</w:t>
            </w:r>
            <w:r>
              <w:rPr>
                <w:sz w:val="24"/>
              </w:rPr>
              <w:t>所有设备安装厂房内，对产噪设备首先选用低噪声设备，采取</w:t>
            </w:r>
            <w:r>
              <w:rPr>
                <w:rFonts w:hint="eastAsia"/>
                <w:sz w:val="24"/>
              </w:rPr>
              <w:t>基础减降噪</w:t>
            </w:r>
            <w:r>
              <w:rPr>
                <w:sz w:val="24"/>
              </w:rPr>
              <w:t>、</w:t>
            </w:r>
            <w:r>
              <w:rPr>
                <w:rFonts w:hint="eastAsia"/>
                <w:sz w:val="24"/>
              </w:rPr>
              <w:t>吸声</w:t>
            </w:r>
            <w:r>
              <w:rPr>
                <w:sz w:val="24"/>
              </w:rPr>
              <w:t xml:space="preserve">、消声、绿化、距离衰减措施降低对周边环境影响；对进出车辆进行限速，禁止鸣笛等措施后，噪声对环境的影响可接受。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项目存在的环境风险主要是加油站可能发生的泄漏、爆炸、火灾等，主要起因是管线及储油罐缺陷、焊缝开裂、基础工程不合格、管道腐蚀、违规操作、自然灾害等。如上述事故发生，则会破坏建筑物、危及人身安全、污染周围环境等后果。因此必须在实施过程中加强环境风险管理，落实报告表中提出的风险防范措施，杜绝环境风险事故的发生。</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综上所述，</w:t>
            </w:r>
            <w:r>
              <w:rPr>
                <w:sz w:val="24"/>
              </w:rPr>
              <w:t>中海油贵州销售有限公司三荔高速</w:t>
            </w:r>
            <w:r>
              <w:rPr>
                <w:rFonts w:hint="eastAsia"/>
                <w:sz w:val="24"/>
              </w:rPr>
              <w:t>荔波东</w:t>
            </w:r>
            <w:r>
              <w:rPr>
                <w:sz w:val="24"/>
              </w:rPr>
              <w:t>加油站建设项目建设符合当地城镇建设总体规划及相关产业政策。项目在建设及生产过程中产生一定程度的污水、废气、噪声及固体废物的污染，在建设单位严格要求按照</w:t>
            </w:r>
            <w:r>
              <w:rPr>
                <w:rFonts w:hint="eastAsia"/>
                <w:sz w:val="24"/>
              </w:rPr>
              <w:t>环评</w:t>
            </w:r>
            <w:r>
              <w:rPr>
                <w:sz w:val="24"/>
              </w:rPr>
              <w:t>报告表提出的各项规定，切实落实各项污染防治措施后，项目对周围环境的影响可以控制在国家有关标准和要求的允许范围内。从环保的角度分析，本项目建设可行。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1）对油气的运输贮存、输送设备应加强管理与维护，杜绝出现各有关设备跑、冒、漏现象和人为导致的安全事故。对可能产生泄漏的贮油设备，应加建防泄漏设施和油品收集设施，在万一发生泄漏的情况下，不致油品向外排放造成环境污染事故。事故发生后必须及时通知安全、消防、环保部门，共同防止安全和污染事故事态的扩大。</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（2）加油区和油气贮存区禁止明火、禁止使用易产生火花的设备与工具，所有照明、通风、空调等设施及其它用电设施均采用防爆型装置。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（3）定期对操作人员进行安全生产与知识培训，并制定严格的操作规程，切实加强油气贮存、输送生产过程中的安全控制，保证生产安全、防止意外事故发生。</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（4）在营运期，项目应设置卸油及加油油气回收系统，以减少非甲烷总烃排放量。</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（5）加强环保治理设施的管理，确保设施的处理效果与运行率不低于设计标准。</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（6）对储油系统及管道定期进行检查和维护，定期检查加油机内各油管、油泵及流量计是否有渗漏情况发生，并在火灾危险场所设置报警装置。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（7）建设项目按要求落实消防措施，保证消防道路基消防水源的贮备，并按照《建筑灭火器配置设计规范》（GBJ140-90）的规定，配置相应类型与数量的灭火器。</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（8）严格落实油罐、加油机的位置与周边建筑物的距离，确保达到《汽车加油加气站设计与施工规范》（GB50156－2012）的要求。加油站正式运行前必须通过安全、消防等部门的验收。</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9）按照油品质量管理要求，必须在规定的时间内委托专业清罐废水处理公司对油罐进行清罐，对清罐清出的油水混合物进行沉淀回收，对无法回收的合格油品及沉淀物，必需统一放置到规定的容器内妥善保管，然后交由具有危险废物处置资质的单位进行处置。</w:t>
            </w:r>
          </w:p>
          <w:p>
            <w:pPr>
              <w:ind w:firstLine="420" w:firstLineChars="200"/>
              <w:rPr>
                <w:sz w:val="24"/>
              </w:rPr>
            </w:pPr>
            <w:r>
              <w:rPr>
                <w:rFonts w:hint="eastAsia"/>
              </w:rPr>
              <w:t>（</w:t>
            </w:r>
            <w:r>
              <w:rPr>
                <w:rFonts w:hint="eastAsia"/>
                <w:sz w:val="24"/>
              </w:rPr>
              <w:t>10）</w:t>
            </w:r>
            <w:r>
              <w:rPr>
                <w:sz w:val="24"/>
              </w:rPr>
              <w:t>本次评价结论是根据建设单位提供资料、规模，设计方案等基础资料上进行</w:t>
            </w:r>
          </w:p>
          <w:p>
            <w:pPr>
              <w:rPr>
                <w:sz w:val="24"/>
              </w:rPr>
            </w:pPr>
          </w:p>
          <w:p>
            <w:pPr>
              <w:rPr>
                <w:sz w:val="24"/>
              </w:rPr>
            </w:pPr>
            <w:r>
              <w:rPr>
                <w:sz w:val="24"/>
              </w:rPr>
              <w:t>的，如果建设规模、建设内容等有重大变化，应根据环保部门的要求另行申 报。</w:t>
            </w:r>
          </w:p>
          <w:p>
            <w:pPr>
              <w:ind w:firstLine="480" w:firstLineChars="200"/>
              <w:rPr>
                <w:sz w:val="24"/>
              </w:rPr>
            </w:pPr>
          </w:p>
          <w:p>
            <w:pPr>
              <w:ind w:firstLine="480" w:firstLineChars="200"/>
              <w:rPr>
                <w:sz w:val="24"/>
              </w:rPr>
            </w:pPr>
            <w:r>
              <w:rPr>
                <w:rFonts w:hint="eastAsia"/>
                <w:sz w:val="24"/>
              </w:rPr>
              <w:t>（11）</w:t>
            </w:r>
            <w:r>
              <w:rPr>
                <w:sz w:val="24"/>
              </w:rPr>
              <w:t>项目建成营运后，加强管理，从源头抓起，确保环保设施正常运行确保 各</w:t>
            </w:r>
          </w:p>
          <w:p>
            <w:pPr>
              <w:rPr>
                <w:sz w:val="24"/>
              </w:rPr>
            </w:pPr>
          </w:p>
          <w:p>
            <w:pPr>
              <w:rPr>
                <w:sz w:val="24"/>
              </w:rPr>
            </w:pPr>
            <w:r>
              <w:rPr>
                <w:sz w:val="24"/>
              </w:rPr>
              <w:t>污染物达标排放。</w:t>
            </w:r>
          </w:p>
          <w:p>
            <w:pPr>
              <w:rPr>
                <w:sz w:val="24"/>
              </w:rPr>
            </w:pPr>
            <w:r>
              <w:rPr>
                <w:sz w:val="24"/>
              </w:rPr>
              <w:t xml:space="preserve">    </w:t>
            </w:r>
          </w:p>
          <w:p>
            <w:pPr>
              <w:ind w:firstLine="480" w:firstLineChars="200"/>
              <w:rPr>
                <w:sz w:val="24"/>
              </w:rPr>
            </w:pPr>
            <w:r>
              <w:rPr>
                <w:rFonts w:hint="eastAsia"/>
                <w:sz w:val="24"/>
              </w:rPr>
              <w:t>（12）</w:t>
            </w:r>
            <w:r>
              <w:rPr>
                <w:sz w:val="24"/>
              </w:rPr>
              <w:t>重视和加强对企业内部环境保护工作的督导，把各项规章制度和环保考 核</w:t>
            </w:r>
          </w:p>
          <w:p>
            <w:pPr>
              <w:ind w:firstLine="480" w:firstLineChars="200"/>
              <w:rPr>
                <w:sz w:val="24"/>
              </w:rPr>
            </w:pPr>
          </w:p>
          <w:p>
            <w:pPr>
              <w:rPr>
                <w:sz w:val="24"/>
              </w:rPr>
            </w:pPr>
            <w:r>
              <w:rPr>
                <w:sz w:val="24"/>
              </w:rPr>
              <w:t>定量指标落到实处，落实好运营期的各项污染防治措施，确保污染物达标排放</w:t>
            </w:r>
            <w:r>
              <w:rPr>
                <w:rFonts w:hint="eastAsia"/>
                <w:sz w:val="24"/>
              </w:rPr>
              <w:t>。</w:t>
            </w:r>
          </w:p>
          <w:p>
            <w:pPr>
              <w:rPr>
                <w:sz w:val="24"/>
              </w:rPr>
            </w:pPr>
          </w:p>
          <w:p>
            <w:pPr>
              <w:rPr>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19"/>
              <w:ind w:firstLine="0" w:firstLineChars="0"/>
              <w:jc w:val="both"/>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drawing>
                <wp:anchor distT="0" distB="0" distL="114300" distR="114300" simplePos="0" relativeHeight="251656192" behindDoc="0" locked="0" layoutInCell="1" allowOverlap="1">
                  <wp:simplePos x="0" y="0"/>
                  <wp:positionH relativeFrom="column">
                    <wp:posOffset>87630</wp:posOffset>
                  </wp:positionH>
                  <wp:positionV relativeFrom="paragraph">
                    <wp:posOffset>384810</wp:posOffset>
                  </wp:positionV>
                  <wp:extent cx="5574030" cy="78803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74030" cy="7880350"/>
                          </a:xfrm>
                          <a:prstGeom prst="rect">
                            <a:avLst/>
                          </a:prstGeom>
                          <a:noFill/>
                        </pic:spPr>
                      </pic:pic>
                    </a:graphicData>
                  </a:graphic>
                </wp:anchor>
              </w:drawing>
            </w: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19"/>
              <w:ind w:firstLine="480"/>
              <w:jc w:val="both"/>
            </w:pPr>
            <w:r>
              <w:rPr>
                <w:rFonts w:hint="eastAsia"/>
              </w:rPr>
              <w:t xml:space="preserve"> </w:t>
            </w:r>
          </w:p>
          <w:p>
            <w:pPr>
              <w:pStyle w:val="19"/>
              <w:ind w:firstLine="0" w:firstLineChars="0"/>
              <w:jc w:val="both"/>
            </w:pPr>
          </w:p>
          <w:p>
            <w:pPr>
              <w:pStyle w:val="19"/>
              <w:ind w:firstLine="480"/>
              <w:jc w:val="both"/>
            </w:pPr>
            <w:r>
              <w:rPr>
                <w:rFonts w:ascii="宋体" w:hAnsi="宋体" w:cs="宋体"/>
              </w:rPr>
              <w:drawing>
                <wp:anchor distT="0" distB="0" distL="114300" distR="114300" simplePos="0" relativeHeight="251654144" behindDoc="0" locked="0" layoutInCell="1" allowOverlap="1">
                  <wp:simplePos x="0" y="0"/>
                  <wp:positionH relativeFrom="column">
                    <wp:posOffset>841375</wp:posOffset>
                  </wp:positionH>
                  <wp:positionV relativeFrom="paragraph">
                    <wp:posOffset>200025</wp:posOffset>
                  </wp:positionV>
                  <wp:extent cx="4196080" cy="6373495"/>
                  <wp:effectExtent l="0" t="0" r="0" b="0"/>
                  <wp:wrapThrough wrapText="bothSides">
                    <wp:wrapPolygon>
                      <wp:start x="0" y="0"/>
                      <wp:lineTo x="0" y="21563"/>
                      <wp:lineTo x="21476" y="21563"/>
                      <wp:lineTo x="21476" y="0"/>
                      <wp:lineTo x="0"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196080" cy="6373495"/>
                          </a:xfrm>
                          <a:prstGeom prst="rect">
                            <a:avLst/>
                          </a:prstGeom>
                          <a:noFill/>
                          <a:ln>
                            <a:noFill/>
                          </a:ln>
                        </pic:spPr>
                      </pic:pic>
                    </a:graphicData>
                  </a:graphic>
                </wp:anchor>
              </w:drawing>
            </w:r>
          </w:p>
          <w:p>
            <w:pPr>
              <w:pStyle w:val="19"/>
              <w:ind w:firstLine="480"/>
              <w:jc w:val="both"/>
            </w:pPr>
          </w:p>
          <w:p>
            <w:pPr>
              <w:widowControl/>
              <w:jc w:val="left"/>
              <w:rPr>
                <w:rFonts w:ascii="宋体" w:hAnsi="宋体" w:eastAsia="宋体" w:cs="宋体"/>
                <w:kern w:val="0"/>
                <w:sz w:val="24"/>
              </w:rPr>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5" w:name="_Toc22230"/>
      <w:r>
        <w:rPr>
          <w:rFonts w:ascii="Times New Roman" w:hAnsi="Times New Roman" w:cs="Times New Roman"/>
          <w:b/>
          <w:sz w:val="28"/>
          <w:szCs w:val="28"/>
        </w:rPr>
        <w:t>表四  验收监测标准</w:t>
      </w:r>
      <w:bookmarkEnd w:id="15"/>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6"/>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w:t>
                  </w:r>
                  <w:r>
                    <w:rPr>
                      <w:rFonts w:ascii="Times New Roman" w:hAnsi="Times New Roman" w:cs="Times New Roman"/>
                      <w:bCs/>
                      <w:szCs w:val="21"/>
                    </w:rPr>
                    <w:t>类区标准</w:t>
                  </w:r>
                  <w:r>
                    <w:rPr>
                      <w:rFonts w:hint="eastAsia" w:ascii="Times New Roman" w:hAnsi="Times New Roman" w:cs="Times New Roman"/>
                      <w:bCs/>
                      <w:szCs w:val="21"/>
                    </w:rPr>
                    <w:t>；4a</w:t>
                  </w:r>
                  <w:r>
                    <w:rPr>
                      <w:rFonts w:ascii="Times New Roman" w:hAnsi="Times New Roman" w:cs="Times New Roman"/>
                      <w:bCs/>
                      <w:szCs w:val="21"/>
                    </w:rPr>
                    <w:t xml:space="preserve"> </w:t>
                  </w:r>
                  <w:r>
                    <w:rPr>
                      <w:rFonts w:hint="eastAsia" w:ascii="Times New Roman" w:hAnsi="Times New Roman" w:cs="Times New Roman"/>
                      <w:bCs/>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《污水综合排放标准》</w:t>
                  </w:r>
                  <w:r>
                    <w:rPr>
                      <w:rFonts w:hint="eastAsia"/>
                    </w:rPr>
                    <w:t xml:space="preserve"> </w:t>
                  </w:r>
                  <w:r>
                    <w:t>(GB8978-1996) 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w:t>
                  </w:r>
                  <w:r>
                    <w:rPr>
                      <w:rFonts w:ascii="Times New Roman" w:hAnsi="Times New Roman" w:cs="Times New Roman"/>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6" w:name="_Toc22536"/>
      <w:bookmarkStart w:id="17"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6"/>
      <w:bookmarkEnd w:id="17"/>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8" w:name="_Toc3687"/>
            <w:r>
              <w:rPr>
                <w:rFonts w:ascii="Times New Roman" w:hAnsi="Times New Roman" w:cs="Times New Roman"/>
                <w:b/>
                <w:sz w:val="28"/>
                <w:szCs w:val="28"/>
              </w:rPr>
              <w:t>5.1</w:t>
            </w:r>
            <w:bookmarkStart w:id="19" w:name="_Toc352244157"/>
            <w:bookmarkStart w:id="20" w:name="_Toc338170898"/>
            <w:bookmarkStart w:id="21" w:name="_Toc338171815"/>
            <w:bookmarkStart w:id="22" w:name="_Toc346805210"/>
            <w:r>
              <w:rPr>
                <w:rFonts w:ascii="Times New Roman" w:hAnsi="Times New Roman" w:eastAsia="宋体" w:cs="Times New Roman"/>
                <w:b/>
                <w:bCs/>
                <w:sz w:val="28"/>
                <w:szCs w:val="28"/>
              </w:rPr>
              <w:t>监测质量保证</w:t>
            </w:r>
            <w:bookmarkEnd w:id="19"/>
            <w:bookmarkEnd w:id="20"/>
            <w:bookmarkEnd w:id="21"/>
            <w:bookmarkEnd w:id="22"/>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保证数据的合理、有效</w:t>
            </w:r>
            <w:r>
              <w:rPr>
                <w:rFonts w:ascii="Times New Roman" w:hAnsi="Times New Roman" w:eastAsia="宋体" w:cs="Times New Roman"/>
                <w:sz w:val="24"/>
              </w:rPr>
              <w:t>。</w:t>
            </w:r>
            <w:bookmarkEnd w:id="18"/>
          </w:p>
        </w:tc>
      </w:tr>
    </w:tbl>
    <w:p>
      <w:pPr>
        <w:rPr>
          <w:rFonts w:ascii="Times New Roman" w:hAnsi="Times New Roman" w:cs="Times New Roman"/>
        </w:rPr>
      </w:pPr>
    </w:p>
    <w:p>
      <w:pPr>
        <w:pStyle w:val="2"/>
        <w:rPr>
          <w:rFonts w:ascii="Times New Roman" w:hAnsi="Times New Roman"/>
        </w:rPr>
      </w:pPr>
      <w:bookmarkStart w:id="23" w:name="_Toc8246"/>
      <w:bookmarkStart w:id="24" w:name="_Toc10699"/>
      <w:r>
        <w:rPr>
          <w:rFonts w:ascii="Times New Roman" w:hAnsi="Times New Roman"/>
        </w:rPr>
        <w:t>表六  验收监测内容</w:t>
      </w:r>
      <w:bookmarkEnd w:id="23"/>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pStyle w:val="3"/>
              <w:outlineLvl w:val="1"/>
              <w:rPr>
                <w:rFonts w:ascii="Times New Roman" w:hAnsi="Times New Roman" w:eastAsia="宋体"/>
              </w:rPr>
            </w:pPr>
            <w:bookmarkStart w:id="25" w:name="_Toc23272"/>
            <w:bookmarkStart w:id="26" w:name="_Toc9364"/>
            <w:bookmarkStart w:id="27" w:name="_Toc29098"/>
            <w:bookmarkStart w:id="28" w:name="_Toc32648"/>
            <w:bookmarkStart w:id="29" w:name="_Toc32652"/>
            <w:bookmarkStart w:id="30" w:name="_Toc7635"/>
            <w:bookmarkStart w:id="31" w:name="_Toc8191"/>
            <w:bookmarkStart w:id="32" w:name="_Toc3050"/>
            <w:bookmarkStart w:id="33" w:name="_Toc20884"/>
            <w:bookmarkStart w:id="34" w:name="_Toc1076"/>
            <w:bookmarkStart w:id="35" w:name="_Toc6960"/>
            <w:bookmarkStart w:id="36" w:name="_Toc12471"/>
            <w:r>
              <w:rPr>
                <w:rFonts w:ascii="Times New Roman" w:hAnsi="Times New Roman"/>
              </w:rPr>
              <w:t>6</w:t>
            </w:r>
            <w:r>
              <w:rPr>
                <w:rFonts w:ascii="Times New Roman" w:hAnsi="Times New Roman" w:eastAsia="宋体"/>
              </w:rPr>
              <w:t>.1 环境保护设施调试效果</w:t>
            </w:r>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通过对各类污染物达标排放及各类污染治理设施去除效率的监测，来说明环境保护设施调试效果，具体监测内容如下：</w:t>
            </w:r>
          </w:p>
          <w:p>
            <w:pPr>
              <w:spacing w:line="360" w:lineRule="auto"/>
              <w:rPr>
                <w:rFonts w:ascii="Times New Roman" w:hAnsi="Times New Roman" w:cs="Times New Roman"/>
                <w:b/>
                <w:bCs/>
                <w:sz w:val="24"/>
              </w:rPr>
            </w:pPr>
            <w:bookmarkStart w:id="37" w:name="_Toc21542"/>
            <w:bookmarkStart w:id="38" w:name="_Toc9704"/>
            <w:bookmarkStart w:id="39" w:name="_Toc23731"/>
            <w:bookmarkStart w:id="40"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19"/>
              <w:ind w:firstLine="480"/>
              <w:jc w:val="both"/>
            </w:pPr>
            <w:r>
              <w:rPr>
                <w:rFonts w:hint="eastAsia"/>
              </w:rPr>
              <w:t>本项目产生的生活生产废水经简单处理后进行储存，到一定量后联系相关单位运输至污水处理单位处理，不对外排放。单位证明见附件3.</w:t>
            </w: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7"/>
            <w:bookmarkEnd w:id="38"/>
            <w:bookmarkEnd w:id="39"/>
            <w:bookmarkEnd w:id="40"/>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1</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cs="Times New Roman"/>
                <w:b/>
                <w:sz w:val="24"/>
              </w:rPr>
              <w:t>1</w:t>
            </w:r>
            <w:r>
              <w:rPr>
                <w:rFonts w:ascii="Times New Roman" w:hAnsi="Times New Roman" w:eastAsia="宋体" w:cs="Times New Roman"/>
                <w:b/>
                <w:sz w:val="24"/>
              </w:rPr>
              <w:t>无组织废气监测点位和监测项目</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w:t>
                  </w:r>
                  <w:r>
                    <w:rPr>
                      <w:rFonts w:hint="eastAsia" w:ascii="Times New Roman" w:hAnsi="Times New Roman" w:eastAsia="宋体" w:cs="Times New Roman"/>
                      <w:szCs w:val="21"/>
                    </w:rPr>
                    <w:t>监测</w:t>
                  </w:r>
                  <w:r>
                    <w:rPr>
                      <w:rFonts w:ascii="Times New Roman" w:hAnsi="Times New Roman" w:eastAsia="宋体" w:cs="Times New Roman"/>
                      <w:szCs w:val="21"/>
                    </w:rPr>
                    <w:t>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cs="Times New Roman"/>
                <w:bCs/>
                <w:sz w:val="24"/>
              </w:rPr>
              <w:t>2</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cs="Times New Roman"/>
                <w:b/>
                <w:sz w:val="24"/>
              </w:rPr>
              <w:t>2</w:t>
            </w:r>
            <w:r>
              <w:rPr>
                <w:rFonts w:ascii="Times New Roman" w:hAnsi="Times New Roman" w:eastAsia="宋体" w:cs="Times New Roman"/>
                <w:b/>
                <w:sz w:val="24"/>
              </w:rPr>
              <w:t>废气监测分析方法</w:t>
            </w:r>
          </w:p>
          <w:tbl>
            <w:tblPr>
              <w:tblStyle w:val="16"/>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w:t>
                  </w:r>
                  <w:r>
                    <w:rPr>
                      <w:rFonts w:hint="eastAsia" w:ascii="Times New Roman" w:hAnsi="Times New Roman" w:eastAsia="宋体" w:cs="Times New Roman"/>
                      <w:szCs w:val="21"/>
                    </w:rPr>
                    <w:t xml:space="preserve"> </w:t>
                  </w:r>
                  <w:r>
                    <w:rPr>
                      <w:rFonts w:ascii="Times New Roman" w:hAnsi="Times New Roman" w:eastAsia="宋体" w:cs="Times New Roman"/>
                      <w:szCs w:val="21"/>
                    </w:rPr>
                    <w:t>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41" w:name="_Toc20647"/>
            <w:bookmarkStart w:id="42" w:name="_Toc30098"/>
            <w:bookmarkStart w:id="43" w:name="_Toc13649"/>
            <w:bookmarkStart w:id="44" w:name="_Toc22872"/>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噪声</w:t>
            </w:r>
            <w:bookmarkEnd w:id="41"/>
            <w:bookmarkEnd w:id="42"/>
            <w:bookmarkEnd w:id="43"/>
            <w:bookmarkEnd w:id="44"/>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3  </w:t>
            </w:r>
            <w:r>
              <w:rPr>
                <w:rFonts w:ascii="Times New Roman" w:hAnsi="Times New Roman" w:eastAsia="宋体" w:cs="Times New Roman"/>
                <w:b/>
                <w:sz w:val="24"/>
              </w:rPr>
              <w:t xml:space="preserve"> 噪声监测点位和监测项目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5"/>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4</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4</w:t>
            </w:r>
            <w:r>
              <w:rPr>
                <w:rFonts w:ascii="Times New Roman" w:hAnsi="Times New Roman" w:eastAsia="宋体" w:cs="Times New Roman"/>
                <w:b/>
                <w:sz w:val="24"/>
              </w:rPr>
              <w:t xml:space="preserve">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095-02</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6.1.3油汽回收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本次油汽回收对加油站油汽系统进行监测；监测点位和监测项目见表6-5；</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5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14</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p>
          <w:p>
            <w:pPr>
              <w:spacing w:line="360" w:lineRule="auto"/>
              <w:ind w:firstLine="480"/>
              <w:rPr>
                <w:rFonts w:ascii="Times New Roman" w:hAnsi="Times New Roman" w:cs="Times New Roman"/>
                <w:bCs/>
                <w:sz w:val="24"/>
              </w:rPr>
            </w:pP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6 油汽回收</w:t>
            </w:r>
            <w:r>
              <w:rPr>
                <w:rFonts w:ascii="Times New Roman" w:hAnsi="Times New Roman" w:eastAsia="宋体" w:cs="Times New Roman"/>
                <w:b/>
                <w:sz w:val="24"/>
              </w:rPr>
              <w:t>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Merge w:val="restart"/>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Merge w:val="continue"/>
                  <w:vAlign w:val="center"/>
                </w:tcPr>
                <w:p>
                  <w:pPr>
                    <w:rPr>
                      <w:rFonts w:ascii="Times New Roman" w:hAnsi="Times New Roman" w:eastAsia="宋体" w:cs="Times New Roman"/>
                      <w:szCs w:val="21"/>
                    </w:rPr>
                  </w:pP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Merge w:val="continue"/>
                  <w:vAlign w:val="center"/>
                </w:tcPr>
                <w:p>
                  <w:pPr>
                    <w:rPr>
                      <w:rFonts w:ascii="Times New Roman" w:hAnsi="Times New Roman" w:eastAsia="宋体" w:cs="Times New Roman"/>
                      <w:szCs w:val="21"/>
                    </w:rPr>
                  </w:pP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cs="Times New Roman"/>
                <w:b/>
                <w:sz w:val="24"/>
              </w:rPr>
              <w:t>4</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eastAsia="宋体" w:cs="Times New Roman"/>
                <w:b/>
                <w:bCs/>
                <w:sz w:val="24"/>
              </w:rPr>
            </w:pPr>
            <w:r>
              <w:rPr>
                <w:rFonts w:ascii="Times New Roman" w:hAnsi="Times New Roman" w:cs="Times New Roman"/>
                <w:b/>
                <w:bCs/>
                <w:sz w:val="24"/>
              </w:rPr>
              <w:t>6</w:t>
            </w:r>
            <w:r>
              <w:rPr>
                <w:rFonts w:ascii="Times New Roman" w:hAnsi="Times New Roman" w:eastAsia="宋体" w:cs="Times New Roman"/>
                <w:b/>
                <w:bCs/>
                <w:sz w:val="24"/>
              </w:rPr>
              <w:t>.1.</w:t>
            </w:r>
            <w:r>
              <w:rPr>
                <w:rFonts w:ascii="Times New Roman" w:hAnsi="Times New Roman" w:cs="Times New Roman"/>
                <w:b/>
                <w:bCs/>
                <w:sz w:val="24"/>
              </w:rPr>
              <w:t>4</w:t>
            </w:r>
            <w:r>
              <w:rPr>
                <w:rFonts w:ascii="Times New Roman" w:hAnsi="Times New Roman" w:eastAsia="宋体" w:cs="Times New Roman"/>
                <w:b/>
                <w:bCs/>
                <w:sz w:val="24"/>
              </w:rPr>
              <w:t>监测布点图及现场监测图</w:t>
            </w:r>
          </w:p>
          <w:p>
            <w:pPr>
              <w:spacing w:line="360" w:lineRule="auto"/>
              <w:jc w:val="center"/>
            </w:pPr>
            <w:r>
              <w:pict>
                <v:rect id="_x0000_s1084" o:spid="_x0000_s1084" o:spt="1" style="position:absolute;left:0pt;margin-left:383.8pt;margin-top:139.85pt;height:24.6pt;width:48.6pt;z-index:251662336;mso-width-relative:page;mso-height-relative:page;" stroked="t" coordsize="21600,21600">
                  <v:path/>
                  <v:fill focussize="0,0"/>
                  <v:stroke color="#FFFFFF"/>
                  <v:imagedata o:title=""/>
                  <o:lock v:ext="edit"/>
                  <v:textbox>
                    <w:txbxContent>
                      <w:p>
                        <w:pPr>
                          <w:rPr>
                            <w:color w:val="FFFFFF" w:themeColor="background1"/>
                          </w:rPr>
                        </w:pPr>
                      </w:p>
                    </w:txbxContent>
                  </v:textbox>
                </v:rect>
              </w:pict>
            </w:r>
            <w:r>
              <w:rPr>
                <w:rFonts w:hint="eastAsia"/>
              </w:rPr>
              <w:drawing>
                <wp:inline distT="0" distB="0" distL="0" distR="0">
                  <wp:extent cx="5756910" cy="326771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3" cstate="print"/>
                          <a:srcRect/>
                          <a:stretch>
                            <a:fillRect/>
                          </a:stretch>
                        </pic:blipFill>
                        <pic:spPr>
                          <a:xfrm>
                            <a:off x="0" y="0"/>
                            <a:ext cx="5756910" cy="3267710"/>
                          </a:xfrm>
                          <a:prstGeom prst="rect">
                            <a:avLst/>
                          </a:prstGeom>
                          <a:noFill/>
                          <a:ln w="9525">
                            <a:noFill/>
                            <a:miter lim="800000"/>
                            <a:headEnd/>
                            <a:tailEnd/>
                          </a:ln>
                        </pic:spPr>
                      </pic:pic>
                    </a:graphicData>
                  </a:graphic>
                </wp:inline>
              </w:drawing>
            </w: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rPr>
            </w:pPr>
            <w:r>
              <w:rPr>
                <w:rFonts w:ascii="Times New Roman" w:hAnsi="Times New Roman" w:cs="Times New Roman"/>
                <w:b/>
                <w:bCs/>
                <w:sz w:val="24"/>
              </w:rPr>
              <w:t>图6-1 监测布点图</w:t>
            </w:r>
            <w:bookmarkStart w:id="45" w:name="_Toc30705"/>
            <w:bookmarkStart w:id="46" w:name="_Toc17845"/>
            <w:bookmarkStart w:id="47" w:name="_Toc24325"/>
            <w:bookmarkStart w:id="48" w:name="_Toc20816"/>
            <w:r>
              <w:rPr>
                <w:rFonts w:ascii="Times New Roman" w:hAnsi="Times New Roman" w:cs="Times New Roman"/>
                <w:b/>
                <w:sz w:val="24"/>
              </w:rPr>
              <w:t xml:space="preserve">   </w:t>
            </w:r>
            <w:bookmarkEnd w:id="45"/>
            <w:bookmarkEnd w:id="46"/>
            <w:bookmarkEnd w:id="47"/>
            <w:bookmarkEnd w:id="48"/>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9" w:name="_Toc9058"/>
      <w:bookmarkStart w:id="50" w:name="_Toc18169"/>
      <w:r>
        <w:rPr>
          <w:rFonts w:ascii="Times New Roman" w:hAnsi="Times New Roman" w:cs="Times New Roman"/>
          <w:b/>
          <w:sz w:val="28"/>
          <w:szCs w:val="28"/>
        </w:rPr>
        <w:t xml:space="preserve">表七  </w:t>
      </w:r>
      <w:bookmarkEnd w:id="24"/>
      <w:bookmarkEnd w:id="49"/>
      <w:r>
        <w:rPr>
          <w:rFonts w:ascii="Times New Roman" w:hAnsi="Times New Roman" w:cs="Times New Roman"/>
          <w:b/>
          <w:sz w:val="28"/>
          <w:szCs w:val="28"/>
        </w:rPr>
        <w:t>验收监测结果</w:t>
      </w:r>
      <w:bookmarkEnd w:id="5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2020年04月</w:t>
            </w:r>
            <w:r>
              <w:rPr>
                <w:rFonts w:ascii="Times New Roman" w:hAnsi="Times New Roman" w:cs="Times New Roman"/>
                <w:kern w:val="0"/>
                <w:sz w:val="24"/>
              </w:rPr>
              <w:t>14</w:t>
            </w:r>
            <w:r>
              <w:rPr>
                <w:rFonts w:hint="eastAsia" w:ascii="Times New Roman" w:hAnsi="Times New Roman" w:cs="Times New Roman"/>
                <w:kern w:val="0"/>
                <w:sz w:val="24"/>
              </w:rPr>
              <w:t>日</w:t>
            </w:r>
            <w:r>
              <w:rPr>
                <w:rFonts w:ascii="Times New Roman" w:hAnsi="Times New Roman" w:cs="Times New Roman"/>
                <w:kern w:val="0"/>
                <w:sz w:val="24"/>
              </w:rPr>
              <w:t>至</w:t>
            </w:r>
            <w:r>
              <w:rPr>
                <w:rFonts w:hint="eastAsia" w:ascii="Times New Roman" w:hAnsi="Times New Roman" w:cs="Times New Roman"/>
                <w:kern w:val="0"/>
                <w:sz w:val="24"/>
              </w:rPr>
              <w:t>2020年04月</w:t>
            </w:r>
            <w:r>
              <w:rPr>
                <w:rFonts w:ascii="Times New Roman" w:hAnsi="Times New Roman" w:cs="Times New Roman"/>
                <w:kern w:val="0"/>
                <w:sz w:val="24"/>
              </w:rPr>
              <w:t>1</w:t>
            </w:r>
            <w:r>
              <w:rPr>
                <w:rFonts w:hint="eastAsia" w:ascii="Times New Roman" w:hAnsi="Times New Roman" w:cs="Times New Roman"/>
                <w:kern w:val="0"/>
                <w:sz w:val="24"/>
              </w:rPr>
              <w:t>7日</w:t>
            </w:r>
            <w:r>
              <w:rPr>
                <w:rFonts w:ascii="Times New Roman" w:hAnsi="Times New Roman" w:cs="Times New Roman"/>
                <w:kern w:val="0"/>
                <w:sz w:val="24"/>
              </w:rPr>
              <w:t>，</w:t>
            </w:r>
            <w:r>
              <w:rPr>
                <w:rFonts w:hint="eastAsia" w:ascii="Times New Roman" w:hAnsi="Times New Roman" w:cs="Times New Roman"/>
                <w:kern w:val="0"/>
                <w:sz w:val="24"/>
              </w:rPr>
              <w:t>2020年05月07日</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三都三荔高速三洞东加油站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hint="eastAsia" w:ascii="Times New Roman" w:hAnsi="Times New Roman" w:eastAsia="宋体" w:cs="Times New Roman"/>
                <w:b/>
                <w:bCs/>
                <w:sz w:val="24"/>
              </w:rPr>
              <w:t>1</w:t>
            </w:r>
            <w:r>
              <w:rPr>
                <w:rFonts w:ascii="Times New Roman" w:hAnsi="Times New Roman" w:eastAsia="宋体" w:cs="Times New Roman"/>
                <w:b/>
                <w:bCs/>
                <w:sz w:val="24"/>
              </w:rPr>
              <w:t>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1</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1</w:t>
            </w:r>
            <w:r>
              <w:rPr>
                <w:rFonts w:ascii="Times New Roman" w:hAnsi="Times New Roman" w:eastAsia="宋体" w:cs="Times New Roman"/>
                <w:b/>
                <w:bCs/>
                <w:sz w:val="24"/>
              </w:rPr>
              <w:t xml:space="preserve"> 无组织废气监测结果</w:t>
            </w:r>
          </w:p>
          <w:tbl>
            <w:tblPr>
              <w:tblStyle w:val="1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2.54</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2.41</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2.41</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2.54</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2.49</w:t>
                  </w:r>
                </w:p>
              </w:tc>
              <w:tc>
                <w:tcPr>
                  <w:tcW w:w="933"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2.38</w:t>
                  </w:r>
                </w:p>
              </w:tc>
              <w:tc>
                <w:tcPr>
                  <w:tcW w:w="933"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2.37</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2.49</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1.73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1.88</w:t>
                  </w:r>
                </w:p>
              </w:tc>
              <w:tc>
                <w:tcPr>
                  <w:tcW w:w="933" w:type="dxa"/>
                  <w:vAlign w:val="center"/>
                </w:tcPr>
                <w:p>
                  <w:pPr>
                    <w:rPr>
                      <w:rFonts w:ascii="Times New Roman" w:hAnsi="Times New Roman" w:cs="Times New Roman"/>
                      <w:szCs w:val="21"/>
                    </w:rPr>
                  </w:pPr>
                  <w:r>
                    <w:rPr>
                      <w:rFonts w:hint="eastAsia" w:ascii="Times New Roman" w:hAnsi="Times New Roman" w:cs="Times New Roman"/>
                      <w:szCs w:val="21"/>
                    </w:rPr>
                    <w:t>1.85</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1.88</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1.70</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1.84</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1.88</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1.88</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2.21</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2.84</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2.84</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2.65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2.82</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2.82</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2.87</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1.99</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2.87</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1.96</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2.01</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2.83</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51" w:name="_Toc32477"/>
            <w:bookmarkStart w:id="52" w:name="_Toc15557"/>
            <w:bookmarkStart w:id="53" w:name="_Toc20321"/>
            <w:bookmarkStart w:id="54" w:name="_Toc25309"/>
            <w:bookmarkStart w:id="55" w:name="_Toc9250"/>
            <w:bookmarkStart w:id="56" w:name="_Toc13103"/>
            <w:r>
              <w:rPr>
                <w:rFonts w:ascii="Times New Roman" w:hAnsi="Times New Roman" w:cs="Times New Roman"/>
                <w:b/>
                <w:sz w:val="24"/>
              </w:rPr>
              <w:t>7</w:t>
            </w:r>
            <w:r>
              <w:rPr>
                <w:rFonts w:ascii="Times New Roman" w:hAnsi="Times New Roman" w:eastAsia="宋体" w:cs="Times New Roman"/>
                <w:b/>
                <w:sz w:val="24"/>
              </w:rPr>
              <w:t>.2.</w:t>
            </w:r>
            <w:r>
              <w:rPr>
                <w:rFonts w:hint="eastAsia" w:ascii="Times New Roman" w:hAnsi="Times New Roman" w:cs="Times New Roman"/>
                <w:b/>
                <w:sz w:val="24"/>
              </w:rPr>
              <w:t>2</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51"/>
            <w:bookmarkEnd w:id="52"/>
            <w:bookmarkEnd w:id="53"/>
            <w:bookmarkEnd w:id="54"/>
            <w:bookmarkEnd w:id="55"/>
            <w:bookmarkEnd w:id="56"/>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噪声监测结果</w:t>
            </w:r>
          </w:p>
          <w:tbl>
            <w:tblPr>
              <w:tblStyle w:val="15"/>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52.9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52.2</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42.1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41.6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47.8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63.1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65.1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53.1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53.7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41.3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51.5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46.8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hint="eastAsia" w:ascii="Times New Roman" w:hAnsi="Times New Roman" w:cs="Times New Roman"/>
                <w:b/>
                <w:bCs/>
                <w:sz w:val="24"/>
              </w:rPr>
              <w:t>3</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rPr>
                <w:rFonts w:ascii="Times New Roman" w:hAnsi="Times New Roman" w:cs="Times New Roman"/>
                <w:b/>
                <w:sz w:val="24"/>
              </w:rPr>
            </w:pPr>
            <w:r>
              <w:rPr>
                <w:rFonts w:hint="eastAsia" w:ascii="Times New Roman" w:hAnsi="Times New Roman" w:cs="Times New Roman"/>
                <w:b/>
                <w:sz w:val="24"/>
              </w:rPr>
              <w:t>7.2.4油汽回收</w:t>
            </w:r>
          </w:p>
          <w:p>
            <w:pPr>
              <w:spacing w:line="360" w:lineRule="auto"/>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油汽回收监测结果见表7-3</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w:t>
            </w:r>
            <w:r>
              <w:rPr>
                <w:rFonts w:hint="eastAsia" w:ascii="Times New Roman" w:hAnsi="Times New Roman" w:eastAsia="宋体" w:cs="Times New Roman"/>
                <w:b/>
                <w:sz w:val="24"/>
              </w:rPr>
              <w:t>3</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993"/>
              <w:gridCol w:w="984"/>
              <w:gridCol w:w="577"/>
              <w:gridCol w:w="415"/>
              <w:gridCol w:w="1146"/>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99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99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8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2"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993" w:type="dxa"/>
                  <w:vMerge w:val="continue"/>
                  <w:tcBorders>
                    <w:tl2br w:val="nil"/>
                    <w:tr2bl w:val="nil"/>
                  </w:tcBorders>
                  <w:vAlign w:val="center"/>
                </w:tcPr>
                <w:p>
                  <w:pPr>
                    <w:jc w:val="center"/>
                    <w:rPr>
                      <w:rFonts w:ascii="Times New Roman" w:hAnsi="Times New Roman" w:eastAsia="宋体" w:cs="Times New Roman"/>
                      <w:szCs w:val="21"/>
                    </w:rPr>
                  </w:pPr>
                </w:p>
              </w:tc>
              <w:tc>
                <w:tcPr>
                  <w:tcW w:w="98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23</w:t>
                  </w:r>
                </w:p>
              </w:tc>
              <w:tc>
                <w:tcPr>
                  <w:tcW w:w="992"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82</w:t>
                  </w:r>
                </w:p>
              </w:tc>
              <w:tc>
                <w:tcPr>
                  <w:tcW w:w="11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139</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33</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82</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13</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47</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continue"/>
                  <w:tcBorders>
                    <w:tl2br w:val="nil"/>
                    <w:tr2bl w:val="nil"/>
                  </w:tcBorders>
                  <w:vAlign w:val="center"/>
                </w:tcPr>
                <w:p>
                  <w:pPr>
                    <w:jc w:val="center"/>
                    <w:rPr>
                      <w:rFonts w:ascii="Times New Roman" w:hAnsi="Times New Roman" w:eastAsia="宋体" w:cs="Times New Roman"/>
                      <w:szCs w:val="21"/>
                    </w:rPr>
                  </w:pP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491</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487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1.08</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8"/>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备注：监测结果表明，液阻、密闭性、汽液比均满足</w:t>
                  </w:r>
                  <w:r>
                    <w:t>《加油站大气污染物排放标准》(GB20952-2007)</w:t>
                  </w:r>
                  <w:r>
                    <w:rPr>
                      <w:rFonts w:hint="eastAsia"/>
                    </w:rPr>
                    <w:t>要求</w:t>
                  </w:r>
                  <w:r>
                    <w:t>。</w:t>
                  </w:r>
                </w:p>
              </w:tc>
            </w:tr>
          </w:tbl>
          <w:p>
            <w:pPr>
              <w:spacing w:line="360" w:lineRule="auto"/>
              <w:rPr>
                <w:rFonts w:ascii="Times New Roman" w:hAnsi="Times New Roman" w:cs="Times New Roman"/>
                <w:bCs/>
                <w:sz w:val="24"/>
              </w:rPr>
            </w:pP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7" w:name="_Toc2044"/>
      <w:bookmarkStart w:id="58" w:name="_Toc27235"/>
      <w:bookmarkStart w:id="59" w:name="_Toc20547"/>
      <w:r>
        <w:rPr>
          <w:rFonts w:ascii="Times New Roman" w:hAnsi="Times New Roman" w:cs="Times New Roman"/>
          <w:b/>
          <w:sz w:val="28"/>
          <w:szCs w:val="28"/>
        </w:rPr>
        <w:t>表八  环境管理检查</w:t>
      </w:r>
      <w:bookmarkEnd w:id="57"/>
    </w:p>
    <w:tbl>
      <w:tblPr>
        <w:tblStyle w:val="1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荔波县经济、交通、运输业的发展，不断增加了该地区汽油、柴油的需求。因此，荔波县三荔高速荔波东加油站的建设可缓解当地对油品的需求。该项目由中海油贵州销售公司投资建设，设3个SF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92#、95#汽油储罐各1个，40m</w:t>
            </w:r>
            <w:r>
              <w:rPr>
                <w:rFonts w:hint="eastAsia" w:ascii="Times New Roman" w:hAnsi="Times New Roman" w:cs="Times New Roman"/>
                <w:sz w:val="24"/>
                <w:vertAlign w:val="superscript"/>
              </w:rPr>
              <w:t>3</w:t>
            </w:r>
            <w:r>
              <w:rPr>
                <w:rFonts w:hint="eastAsia" w:ascii="Times New Roman" w:hAnsi="Times New Roman" w:cs="Times New Roman"/>
                <w:sz w:val="24"/>
              </w:rPr>
              <w:t>柴油储罐1个，4台加油机，预计5年后销年售柴油品2500吨，汽油7000吨。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中海油贵州销售公司三荔高速荔波东加油站建设项目</w:t>
            </w:r>
            <w:r>
              <w:rPr>
                <w:rFonts w:ascii="Times New Roman" w:hAnsi="Times New Roman" w:cs="Times New Roman"/>
                <w:spacing w:val="-4"/>
                <w:kern w:val="0"/>
                <w:sz w:val="24"/>
              </w:rPr>
              <w:t>环境影响评价报告表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13</w:t>
            </w:r>
            <w:r>
              <w:rPr>
                <w:rFonts w:ascii="Times New Roman" w:hAnsi="Times New Roman" w:cs="Times New Roman"/>
                <w:sz w:val="24"/>
              </w:rPr>
              <w:t>日取得</w:t>
            </w:r>
            <w:r>
              <w:rPr>
                <w:rFonts w:hint="eastAsia" w:ascii="Times New Roman" w:hAnsi="Times New Roman" w:cs="Times New Roman"/>
                <w:sz w:val="24"/>
              </w:rPr>
              <w:t>黔南州生态</w:t>
            </w:r>
            <w:r>
              <w:rPr>
                <w:rFonts w:ascii="Times New Roman" w:hAnsi="Times New Roman" w:cs="Times New Roman"/>
                <w:sz w:val="24"/>
              </w:rPr>
              <w:t>环境局对《</w:t>
            </w:r>
            <w:r>
              <w:rPr>
                <w:rFonts w:hint="eastAsia" w:ascii="Times New Roman" w:hAnsi="Times New Roman" w:eastAsia="宋体" w:cs="Times New Roman"/>
                <w:sz w:val="24"/>
              </w:rPr>
              <w:t>中海油贵州销售公司三荔高速荔波东加油站</w:t>
            </w:r>
            <w:r>
              <w:rPr>
                <w:rFonts w:ascii="Times New Roman" w:hAnsi="Times New Roman" w:cs="Times New Roman"/>
                <w:spacing w:val="-4"/>
                <w:kern w:val="0"/>
                <w:sz w:val="24"/>
              </w:rPr>
              <w:t>环境影响评价报告表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黔南环审[2019]51号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4700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48.3</w:t>
            </w:r>
            <w:r>
              <w:rPr>
                <w:rFonts w:ascii="Times New Roman" w:hAnsi="Times New Roman" w:cs="Times New Roman"/>
                <w:sz w:val="24"/>
              </w:rPr>
              <w:t>万元，占总投资</w:t>
            </w:r>
            <w:r>
              <w:rPr>
                <w:rFonts w:hint="eastAsia" w:ascii="Times New Roman" w:hAnsi="Times New Roman" w:cs="Times New Roman"/>
                <w:sz w:val="24"/>
              </w:rPr>
              <w:t>1.03</w:t>
            </w:r>
            <w:r>
              <w:rPr>
                <w:rFonts w:ascii="Times New Roman" w:hAnsi="Times New Roman" w:cs="Times New Roman"/>
                <w:sz w:val="24"/>
              </w:rPr>
              <w:t>%，环保设施基本按环评要求建设</w:t>
            </w:r>
            <w:r>
              <w:rPr>
                <w:rFonts w:hint="eastAsia" w:ascii="Times New Roman" w:hAnsi="Times New Roman" w:cs="Times New Roman"/>
                <w:sz w:val="24"/>
              </w:rPr>
              <w:t>（生活废水和生产废水经三级生化池处理后，收集送至污水处理单位处理）</w:t>
            </w:r>
            <w:r>
              <w:rPr>
                <w:rFonts w:ascii="Times New Roman" w:hAnsi="Times New Roman" w:cs="Times New Roman"/>
                <w:sz w:val="24"/>
              </w:rPr>
              <w:t>，目前已经落实到位，运行正常，环保治理设施由使用工段负责运行维护。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（522700-2020-046-</w:t>
            </w:r>
            <w:r>
              <w:rPr>
                <w:rFonts w:ascii="Times New Roman" w:hAnsi="Times New Roman" w:cs="Times New Roman"/>
                <w:sz w:val="24"/>
              </w:rPr>
              <w:t>L</w:t>
            </w:r>
            <w:r>
              <w:rPr>
                <w:rFonts w:hint="eastAsia" w:ascii="Times New Roman" w:hAnsi="Times New Roman" w:cs="Times New Roman"/>
                <w:sz w:val="24"/>
              </w:rPr>
              <w:t>）</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w:t>
            </w:r>
            <w:r>
              <w:rPr>
                <w:rFonts w:hint="eastAsia" w:ascii="Times New Roman" w:hAnsi="Times New Roman" w:cs="Times New Roman"/>
                <w:color w:val="000000" w:themeColor="text1"/>
                <w:sz w:val="24"/>
              </w:rPr>
              <w:t>区域</w:t>
            </w:r>
            <w:r>
              <w:rPr>
                <w:rFonts w:ascii="Times New Roman" w:hAnsi="Times New Roman" w:cs="Times New Roman"/>
                <w:color w:val="000000" w:themeColor="text1"/>
                <w:sz w:val="24"/>
              </w:rPr>
              <w:t>有</w:t>
            </w:r>
            <w:r>
              <w:rPr>
                <w:rFonts w:hint="eastAsia" w:ascii="Times New Roman" w:hAnsi="Times New Roman" w:cs="Times New Roman"/>
                <w:color w:val="000000" w:themeColor="text1"/>
                <w:sz w:val="24"/>
              </w:rPr>
              <w:t>820m</w:t>
            </w:r>
            <w:r>
              <w:rPr>
                <w:rFonts w:hint="eastAsia"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绿化，项目应加强</w:t>
            </w:r>
            <w:r>
              <w:rPr>
                <w:rFonts w:hint="eastAsia" w:ascii="Times New Roman" w:hAnsi="Times New Roman" w:cs="Times New Roman"/>
                <w:color w:val="000000" w:themeColor="text1"/>
                <w:sz w:val="24"/>
              </w:rPr>
              <w:t>区域</w:t>
            </w:r>
            <w:r>
              <w:rPr>
                <w:rFonts w:ascii="Times New Roman" w:hAnsi="Times New Roman" w:cs="Times New Roman"/>
                <w:color w:val="000000" w:themeColor="text1"/>
                <w:sz w:val="24"/>
              </w:rPr>
              <w:t>绿化建设与维护。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6"/>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本项目产生废水主要为生活废水、地坪冲洗水。</w:t>
                  </w:r>
                </w:p>
                <w:p>
                  <w:pPr>
                    <w:adjustRightInd w:val="0"/>
                    <w:snapToGrid w:val="0"/>
                    <w:ind w:firstLine="420" w:firstLineChars="200"/>
                    <w:rPr>
                      <w:rFonts w:ascii="Times New Roman" w:hAnsi="Times New Roman" w:eastAsia="宋体" w:cs="Times New Roman"/>
                      <w:kern w:val="0"/>
                      <w:szCs w:val="21"/>
                    </w:rPr>
                  </w:pPr>
                  <w:r>
                    <w:t>场地冲洗水经隔油池预处理与其他生活污水一并进入三级化 粪池处理达《污水综合排放标 准标准》(GB8978-1996)中三级 标准后，依托</w:t>
                  </w:r>
                  <w:r>
                    <w:rPr>
                      <w:rFonts w:hint="eastAsia"/>
                    </w:rPr>
                    <w:t>荔波</w:t>
                  </w:r>
                  <w:r>
                    <w:t>县 三荔高速</w:t>
                  </w:r>
                  <w:r>
                    <w:rPr>
                      <w:rFonts w:hint="eastAsia"/>
                    </w:rPr>
                    <w:t>荔波</w:t>
                  </w:r>
                  <w:r>
                    <w:t>服务</w:t>
                  </w:r>
                  <w:r>
                    <w:rPr>
                      <w:rFonts w:hint="eastAsia"/>
                    </w:rPr>
                    <w:t>东</w:t>
                  </w:r>
                  <w:r>
                    <w:t>区污水处理 站处理达到《城镇污水处理 厂污染物排放标准》 (GB18918-2002)一级 B 标准后， 回用于绿化或农灌，不外排</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场地冲洗水经隔油池预处理与其他生活废水一并进入三级化粪池处理达</w:t>
                  </w:r>
                  <w:r>
                    <w:t>《污水综合排放标准》(GB8978-1996)三级</w:t>
                  </w:r>
                  <w:r>
                    <w:rPr>
                      <w:rFonts w:hint="eastAsia"/>
                    </w:rPr>
                    <w:t>标准后，依托三荔高速三洞服务区污水处理站处理达</w:t>
                  </w:r>
                  <w:r>
                    <w:t>《</w:t>
                  </w:r>
                  <w:r>
                    <w:rPr>
                      <w:rFonts w:hint="eastAsia"/>
                    </w:rPr>
                    <w:t>城镇污水处理厂污染物</w:t>
                  </w:r>
                  <w:r>
                    <w:t>排放标准》</w:t>
                  </w:r>
                  <w:r>
                    <w:rPr>
                      <w:rFonts w:hint="eastAsia"/>
                    </w:rPr>
                    <w:t>（G</w:t>
                  </w:r>
                  <w:r>
                    <w:t>B18918-2002</w:t>
                  </w:r>
                  <w:r>
                    <w:rPr>
                      <w:rFonts w:hint="eastAsia"/>
                    </w:rPr>
                    <w:t>）一级B标准后，回用于绿化或农灌，禁止未处理达标废水排入外环境。</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：项目区内排水采用雨污分流。</w:t>
                  </w:r>
                </w:p>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雨水</w:t>
                  </w:r>
                  <w:r>
                    <w:t>水经落水管流至地面，与地面雨水汇集到排雨水管(400mm*200mm，地面坡度为0.4%)，排出站外；</w:t>
                  </w:r>
                  <w:r>
                    <w:rPr>
                      <w:rFonts w:hint="eastAsia" w:ascii="Times New Roman" w:hAnsi="Times New Roman" w:eastAsia="宋体" w:cs="Times New Roman"/>
                      <w:kern w:val="0"/>
                      <w:szCs w:val="21"/>
                    </w:rPr>
                    <w:t>；</w:t>
                  </w:r>
                </w:p>
                <w:p>
                  <w:pPr>
                    <w:widowControl/>
                    <w:ind w:firstLine="420" w:firstLineChars="200"/>
                    <w:jc w:val="left"/>
                    <w:rPr>
                      <w:rFonts w:ascii="Times New Roman" w:hAnsi="Times New Roman" w:eastAsia="宋体" w:cs="Times New Roman"/>
                      <w:kern w:val="0"/>
                      <w:szCs w:val="21"/>
                    </w:rPr>
                  </w:pPr>
                  <w:r>
                    <w:t>场地冲洗水经隔油池预处理与其他生活污水一并进入三级化粪池处理达《污水综合排放标 准标(GB8978-1996)中三级标准后</w:t>
                  </w:r>
                  <w:r>
                    <w:rPr>
                      <w:rFonts w:hint="eastAsia"/>
                    </w:rPr>
                    <w:t>，收集到一定的量，由污水处理单位送至污水处理单位处理</w:t>
                  </w: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运营期大气环境影响主要为油品挥发产生的非甲烷烃类和汽车尾气。储存罐应采用地埋式工艺安放储罐，保持油罐的恒温，减少烃类物质的排放；加强加油站的管理减少汽车滞留时间，加油工人的操作规范教育，减少因人为因素而造成的成品油的损失对大气的影响；并设置油气回收装置，严格管理，提高设备的自动化控制水平。该套油气回收系统的液阻、气液比、密闭性均需达到《加油站大气污染物排放标（GB20952-2007）的要求。</w:t>
                  </w:r>
                </w:p>
              </w:tc>
              <w:tc>
                <w:tcPr>
                  <w:tcW w:w="2361" w:type="dxa"/>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罐选用双层防渗罐体，油罐区、卸油区隔池、暂存间按照规定配套相关防渗措施，定期巡查维护油罐设施及防渗措施，确保地下水及土壤安全。油罐大小呼吸机、加油作业机等设备配套油气回收装置，并加强油气回收设施设备维护理，保证油气回收设施设备正常运行，油气排放满足《加油站大气污染物排放标准</w:t>
                  </w:r>
                  <w:r>
                    <w:t>》</w:t>
                  </w:r>
                  <w:r>
                    <w:rPr>
                      <w:rFonts w:hint="eastAsia" w:ascii="Times New Roman" w:hAnsi="Times New Roman" w:eastAsia="宋体" w:cs="Times New Roman"/>
                      <w:kern w:val="0"/>
                      <w:szCs w:val="21"/>
                    </w:rPr>
                    <w:t>( GB20952-2007)限值要求。</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建设项目采用</w:t>
                  </w:r>
                  <w:r>
                    <w:rPr>
                      <w:rFonts w:hint="eastAsia" w:ascii="Times New Roman" w:hAnsi="Times New Roman" w:cs="Times New Roman"/>
                      <w:szCs w:val="21"/>
                    </w:rPr>
                    <w:t>SF双层地埋储罐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8"/>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本项目通过设置油气回收系统、自然扩散、加强绿化及加油车辆管理，项目产生的非甲烷总烃及汽车尾气对环境的影响较小。</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6"/>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防振、绿化、消声等措施控制，可以大大降低噪声，对外环境影响小；风机、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选用低噪声设备，采取限速限载，禁止鸣笛，减震、消声、绿化等防治措施减少对周边环境的影响。</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防振、消声措施控制；站区内、外加强绿化等措施，减小项目产生的噪声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集中收集后暂存于不小于100</w:t>
                  </w:r>
                  <w:r>
                    <w:rPr>
                      <w:szCs w:val="21"/>
                    </w:rPr>
                    <w:t>L</w:t>
                  </w:r>
                  <w:r>
                    <w:rPr>
                      <w:rFonts w:hint="eastAsia"/>
                      <w:szCs w:val="21"/>
                    </w:rPr>
                    <w:t>防腐铁桶，定期委托具有危险废物处置资质的单位进行处置。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由环卫部门统一处理集中处理。隔油池油泥、储油罐油泥、设备维修产生的废机油等属于危险废物，须按照《危险废物贮存污染控制标准》(GB18597-2001)的有关规定收集、暂存交由有资质的单位进行处置，并按《危险废物转移联单管理办法》进行登记处理。</w:t>
                  </w:r>
                </w:p>
              </w:tc>
              <w:tc>
                <w:tcPr>
                  <w:tcW w:w="3889" w:type="dxa"/>
                  <w:tcBorders>
                    <w:top w:val="single" w:color="auto" w:sz="4" w:space="0"/>
                    <w:bottom w:val="single" w:color="auto" w:sz="12" w:space="0"/>
                    <w:right w:val="nil"/>
                  </w:tcBorders>
                  <w:vAlign w:val="center"/>
                </w:tcPr>
                <w:p>
                  <w:pPr>
                    <w:pStyle w:val="8"/>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w:t>
                  </w:r>
                </w:p>
                <w:p>
                  <w:pPr>
                    <w:pStyle w:val="8"/>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油泥与废机油等危险废物由加油站委托有资质单位对产生的危废进行现场处理，不在加油站场区内贮存。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60"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8"/>
      <w:bookmarkEnd w:id="59"/>
      <w:bookmarkEnd w:id="6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61"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61"/>
          </w:p>
          <w:p>
            <w:pPr>
              <w:tabs>
                <w:tab w:val="left" w:pos="395"/>
              </w:tabs>
              <w:spacing w:line="360" w:lineRule="auto"/>
              <w:ind w:firstLine="480" w:firstLineChars="200"/>
              <w:rPr>
                <w:rFonts w:ascii="Times New Roman" w:hAnsi="Times New Roman" w:eastAsia="宋体" w:cs="Times New Roman"/>
                <w:b/>
                <w:sz w:val="24"/>
              </w:rPr>
            </w:pPr>
            <w:bookmarkStart w:id="62" w:name="_Toc18451"/>
            <w:r>
              <w:rPr>
                <w:rFonts w:hint="eastAsia" w:ascii="Times New Roman" w:hAnsi="Times New Roman" w:cs="Times New Roman"/>
                <w:sz w:val="24"/>
              </w:rPr>
              <w:t>中海油贵州销售有限公司三荔高速荔波东加油站建设项目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雨水经雨水收集管收集排出项目区外；</w:t>
            </w:r>
            <w:r>
              <w:rPr>
                <w:sz w:val="24"/>
              </w:rPr>
              <w:t>场地冲洗水经隔油池预处理与其他生活污水一并进入三级化粪池处理达《污水综合排放标 准标(GB8978-1996)中三级标准后，</w:t>
            </w:r>
            <w:r>
              <w:rPr>
                <w:rFonts w:hint="eastAsia"/>
                <w:sz w:val="24"/>
              </w:rPr>
              <w:t>委托污水处理单位送至污水处理单位处理，</w:t>
            </w:r>
            <w:r>
              <w:rPr>
                <w:sz w:val="24"/>
              </w:rPr>
              <w:t>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本项目未设置污染物排放总量指标</w:t>
            </w:r>
            <w:r>
              <w:rPr>
                <w:rFonts w:hint="eastAsia" w:ascii="Times New Roman" w:hAnsi="Times New Roman" w:cs="Times New Roman"/>
                <w:bCs/>
                <w:sz w:val="24"/>
              </w:rPr>
              <w:t>。</w:t>
            </w: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2"/>
          </w:p>
          <w:p>
            <w:pPr>
              <w:spacing w:before="156" w:beforeLines="50" w:line="360" w:lineRule="auto"/>
              <w:ind w:firstLine="480" w:firstLineChars="200"/>
              <w:outlineLvl w:val="0"/>
              <w:rPr>
                <w:rFonts w:ascii="Times New Roman" w:hAnsi="Times New Roman" w:cs="Times New Roman"/>
                <w:sz w:val="24"/>
              </w:rPr>
            </w:pPr>
            <w:bookmarkStart w:id="63" w:name="_Toc1131"/>
            <w:bookmarkStart w:id="64" w:name="_Toc8701"/>
            <w:bookmarkStart w:id="65" w:name="_Toc7543"/>
            <w:bookmarkStart w:id="66" w:name="_Toc2288"/>
            <w:r>
              <w:rPr>
                <w:rFonts w:ascii="Times New Roman" w:hAnsi="Times New Roman" w:cs="Times New Roman"/>
                <w:sz w:val="24"/>
              </w:rPr>
              <w:t>（1）严格遵守国家和地方的有关环保法律、法规，并落实报告表中提出的各项污染防治措施，实现污染物达标排放。</w:t>
            </w:r>
            <w:bookmarkEnd w:id="63"/>
            <w:bookmarkEnd w:id="64"/>
            <w:bookmarkEnd w:id="65"/>
            <w:bookmarkEnd w:id="66"/>
          </w:p>
          <w:p>
            <w:pPr>
              <w:spacing w:before="156" w:beforeLines="50"/>
              <w:ind w:firstLine="480" w:firstLineChars="200"/>
              <w:outlineLvl w:val="0"/>
              <w:rPr>
                <w:rFonts w:ascii="Times New Roman" w:hAnsi="Times New Roman" w:cs="Times New Roman"/>
                <w:sz w:val="24"/>
              </w:rPr>
            </w:pPr>
            <w:bookmarkStart w:id="67" w:name="_Toc17074"/>
            <w:bookmarkStart w:id="68" w:name="_Toc19503"/>
            <w:bookmarkStart w:id="69" w:name="_Toc25057"/>
            <w:bookmarkStart w:id="70" w:name="_Toc1901"/>
            <w:r>
              <w:rPr>
                <w:rFonts w:ascii="Times New Roman" w:hAnsi="Times New Roman" w:cs="Times New Roman"/>
                <w:sz w:val="24"/>
              </w:rPr>
              <w:t>（2）建议对工作人员进行专业的环保知识培训，加强环保意识。</w:t>
            </w:r>
            <w:bookmarkEnd w:id="67"/>
            <w:bookmarkEnd w:id="68"/>
            <w:bookmarkEnd w:id="69"/>
            <w:bookmarkEnd w:id="70"/>
          </w:p>
          <w:p>
            <w:pPr>
              <w:spacing w:before="156" w:beforeLines="50"/>
              <w:ind w:firstLine="480" w:firstLineChars="200"/>
              <w:outlineLvl w:val="0"/>
              <w:rPr>
                <w:rFonts w:ascii="Times New Roman" w:hAnsi="Times New Roman" w:cs="Times New Roman"/>
                <w:color w:val="000000" w:themeColor="text1"/>
                <w:sz w:val="24"/>
              </w:rPr>
            </w:pPr>
            <w:bookmarkStart w:id="71" w:name="_Toc6143"/>
            <w:bookmarkStart w:id="72" w:name="_Toc21958"/>
            <w:bookmarkStart w:id="73" w:name="_Toc26541"/>
            <w:bookmarkStart w:id="74" w:name="_Toc17305"/>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71"/>
            <w:bookmarkEnd w:id="72"/>
            <w:bookmarkEnd w:id="73"/>
            <w:bookmarkEnd w:id="74"/>
          </w:p>
          <w:p>
            <w:pPr>
              <w:spacing w:before="156" w:beforeLines="50"/>
              <w:ind w:firstLine="480" w:firstLineChars="200"/>
              <w:outlineLvl w:val="0"/>
              <w:rPr>
                <w:rFonts w:ascii="Times New Roman" w:hAnsi="Times New Roman" w:cs="Times New Roman"/>
                <w:color w:val="000000" w:themeColor="text1"/>
                <w:sz w:val="24"/>
              </w:rPr>
            </w:pPr>
            <w:bookmarkStart w:id="75" w:name="_Toc17679"/>
            <w:bookmarkStart w:id="76" w:name="_Toc25887"/>
            <w:bookmarkStart w:id="77" w:name="_Toc6359"/>
            <w:bookmarkStart w:id="78" w:name="_Toc32030"/>
            <w:r>
              <w:rPr>
                <w:rFonts w:ascii="Times New Roman" w:hAnsi="Times New Roman" w:cs="Times New Roman"/>
                <w:color w:val="000000" w:themeColor="text1"/>
                <w:sz w:val="24"/>
              </w:rPr>
              <w:t>（4）建立完整的环保手续档案。</w:t>
            </w:r>
            <w:bookmarkEnd w:id="75"/>
            <w:bookmarkEnd w:id="76"/>
            <w:bookmarkEnd w:id="77"/>
            <w:bookmarkEnd w:id="78"/>
          </w:p>
          <w:p>
            <w:pPr>
              <w:spacing w:before="156" w:beforeLines="50"/>
              <w:ind w:firstLine="480" w:firstLineChars="200"/>
              <w:outlineLvl w:val="0"/>
              <w:rPr>
                <w:rFonts w:ascii="Times New Roman" w:hAnsi="Times New Roman" w:cs="Times New Roman"/>
                <w:color w:val="000000" w:themeColor="text1"/>
                <w:sz w:val="24"/>
              </w:rPr>
            </w:pPr>
            <w:bookmarkStart w:id="79" w:name="_Toc28859"/>
            <w:bookmarkStart w:id="80" w:name="_Toc32316"/>
            <w:r>
              <w:rPr>
                <w:rFonts w:ascii="Times New Roman" w:hAnsi="Times New Roman" w:cs="Times New Roman"/>
                <w:color w:val="000000" w:themeColor="text1"/>
                <w:sz w:val="24"/>
              </w:rPr>
              <w:t>（5）加强厂区绿化。</w:t>
            </w:r>
            <w:bookmarkEnd w:id="79"/>
            <w:bookmarkEnd w:id="80"/>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p>
          <w:p>
            <w:pPr>
              <w:spacing w:before="156" w:beforeLines="50"/>
              <w:ind w:firstLine="480" w:firstLineChars="200"/>
              <w:outlineLvl w:val="0"/>
              <w:rPr>
                <w:rFonts w:ascii="Times New Roman" w:hAnsi="Times New Roman" w:cs="Times New Roman"/>
                <w:color w:val="000000" w:themeColor="text1"/>
                <w:sz w:val="24"/>
              </w:rPr>
            </w:pPr>
          </w:p>
          <w:p>
            <w:pPr>
              <w:spacing w:before="156" w:beforeLines="50"/>
              <w:ind w:firstLine="562" w:firstLineChars="200"/>
              <w:outlineLvl w:val="0"/>
              <w:rPr>
                <w:rFonts w:ascii="Times New Roman" w:hAnsi="Times New Roman" w:cs="Times New Roman"/>
                <w:b/>
                <w:bCs/>
                <w:sz w:val="28"/>
                <w:szCs w:val="28"/>
              </w:rPr>
            </w:pP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81" w:name="_Toc14546"/>
    </w:p>
    <w:p>
      <w:pPr>
        <w:spacing w:before="156" w:beforeLines="50"/>
        <w:outlineLvl w:val="0"/>
        <w:rPr>
          <w:rFonts w:ascii="Times New Roman" w:hAnsi="Times New Roman" w:eastAsia="宋体" w:cs="Times New Roman"/>
          <w:b/>
          <w:bCs/>
          <w:sz w:val="28"/>
          <w:szCs w:val="28"/>
        </w:rPr>
      </w:pPr>
      <w:bookmarkStart w:id="82"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81"/>
      <w:r>
        <w:rPr>
          <w:rFonts w:ascii="Times New Roman" w:hAnsi="Times New Roman" w:cs="Times New Roman"/>
          <w:b/>
          <w:bCs/>
          <w:sz w:val="28"/>
          <w:szCs w:val="28"/>
        </w:rPr>
        <w:t>、附图</w:t>
      </w:r>
      <w:bookmarkEnd w:id="82"/>
      <w:r>
        <w:rPr>
          <w:rFonts w:ascii="Times New Roman" w:hAnsi="Times New Roman" w:cs="Times New Roman"/>
          <w:b/>
          <w:bCs/>
          <w:sz w:val="28"/>
          <w:szCs w:val="28"/>
        </w:rPr>
        <w:t>及附表</w:t>
      </w:r>
    </w:p>
    <w:tbl>
      <w:tblPr>
        <w:tblStyle w:val="16"/>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drawing>
                <wp:anchor distT="0" distB="0" distL="114300" distR="114300" simplePos="0" relativeHeight="251657216" behindDoc="1" locked="0" layoutInCell="1" allowOverlap="1">
                  <wp:simplePos x="0" y="0"/>
                  <wp:positionH relativeFrom="page">
                    <wp:posOffset>-12700</wp:posOffset>
                  </wp:positionH>
                  <wp:positionV relativeFrom="page">
                    <wp:posOffset>-12700</wp:posOffset>
                  </wp:positionV>
                  <wp:extent cx="6153150" cy="869886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w:t>
            </w:r>
            <w:r>
              <w:rPr>
                <w:rFonts w:hint="eastAsia" w:ascii="Times New Roman" w:hAnsi="Times New Roman" w:cs="Times New Roman"/>
                <w:b/>
                <w:bCs/>
                <w:sz w:val="24"/>
              </w:rPr>
              <w:t>环评</w:t>
            </w:r>
            <w:r>
              <w:rPr>
                <w:rFonts w:ascii="Times New Roman" w:hAnsi="Times New Roman" w:cs="Times New Roman"/>
                <w:b/>
                <w:bCs/>
                <w:sz w:val="24"/>
              </w:rPr>
              <w:t>批复</w:t>
            </w:r>
          </w:p>
          <w:p>
            <w:pPr>
              <w:pStyle w:val="5"/>
              <w:jc w:val="center"/>
              <w:outlineLvl w:val="3"/>
              <w:rPr>
                <w:rFonts w:ascii="Times New Roman" w:hAnsi="Times New Roman" w:cs="Times New Roman"/>
                <w:bCs/>
                <w:color w:val="FF0000"/>
                <w:sz w:val="24"/>
              </w:rPr>
            </w:pPr>
          </w:p>
          <w:p>
            <w:pPr>
              <w:jc w:val="center"/>
            </w:pPr>
          </w:p>
          <w:p>
            <w:pPr>
              <w:jc w:val="center"/>
            </w:pPr>
          </w:p>
          <w:p>
            <w:pPr>
              <w:jc w:val="center"/>
            </w:pPr>
          </w:p>
          <w:p>
            <w:pPr>
              <w:jc w:val="center"/>
            </w:pPr>
          </w:p>
          <w:p>
            <w:pPr>
              <w:jc w:val="center"/>
            </w:pPr>
          </w:p>
          <w:p>
            <w:pPr>
              <w:jc w:val="center"/>
            </w:pPr>
          </w:p>
          <w:p>
            <w:pPr>
              <w:jc w:val="cente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r>
              <w:rPr>
                <w:rFonts w:ascii="Times New Roman" w:hAnsi="Times New Roman" w:eastAsia="宋体" w:cs="Times New Roman"/>
                <w:color w:val="FF0000"/>
              </w:rPr>
              <w:drawing>
                <wp:inline distT="0" distB="0" distL="0" distR="0">
                  <wp:extent cx="6153150" cy="86988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inline>
              </w:drawing>
            </w:r>
          </w:p>
        </w:tc>
      </w:tr>
    </w:tbl>
    <w:p>
      <w:pPr>
        <w:rPr>
          <w:rFonts w:ascii="Times New Roman" w:hAnsi="Times New Roman" w:cs="Times New Roman"/>
        </w:rPr>
        <w:sectPr>
          <w:pgSz w:w="11850" w:h="16783"/>
          <w:pgMar w:top="1440" w:right="1080" w:bottom="1440" w:left="1080" w:header="851" w:footer="992" w:gutter="0"/>
          <w:cols w:space="425" w:num="1"/>
          <w:docGrid w:type="lines" w:linePitch="312" w:charSpace="0"/>
        </w:sectPr>
      </w:pPr>
    </w:p>
    <w:p>
      <w:pPr>
        <w:jc w:val="center"/>
      </w:pPr>
    </w:p>
    <w:p>
      <w:r>
        <w:rPr>
          <w:rFonts w:ascii="宋体" w:hAnsi="宋体" w:eastAsia="宋体" w:cs="宋体"/>
          <w:kern w:val="0"/>
          <w:sz w:val="24"/>
        </w:rPr>
        <w:drawing>
          <wp:anchor distT="0" distB="0" distL="114300" distR="114300" simplePos="0" relativeHeight="251652096" behindDoc="0" locked="0" layoutInCell="1" allowOverlap="1">
            <wp:simplePos x="0" y="0"/>
            <wp:positionH relativeFrom="column">
              <wp:posOffset>160020</wp:posOffset>
            </wp:positionH>
            <wp:positionV relativeFrom="paragraph">
              <wp:posOffset>240030</wp:posOffset>
            </wp:positionV>
            <wp:extent cx="8092440" cy="489204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t="3494" b="4959"/>
                    <a:stretch>
                      <a:fillRect/>
                    </a:stretch>
                  </pic:blipFill>
                  <pic:spPr>
                    <a:xfrm>
                      <a:off x="0" y="0"/>
                      <a:ext cx="8092440" cy="4892040"/>
                    </a:xfrm>
                    <a:prstGeom prst="rect">
                      <a:avLst/>
                    </a:prstGeom>
                    <a:noFill/>
                    <a:ln>
                      <a:noFill/>
                    </a:ln>
                  </pic:spPr>
                </pic:pic>
              </a:graphicData>
            </a:graphic>
          </wp:anchor>
        </w:drawing>
      </w:r>
    </w:p>
    <w:p/>
    <w:p>
      <w:pPr>
        <w:tabs>
          <w:tab w:val="left" w:pos="5382"/>
        </w:tabs>
        <w:rPr>
          <w:sz w:val="28"/>
          <w:szCs w:val="28"/>
        </w:rPr>
      </w:pPr>
      <w:r>
        <w:tab/>
      </w:r>
      <w:r>
        <w:rPr>
          <w:rFonts w:hint="eastAsia"/>
        </w:rPr>
        <w:t xml:space="preserve">附图一 </w:t>
      </w:r>
      <w:r>
        <w:rPr>
          <w:rFonts w:hint="eastAsia"/>
          <w:sz w:val="28"/>
          <w:szCs w:val="28"/>
        </w:rPr>
        <w:t>项目地理位置图</w:t>
      </w:r>
    </w:p>
    <w:p>
      <w:r>
        <w:drawing>
          <wp:anchor distT="0" distB="0" distL="114300" distR="114300" simplePos="0" relativeHeight="251653120" behindDoc="0" locked="0" layoutInCell="1" allowOverlap="1">
            <wp:simplePos x="0" y="0"/>
            <wp:positionH relativeFrom="column">
              <wp:posOffset>571500</wp:posOffset>
            </wp:positionH>
            <wp:positionV relativeFrom="paragraph">
              <wp:posOffset>224790</wp:posOffset>
            </wp:positionV>
            <wp:extent cx="7749540" cy="470916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49540" cy="4709160"/>
                    </a:xfrm>
                    <a:prstGeom prst="rect">
                      <a:avLst/>
                    </a:prstGeom>
                  </pic:spPr>
                </pic:pic>
              </a:graphicData>
            </a:graphic>
          </wp:anchor>
        </w:drawing>
      </w:r>
    </w:p>
    <w:p/>
    <w:p/>
    <w:p>
      <w:pPr>
        <w:tabs>
          <w:tab w:val="left" w:pos="4542"/>
        </w:tabs>
        <w:rPr>
          <w:sz w:val="28"/>
          <w:szCs w:val="28"/>
        </w:rPr>
      </w:pPr>
      <w:r>
        <w:tab/>
      </w:r>
      <w:r>
        <w:rPr>
          <w:rFonts w:hint="eastAsia"/>
          <w:sz w:val="28"/>
          <w:szCs w:val="28"/>
        </w:rPr>
        <w:t xml:space="preserve">附图二 </w:t>
      </w:r>
      <w:r>
        <w:rPr>
          <w:sz w:val="28"/>
          <w:szCs w:val="28"/>
        </w:rPr>
        <w:t xml:space="preserve"> </w:t>
      </w:r>
      <w:r>
        <w:rPr>
          <w:rFonts w:hint="eastAsia"/>
          <w:sz w:val="28"/>
          <w:szCs w:val="28"/>
        </w:rPr>
        <w:t>项目区域水系图</w:t>
      </w:r>
    </w:p>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793480" cy="5387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11188" cy="5398189"/>
                    </a:xfrm>
                    <a:prstGeom prst="rect">
                      <a:avLst/>
                    </a:prstGeom>
                    <a:noFill/>
                    <a:ln>
                      <a:noFill/>
                    </a:ln>
                  </pic:spPr>
                </pic:pic>
              </a:graphicData>
            </a:graphic>
          </wp:inline>
        </w:drawing>
      </w:r>
    </w:p>
    <w:p>
      <w:pPr>
        <w:rPr>
          <w:rFonts w:ascii="宋体" w:hAnsi="宋体" w:eastAsia="宋体" w:cs="宋体"/>
          <w:kern w:val="0"/>
          <w:sz w:val="24"/>
        </w:rPr>
      </w:pPr>
    </w:p>
    <w:p>
      <w:pPr>
        <w:tabs>
          <w:tab w:val="left" w:pos="4068"/>
        </w:tabs>
        <w:rPr>
          <w:rFonts w:ascii="宋体" w:hAnsi="宋体" w:eastAsia="宋体" w:cs="宋体"/>
          <w:kern w:val="0"/>
          <w:sz w:val="24"/>
        </w:rPr>
      </w:pPr>
      <w:r>
        <w:rPr>
          <w:rFonts w:ascii="宋体" w:hAnsi="宋体" w:eastAsia="宋体" w:cs="宋体"/>
          <w:kern w:val="0"/>
          <w:sz w:val="24"/>
        </w:rPr>
        <w:tab/>
      </w:r>
      <w:r>
        <w:rPr>
          <w:rFonts w:hint="eastAsia" w:ascii="宋体" w:hAnsi="宋体" w:eastAsia="宋体" w:cs="宋体"/>
          <w:kern w:val="0"/>
          <w:sz w:val="24"/>
        </w:rPr>
        <w:t xml:space="preserve">附图三 </w:t>
      </w:r>
      <w:r>
        <w:rPr>
          <w:rFonts w:ascii="宋体" w:hAnsi="宋体" w:eastAsia="宋体" w:cs="宋体"/>
          <w:kern w:val="0"/>
          <w:sz w:val="24"/>
        </w:rPr>
        <w:t xml:space="preserve">  </w:t>
      </w:r>
      <w:r>
        <w:rPr>
          <w:rFonts w:hint="eastAsia" w:ascii="宋体" w:hAnsi="宋体" w:eastAsia="宋体" w:cs="宋体"/>
          <w:kern w:val="0"/>
          <w:sz w:val="24"/>
        </w:rPr>
        <w:t>项目与周边敏感目标关系图</w:t>
      </w:r>
    </w:p>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1658240" behindDoc="0" locked="0" layoutInCell="1" allowOverlap="1">
            <wp:simplePos x="0" y="0"/>
            <wp:positionH relativeFrom="column">
              <wp:posOffset>207645</wp:posOffset>
            </wp:positionH>
            <wp:positionV relativeFrom="paragraph">
              <wp:posOffset>316230</wp:posOffset>
            </wp:positionV>
            <wp:extent cx="7830820" cy="4594860"/>
            <wp:effectExtent l="0" t="0" r="0"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830820" cy="4594860"/>
                    </a:xfrm>
                    <a:prstGeom prst="rect">
                      <a:avLst/>
                    </a:prstGeom>
                    <a:noFill/>
                    <a:ln>
                      <a:noFill/>
                    </a:ln>
                  </pic:spPr>
                </pic:pic>
              </a:graphicData>
            </a:graphic>
          </wp:anchor>
        </w:drawing>
      </w:r>
    </w:p>
    <w:p>
      <w:pPr>
        <w:tabs>
          <w:tab w:val="left" w:pos="4068"/>
        </w:tabs>
        <w:rPr>
          <w:sz w:val="28"/>
          <w:szCs w:val="28"/>
        </w:rPr>
        <w:sectPr>
          <w:pgSz w:w="16783" w:h="11850" w:orient="landscape"/>
          <w:pgMar w:top="1080" w:right="1440" w:bottom="1080" w:left="1440" w:header="851" w:footer="992" w:gutter="0"/>
          <w:cols w:space="425" w:num="1"/>
          <w:docGrid w:type="lines" w:linePitch="312" w:charSpace="0"/>
        </w:sectPr>
      </w:pPr>
      <w:r>
        <w:t xml:space="preserve">                                       </w:t>
      </w:r>
      <w:r>
        <w:rPr>
          <w:sz w:val="24"/>
        </w:rPr>
        <w:t xml:space="preserve"> </w:t>
      </w:r>
      <w:r>
        <w:rPr>
          <w:rFonts w:hint="eastAsia"/>
          <w:sz w:val="24"/>
        </w:rPr>
        <w:t xml:space="preserve">附图四 </w:t>
      </w:r>
      <w:r>
        <w:rPr>
          <w:sz w:val="24"/>
        </w:rPr>
        <w:t xml:space="preserve"> </w:t>
      </w:r>
      <w:r>
        <w:t xml:space="preserve">  </w:t>
      </w:r>
      <w:r>
        <w:rPr>
          <w:sz w:val="28"/>
          <w:szCs w:val="28"/>
        </w:rPr>
        <w:t xml:space="preserve"> </w:t>
      </w:r>
      <w:r>
        <w:rPr>
          <w:rFonts w:hint="eastAsia"/>
          <w:sz w:val="28"/>
          <w:szCs w:val="28"/>
        </w:rPr>
        <w:t>项目总的平面布置图</w:t>
      </w:r>
      <w:r>
        <w:rPr>
          <w:sz w:val="28"/>
          <w:szCs w:val="28"/>
        </w:rPr>
        <w:tab/>
      </w:r>
    </w:p>
    <w:p>
      <w:pPr>
        <w:jc w:val="center"/>
      </w:pPr>
      <w:r>
        <w:rPr>
          <w:rFonts w:ascii="宋体" w:hAnsi="宋体" w:eastAsia="宋体" w:cs="宋体"/>
          <w:kern w:val="0"/>
          <w:sz w:val="24"/>
        </w:rPr>
        <w:drawing>
          <wp:anchor distT="0" distB="0" distL="114300" distR="114300" simplePos="0" relativeHeight="251655168" behindDoc="0" locked="0" layoutInCell="1" allowOverlap="1">
            <wp:simplePos x="0" y="0"/>
            <wp:positionH relativeFrom="column">
              <wp:posOffset>518160</wp:posOffset>
            </wp:positionH>
            <wp:positionV relativeFrom="paragraph">
              <wp:posOffset>179070</wp:posOffset>
            </wp:positionV>
            <wp:extent cx="7665720" cy="5090160"/>
            <wp:effectExtent l="0" t="0" r="0"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665720" cy="5090160"/>
                    </a:xfrm>
                    <a:prstGeom prst="rect">
                      <a:avLst/>
                    </a:prstGeom>
                    <a:noFill/>
                    <a:ln>
                      <a:noFill/>
                    </a:ln>
                  </pic:spPr>
                </pic:pic>
              </a:graphicData>
            </a:graphic>
          </wp:anchor>
        </w:drawing>
      </w:r>
    </w:p>
    <w:p>
      <w:pPr>
        <w:ind w:firstLine="5040" w:firstLineChars="1800"/>
        <w:rPr>
          <w:sz w:val="28"/>
          <w:szCs w:val="28"/>
        </w:rPr>
      </w:pPr>
      <w:r>
        <w:rPr>
          <w:rFonts w:hint="eastAsia"/>
          <w:sz w:val="28"/>
          <w:szCs w:val="28"/>
        </w:rPr>
        <w:t xml:space="preserve">附图五 </w:t>
      </w:r>
      <w:r>
        <w:rPr>
          <w:sz w:val="28"/>
          <w:szCs w:val="28"/>
        </w:rPr>
        <w:t xml:space="preserve"> </w:t>
      </w:r>
      <w:r>
        <w:rPr>
          <w:rFonts w:hint="eastAsia"/>
          <w:sz w:val="28"/>
          <w:szCs w:val="28"/>
        </w:rPr>
        <w:t>项目分区防渗图</w:t>
      </w:r>
    </w:p>
    <w:p>
      <w:pPr>
        <w:widowControl/>
        <w:jc w:val="left"/>
        <w:rPr>
          <w:rFonts w:eastAsia="宋体"/>
          <w:szCs w:val="20"/>
        </w:rPr>
        <w:sectPr>
          <w:pgSz w:w="16783" w:h="11850" w:orient="landscape"/>
          <w:pgMar w:top="1080" w:right="1440" w:bottom="1080" w:left="1440" w:header="851" w:footer="992" w:gutter="0"/>
          <w:cols w:space="425" w:num="1"/>
          <w:docGrid w:type="lines" w:linePitch="312" w:charSpace="0"/>
        </w:sectPr>
      </w:pPr>
    </w:p>
    <w:p>
      <w:pPr>
        <w:widowControl/>
        <w:jc w:val="left"/>
        <w:rPr>
          <w:rFonts w:eastAsia="宋体"/>
          <w:szCs w:val="20"/>
        </w:rPr>
      </w:pPr>
      <w:r>
        <w:rPr>
          <w:rFonts w:eastAsia="宋体"/>
          <w:szCs w:val="20"/>
        </w:rPr>
        <w:drawing>
          <wp:anchor distT="0" distB="0" distL="114300" distR="114300" simplePos="0" relativeHeight="251659264" behindDoc="0" locked="0" layoutInCell="1" allowOverlap="1">
            <wp:simplePos x="0" y="0"/>
            <wp:positionH relativeFrom="column">
              <wp:posOffset>845820</wp:posOffset>
            </wp:positionH>
            <wp:positionV relativeFrom="paragraph">
              <wp:posOffset>393700</wp:posOffset>
            </wp:positionV>
            <wp:extent cx="6995795" cy="4364990"/>
            <wp:effectExtent l="19050" t="0" r="0"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13" cstate="print"/>
                    <a:srcRect/>
                    <a:stretch>
                      <a:fillRect/>
                    </a:stretch>
                  </pic:blipFill>
                  <pic:spPr>
                    <a:xfrm>
                      <a:off x="0" y="0"/>
                      <a:ext cx="6995795" cy="4364990"/>
                    </a:xfrm>
                    <a:prstGeom prst="rect">
                      <a:avLst/>
                    </a:prstGeom>
                    <a:noFill/>
                    <a:ln w="9525">
                      <a:noFill/>
                      <a:miter lim="800000"/>
                      <a:headEnd/>
                      <a:tailEnd/>
                    </a:ln>
                  </pic:spPr>
                </pic:pic>
              </a:graphicData>
            </a:graphic>
          </wp:anchor>
        </w:drawing>
      </w:r>
    </w:p>
    <w:p>
      <w:pPr>
        <w:rPr>
          <w:b/>
        </w:rPr>
      </w:pPr>
      <w:r>
        <w:pict>
          <v:shape id="_x0000_s1085" o:spid="_x0000_s1085" o:spt="32" type="#_x0000_t32" style="position:absolute;left:0pt;flip:x y;margin-left:429.6pt;margin-top:197.1pt;height:20.4pt;width:43.2pt;z-index:251663360;mso-width-relative:page;mso-height-relative:page;" o:connectortype="straight" filled="f" coordsize="21600,21600">
            <v:path arrowok="t"/>
            <v:fill on="f" focussize="0,0"/>
            <v:stroke endarrow="block"/>
            <v:imagedata o:title=""/>
            <o:lock v:ext="edit"/>
          </v:shape>
        </w:pict>
      </w:r>
      <w:r>
        <w:pict>
          <v:rect id="_x0000_s1086" o:spid="_x0000_s1086" o:spt="1" style="position:absolute;left:0pt;margin-left:459.6pt;margin-top:183.3pt;height:26.4pt;width:64.2pt;z-index:251664384;mso-width-relative:page;mso-height-relative:page;" stroked="t" coordsize="21600,21600">
            <v:path/>
            <v:fill focussize="0,0"/>
            <v:stroke color="#FFFFFF"/>
            <v:imagedata o:title=""/>
            <o:lock v:ext="edit"/>
            <v:textbox>
              <w:txbxContent>
                <w:p>
                  <w:r>
                    <w:rPr>
                      <w:rFonts w:hint="eastAsia"/>
                    </w:rPr>
                    <w:t>风向</w:t>
                  </w:r>
                </w:p>
              </w:txbxContent>
            </v:textbox>
          </v:rect>
        </w:pict>
      </w:r>
      <w:r>
        <w:t xml:space="preserve">                    </w:t>
      </w:r>
    </w:p>
    <w:p>
      <w:pPr>
        <w:pStyle w:val="6"/>
        <w:ind w:firstLine="0" w:firstLineChars="0"/>
      </w:pPr>
    </w:p>
    <w:p>
      <w:pPr>
        <w:pStyle w:val="6"/>
        <w:ind w:firstLine="0" w:firstLineChars="0"/>
        <w:jc w:val="center"/>
      </w:pPr>
    </w:p>
    <w:p>
      <w:pPr>
        <w:jc w:val="center"/>
        <w:rPr>
          <w:b/>
          <w:sz w:val="24"/>
        </w:rPr>
      </w:pPr>
      <w:r>
        <w:rPr>
          <w:rFonts w:hint="eastAsia"/>
          <w:b/>
          <w:sz w:val="24"/>
        </w:rPr>
        <w:t xml:space="preserve">附图六 </w:t>
      </w:r>
      <w:r>
        <w:rPr>
          <w:b/>
          <w:sz w:val="24"/>
        </w:rPr>
        <w:t xml:space="preserve">  </w:t>
      </w:r>
      <w:r>
        <w:rPr>
          <w:rFonts w:hint="eastAsia"/>
          <w:b/>
          <w:sz w:val="24"/>
        </w:rPr>
        <w:t xml:space="preserve"> 项目验收监测布点图</w:t>
      </w:r>
    </w:p>
    <w:p>
      <w:pPr>
        <w:pStyle w:val="6"/>
        <w:ind w:firstLine="0" w:firstLineChars="0"/>
        <w:jc w:val="center"/>
        <w:sectPr>
          <w:pgSz w:w="16783" w:h="11850" w:orient="landscape"/>
          <w:pgMar w:top="1080" w:right="1440" w:bottom="1080" w:left="1440" w:header="851" w:footer="992" w:gutter="0"/>
          <w:cols w:space="425" w:num="1"/>
          <w:docGrid w:type="lines" w:linePitch="312" w:charSpace="0"/>
        </w:sectPr>
      </w:pPr>
    </w:p>
    <w:p>
      <w:pPr>
        <w:pStyle w:val="8"/>
        <w:rPr>
          <w:rFonts w:ascii="Times New Roman" w:hAnsi="Times New Roman" w:cs="Times New Roman"/>
        </w:rPr>
      </w:pPr>
      <w:r>
        <w:rPr>
          <w:rFonts w:ascii="Times New Roman" w:hAnsi="Times New Roman" w:eastAsia="宋体" w:cs="Times New Roman"/>
          <w:b/>
        </w:rPr>
        <w:pict>
          <v:shape id="_x0000_s1081" o:spid="_x0000_s1081" o:spt="202" type="#_x0000_t202" style="position:absolute;left:0pt;margin-left:-91.9pt;margin-top:-0.55pt;height:26.25pt;width:815.25pt;z-index:251660288;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szCs w:val="21"/>
                    </w:rPr>
                  </w:pPr>
                  <w:r>
                    <w:rPr>
                      <w:rFonts w:hint="eastAsia" w:eastAsia="宋体"/>
                      <w:b/>
                    </w:rPr>
                    <w:t xml:space="preserve">                                                  </w:t>
                  </w:r>
                  <w:r>
                    <w:rPr>
                      <w:rFonts w:hint="eastAsia" w:eastAsia="宋体"/>
                      <w:b/>
                      <w:szCs w:val="21"/>
                    </w:rPr>
                    <w:t>建设项目工程竣工环境保护“三同时”验收登记表</w:t>
                  </w:r>
                </w:p>
              </w:txbxContent>
            </v:textbox>
          </v:shape>
        </w:pict>
      </w:r>
    </w:p>
    <w:p>
      <w:pPr>
        <w:pStyle w:val="8"/>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61312;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填表单位（盖章）：中海油贵州销售有限公司三荔高速荔波东加油站                    填表人（签字）：                                                  项目经办人（签字）：</w:t>
                  </w:r>
                </w:p>
              </w:txbxContent>
            </v:textbox>
          </v:shape>
        </w:pict>
      </w:r>
    </w:p>
    <w:p>
      <w:pPr>
        <w:pStyle w:val="8"/>
        <w:rPr>
          <w:rFonts w:ascii="Times New Roman" w:hAnsi="Times New Roman" w:cs="Times New Roman"/>
        </w:rPr>
      </w:pPr>
    </w:p>
    <w:tbl>
      <w:tblPr>
        <w:tblStyle w:val="15"/>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889"/>
        <w:gridCol w:w="850"/>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524" w:type="dxa"/>
            <w:vMerge w:val="restart"/>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建设项目</w:t>
            </w: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项目名称</w:t>
            </w:r>
          </w:p>
        </w:tc>
        <w:tc>
          <w:tcPr>
            <w:tcW w:w="6236" w:type="dxa"/>
            <w:gridSpan w:val="7"/>
            <w:vAlign w:val="center"/>
          </w:tcPr>
          <w:p>
            <w:pPr>
              <w:keepLines/>
              <w:rPr>
                <w:rFonts w:ascii="Times New Roman" w:hAnsi="Times New Roman" w:eastAsia="宋体" w:cs="Times New Roman"/>
                <w:bCs/>
                <w:sz w:val="16"/>
                <w:szCs w:val="16"/>
              </w:rPr>
            </w:pPr>
            <w:r>
              <w:rPr>
                <w:rFonts w:hint="eastAsia" w:eastAsia="宋体"/>
                <w:bCs/>
                <w:sz w:val="16"/>
                <w:szCs w:val="16"/>
              </w:rPr>
              <w:t>中海油贵州销售公司三荔高速荔波东</w:t>
            </w:r>
            <w:r>
              <w:rPr>
                <w:rFonts w:hint="eastAsia" w:ascii="Times New Roman" w:hAnsi="Times New Roman" w:eastAsia="宋体" w:cs="Times New Roman"/>
                <w:bCs/>
                <w:sz w:val="16"/>
                <w:szCs w:val="16"/>
              </w:rPr>
              <w:t>加油站建设项目</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项目代码</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建设地点</w:t>
            </w:r>
          </w:p>
        </w:tc>
        <w:tc>
          <w:tcPr>
            <w:tcW w:w="4236" w:type="dxa"/>
            <w:gridSpan w:val="3"/>
            <w:vAlign w:val="center"/>
          </w:tcPr>
          <w:p>
            <w:pPr>
              <w:rPr>
                <w:rFonts w:ascii="Times New Roman" w:hAnsi="Times New Roman" w:eastAsia="宋体" w:cs="Times New Roman"/>
                <w:bCs/>
                <w:sz w:val="16"/>
                <w:szCs w:val="16"/>
              </w:rPr>
            </w:pPr>
            <w:r>
              <w:rPr>
                <w:sz w:val="16"/>
                <w:szCs w:val="16"/>
              </w:rPr>
              <w:t>贵州省黔南州荔波县三荔高速荔波服务区东侧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行业类别（分类管理名录）</w:t>
            </w:r>
          </w:p>
        </w:tc>
        <w:tc>
          <w:tcPr>
            <w:tcW w:w="6236" w:type="dxa"/>
            <w:gridSpan w:val="7"/>
            <w:vAlign w:val="center"/>
          </w:tcPr>
          <w:p>
            <w:pPr>
              <w:snapToGrid w:val="0"/>
              <w:rPr>
                <w:rFonts w:ascii="Times New Roman" w:hAnsi="Times New Roman" w:eastAsia="宋体" w:cs="Times New Roman"/>
                <w:sz w:val="16"/>
                <w:szCs w:val="16"/>
              </w:rPr>
            </w:pPr>
            <w:r>
              <w:rPr>
                <w:rFonts w:ascii="Times New Roman" w:hAnsi="Times New Roman" w:eastAsia="宋体" w:cs="Times New Roman"/>
                <w:sz w:val="16"/>
                <w:szCs w:val="16"/>
              </w:rPr>
              <w:t>机动车燃料零售F5264</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建设性质</w:t>
            </w:r>
          </w:p>
        </w:tc>
        <w:tc>
          <w:tcPr>
            <w:tcW w:w="9054" w:type="dxa"/>
            <w:gridSpan w:val="5"/>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sym w:font="Wingdings 2" w:char="0052"/>
            </w:r>
            <w:r>
              <w:rPr>
                <w:rFonts w:ascii="Times New Roman" w:hAnsi="Times New Roman" w:eastAsia="宋体" w:cs="Times New Roman"/>
                <w:b/>
                <w:sz w:val="16"/>
                <w:szCs w:val="16"/>
              </w:rPr>
              <w:t xml:space="preserve">新建  </w:t>
            </w:r>
            <w:r>
              <w:rPr>
                <w:rFonts w:ascii="Times New Roman" w:hAnsi="Times New Roman" w:cs="Times New Roman"/>
                <w:b/>
                <w:sz w:val="16"/>
                <w:szCs w:val="16"/>
              </w:rPr>
              <w:t>□</w:t>
            </w:r>
            <w:r>
              <w:rPr>
                <w:rFonts w:ascii="Times New Roman" w:hAnsi="Times New Roman" w:eastAsia="宋体" w:cs="Times New Roman"/>
                <w:b/>
                <w:sz w:val="16"/>
                <w:szCs w:val="16"/>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设计生产能力</w:t>
            </w:r>
          </w:p>
        </w:tc>
        <w:tc>
          <w:tcPr>
            <w:tcW w:w="6236" w:type="dxa"/>
            <w:gridSpan w:val="7"/>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实际生产能力</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环评单位</w:t>
            </w:r>
          </w:p>
        </w:tc>
        <w:tc>
          <w:tcPr>
            <w:tcW w:w="4236" w:type="dxa"/>
            <w:gridSpan w:val="3"/>
            <w:vAlign w:val="center"/>
          </w:tcPr>
          <w:p>
            <w:pPr>
              <w:rPr>
                <w:rFonts w:ascii="Times New Roman" w:hAnsi="Times New Roman" w:eastAsia="宋体" w:cs="Times New Roman"/>
                <w:sz w:val="16"/>
                <w:szCs w:val="16"/>
              </w:rPr>
            </w:pPr>
            <w:r>
              <w:rPr>
                <w:sz w:val="16"/>
                <w:szCs w:val="16"/>
              </w:rPr>
              <w:t>贵州怡宁环保咨询有限公司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环评文件审批机关</w:t>
            </w:r>
          </w:p>
        </w:tc>
        <w:tc>
          <w:tcPr>
            <w:tcW w:w="6236" w:type="dxa"/>
            <w:gridSpan w:val="7"/>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黔南州生态环境局</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审批文号</w:t>
            </w:r>
          </w:p>
        </w:tc>
        <w:tc>
          <w:tcPr>
            <w:tcW w:w="2975" w:type="dxa"/>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黔南环审[2019]5</w:t>
            </w:r>
            <w:r>
              <w:rPr>
                <w:rFonts w:ascii="Times New Roman" w:hAnsi="Times New Roman" w:eastAsia="宋体" w:cs="Times New Roman"/>
                <w:sz w:val="16"/>
                <w:szCs w:val="16"/>
              </w:rPr>
              <w:t>1</w:t>
            </w:r>
            <w:r>
              <w:rPr>
                <w:rFonts w:hint="eastAsia" w:ascii="Times New Roman" w:hAnsi="Times New Roman" w:eastAsia="宋体" w:cs="Times New Roman"/>
                <w:sz w:val="16"/>
                <w:szCs w:val="16"/>
              </w:rPr>
              <w:t>号</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环评文件类型</w:t>
            </w:r>
          </w:p>
        </w:tc>
        <w:tc>
          <w:tcPr>
            <w:tcW w:w="4236" w:type="dxa"/>
            <w:gridSpan w:val="3"/>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开工日期</w:t>
            </w:r>
          </w:p>
        </w:tc>
        <w:tc>
          <w:tcPr>
            <w:tcW w:w="6236" w:type="dxa"/>
            <w:gridSpan w:val="7"/>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2019年08月</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竣工日期</w:t>
            </w:r>
          </w:p>
        </w:tc>
        <w:tc>
          <w:tcPr>
            <w:tcW w:w="2975" w:type="dxa"/>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2019年10月</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排污许可证申领时间</w:t>
            </w:r>
          </w:p>
        </w:tc>
        <w:tc>
          <w:tcPr>
            <w:tcW w:w="4236" w:type="dxa"/>
            <w:gridSpan w:val="3"/>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环保设施设计单位</w:t>
            </w:r>
          </w:p>
        </w:tc>
        <w:tc>
          <w:tcPr>
            <w:tcW w:w="6236" w:type="dxa"/>
            <w:gridSpan w:val="7"/>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环保设施施工单位</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本工程排污许可证编号</w:t>
            </w:r>
          </w:p>
        </w:tc>
        <w:tc>
          <w:tcPr>
            <w:tcW w:w="4236" w:type="dxa"/>
            <w:gridSpan w:val="3"/>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验收单位</w:t>
            </w:r>
          </w:p>
        </w:tc>
        <w:tc>
          <w:tcPr>
            <w:tcW w:w="6236" w:type="dxa"/>
            <w:gridSpan w:val="7"/>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贵州明德工程咨询有限公司</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环保设施监测单位</w:t>
            </w:r>
          </w:p>
        </w:tc>
        <w:tc>
          <w:tcPr>
            <w:tcW w:w="2975" w:type="dxa"/>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贵州明德工程咨询有限公司</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验收监测时工况</w:t>
            </w:r>
          </w:p>
        </w:tc>
        <w:tc>
          <w:tcPr>
            <w:tcW w:w="4236" w:type="dxa"/>
            <w:gridSpan w:val="3"/>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投资总概算（万元）</w:t>
            </w:r>
          </w:p>
        </w:tc>
        <w:tc>
          <w:tcPr>
            <w:tcW w:w="6236" w:type="dxa"/>
            <w:gridSpan w:val="7"/>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4700</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环保投资总概算（万元）</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48.3</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所占比例（%）</w:t>
            </w:r>
          </w:p>
        </w:tc>
        <w:tc>
          <w:tcPr>
            <w:tcW w:w="4236" w:type="dxa"/>
            <w:gridSpan w:val="3"/>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1.</w:t>
            </w:r>
            <w:r>
              <w:rPr>
                <w:rFonts w:ascii="Times New Roman" w:hAnsi="Times New Roman" w:eastAsia="宋体" w:cs="Times New Roman"/>
                <w:sz w:val="16"/>
                <w:szCs w:val="16"/>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实际总投资（万元）</w:t>
            </w:r>
          </w:p>
        </w:tc>
        <w:tc>
          <w:tcPr>
            <w:tcW w:w="6236" w:type="dxa"/>
            <w:gridSpan w:val="7"/>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4700</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实际环保投资（万元）</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48.3</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所占比例（%）</w:t>
            </w:r>
          </w:p>
        </w:tc>
        <w:tc>
          <w:tcPr>
            <w:tcW w:w="4236" w:type="dxa"/>
            <w:gridSpan w:val="3"/>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1.</w:t>
            </w:r>
            <w:r>
              <w:rPr>
                <w:rFonts w:ascii="Times New Roman" w:hAnsi="Times New Roman" w:eastAsia="宋体" w:cs="Times New Roman"/>
                <w:sz w:val="16"/>
                <w:szCs w:val="16"/>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废水治理（万元）</w:t>
            </w:r>
          </w:p>
        </w:tc>
        <w:tc>
          <w:tcPr>
            <w:tcW w:w="850" w:type="dxa"/>
            <w:vAlign w:val="center"/>
          </w:tcPr>
          <w:p>
            <w:pPr>
              <w:rPr>
                <w:rFonts w:ascii="Times New Roman" w:hAnsi="Times New Roman" w:eastAsia="宋体" w:cs="Times New Roman"/>
                <w:b/>
                <w:sz w:val="16"/>
                <w:szCs w:val="16"/>
              </w:rPr>
            </w:pPr>
            <w:r>
              <w:rPr>
                <w:rFonts w:ascii="Times New Roman" w:hAnsi="Times New Roman" w:eastAsia="宋体" w:cs="Times New Roman"/>
                <w:sz w:val="16"/>
                <w:szCs w:val="16"/>
              </w:rPr>
              <w:t>/</w:t>
            </w:r>
          </w:p>
        </w:tc>
        <w:tc>
          <w:tcPr>
            <w:tcW w:w="2235"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废气治理（万元）</w:t>
            </w:r>
          </w:p>
        </w:tc>
        <w:tc>
          <w:tcPr>
            <w:tcW w:w="529" w:type="dxa"/>
            <w:vAlign w:val="center"/>
          </w:tcPr>
          <w:p>
            <w:pPr>
              <w:rPr>
                <w:rFonts w:ascii="Times New Roman" w:hAnsi="Times New Roman" w:eastAsia="宋体" w:cs="Times New Roman"/>
                <w:b/>
                <w:sz w:val="16"/>
                <w:szCs w:val="16"/>
              </w:rPr>
            </w:pPr>
            <w:r>
              <w:rPr>
                <w:rFonts w:ascii="Times New Roman" w:hAnsi="Times New Roman" w:eastAsia="宋体" w:cs="Times New Roman"/>
                <w:sz w:val="16"/>
                <w:szCs w:val="16"/>
              </w:rPr>
              <w:t>/</w:t>
            </w:r>
          </w:p>
        </w:tc>
        <w:tc>
          <w:tcPr>
            <w:tcW w:w="2090"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噪声治理（万元）</w:t>
            </w:r>
          </w:p>
        </w:tc>
        <w:tc>
          <w:tcPr>
            <w:tcW w:w="532" w:type="dxa"/>
            <w:vAlign w:val="center"/>
          </w:tcPr>
          <w:p>
            <w:pPr>
              <w:rPr>
                <w:rFonts w:ascii="Times New Roman" w:hAnsi="Times New Roman" w:eastAsia="宋体" w:cs="Times New Roman"/>
                <w:b/>
                <w:sz w:val="16"/>
                <w:szCs w:val="16"/>
              </w:rPr>
            </w:pPr>
            <w:r>
              <w:rPr>
                <w:rFonts w:ascii="Times New Roman" w:hAnsi="Times New Roman" w:eastAsia="宋体" w:cs="Times New Roman"/>
                <w:sz w:val="16"/>
                <w:szCs w:val="16"/>
              </w:rPr>
              <w:t>/</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固废废物治理（万元）</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绿化及生态（万元）</w:t>
            </w:r>
          </w:p>
        </w:tc>
        <w:tc>
          <w:tcPr>
            <w:tcW w:w="1681"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380"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其他（万元）</w:t>
            </w:r>
          </w:p>
        </w:tc>
        <w:tc>
          <w:tcPr>
            <w:tcW w:w="1175" w:type="dxa"/>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524" w:type="dxa"/>
            <w:vMerge w:val="continue"/>
            <w:vAlign w:val="center"/>
          </w:tcPr>
          <w:p>
            <w:pPr>
              <w:rPr>
                <w:rFonts w:ascii="Times New Roman" w:hAnsi="Times New Roman" w:eastAsia="宋体" w:cs="Times New Roman"/>
                <w:b/>
                <w:sz w:val="16"/>
                <w:szCs w:val="16"/>
              </w:rPr>
            </w:pPr>
          </w:p>
        </w:tc>
        <w:tc>
          <w:tcPr>
            <w:tcW w:w="3099"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新增废水处理设施能力</w:t>
            </w:r>
          </w:p>
        </w:tc>
        <w:tc>
          <w:tcPr>
            <w:tcW w:w="6236" w:type="dxa"/>
            <w:gridSpan w:val="7"/>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2987" w:type="dxa"/>
            <w:gridSpan w:val="3"/>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新增废气处理设施能力</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年平均工作时</w:t>
            </w:r>
          </w:p>
        </w:tc>
        <w:tc>
          <w:tcPr>
            <w:tcW w:w="4236" w:type="dxa"/>
            <w:gridSpan w:val="3"/>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623" w:type="dxa"/>
            <w:gridSpan w:val="4"/>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运营单位</w:t>
            </w:r>
          </w:p>
        </w:tc>
        <w:tc>
          <w:tcPr>
            <w:tcW w:w="5631" w:type="dxa"/>
            <w:gridSpan w:val="5"/>
            <w:vAlign w:val="center"/>
          </w:tcPr>
          <w:p>
            <w:pPr>
              <w:spacing w:line="240" w:lineRule="exact"/>
              <w:rPr>
                <w:rFonts w:ascii="Times New Roman" w:hAnsi="Times New Roman" w:eastAsia="宋体" w:cs="Times New Roman"/>
                <w:sz w:val="16"/>
                <w:szCs w:val="16"/>
              </w:rPr>
            </w:pPr>
            <w:r>
              <w:rPr>
                <w:rFonts w:hint="eastAsia" w:ascii="Times New Roman" w:hAnsi="Times New Roman" w:eastAsia="宋体" w:cs="Times New Roman"/>
                <w:sz w:val="16"/>
                <w:szCs w:val="16"/>
              </w:rPr>
              <w:t>中海油贵州销售有限公司三荔高速荔波东加油站</w:t>
            </w:r>
          </w:p>
        </w:tc>
        <w:tc>
          <w:tcPr>
            <w:tcW w:w="3592" w:type="dxa"/>
            <w:gridSpan w:val="5"/>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运营单位社会统一信用代码（或组织机构代码）</w:t>
            </w:r>
          </w:p>
        </w:tc>
        <w:tc>
          <w:tcPr>
            <w:tcW w:w="2975" w:type="dxa"/>
            <w:vAlign w:val="center"/>
          </w:tcPr>
          <w:p>
            <w:pPr>
              <w:rPr>
                <w:rFonts w:ascii="Times New Roman" w:hAnsi="Times New Roman" w:eastAsia="宋体" w:cs="Times New Roman"/>
                <w:sz w:val="16"/>
                <w:szCs w:val="16"/>
              </w:rPr>
            </w:pPr>
            <w:r>
              <w:rPr>
                <w:rFonts w:ascii="Times New Roman" w:hAnsi="Times New Roman" w:eastAsia="宋体" w:cs="Times New Roman"/>
                <w:sz w:val="16"/>
                <w:szCs w:val="16"/>
              </w:rPr>
              <w:t>915227</w:t>
            </w:r>
            <w:r>
              <w:rPr>
                <w:rFonts w:hint="eastAsia" w:ascii="Times New Roman" w:hAnsi="Times New Roman" w:eastAsia="宋体" w:cs="Times New Roman"/>
                <w:sz w:val="16"/>
                <w:szCs w:val="16"/>
              </w:rPr>
              <w:t>32</w:t>
            </w:r>
            <w:r>
              <w:rPr>
                <w:rFonts w:ascii="Times New Roman" w:hAnsi="Times New Roman" w:eastAsia="宋体" w:cs="Times New Roman"/>
                <w:sz w:val="16"/>
                <w:szCs w:val="16"/>
              </w:rPr>
              <w:t>MA6HX4PM</w:t>
            </w:r>
            <w:r>
              <w:rPr>
                <w:rFonts w:hint="eastAsia" w:ascii="Times New Roman" w:hAnsi="Times New Roman" w:eastAsia="宋体" w:cs="Times New Roman"/>
                <w:sz w:val="16"/>
                <w:szCs w:val="16"/>
              </w:rPr>
              <w:t>39</w:t>
            </w:r>
          </w:p>
        </w:tc>
        <w:tc>
          <w:tcPr>
            <w:tcW w:w="1843" w:type="dxa"/>
            <w:vAlign w:val="center"/>
          </w:tcPr>
          <w:p>
            <w:pPr>
              <w:rPr>
                <w:rFonts w:ascii="Times New Roman" w:hAnsi="Times New Roman" w:eastAsia="宋体" w:cs="Times New Roman"/>
                <w:b/>
                <w:sz w:val="16"/>
                <w:szCs w:val="16"/>
              </w:rPr>
            </w:pPr>
            <w:r>
              <w:rPr>
                <w:rFonts w:ascii="Times New Roman" w:hAnsi="Times New Roman" w:eastAsia="宋体" w:cs="Times New Roman"/>
                <w:b/>
                <w:sz w:val="16"/>
                <w:szCs w:val="16"/>
              </w:rPr>
              <w:t>验收时间</w:t>
            </w:r>
          </w:p>
        </w:tc>
        <w:tc>
          <w:tcPr>
            <w:tcW w:w="4236" w:type="dxa"/>
            <w:gridSpan w:val="3"/>
            <w:vAlign w:val="center"/>
          </w:tcPr>
          <w:p>
            <w:pPr>
              <w:rPr>
                <w:rFonts w:ascii="Times New Roman" w:hAnsi="Times New Roman" w:eastAsia="宋体" w:cs="Times New Roman"/>
                <w:sz w:val="16"/>
                <w:szCs w:val="16"/>
              </w:rPr>
            </w:pPr>
            <w:r>
              <w:rPr>
                <w:rFonts w:hint="eastAsia" w:ascii="Times New Roman" w:hAnsi="Times New Roman" w:eastAsia="宋体" w:cs="Times New Roman"/>
                <w:sz w:val="16"/>
                <w:szCs w:val="16"/>
              </w:rPr>
              <w:t>2020年4、5月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896" w:type="dxa"/>
            <w:gridSpan w:val="2"/>
            <w:vMerge w:val="restart"/>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污染物排放达标与总量控制（工业建设项目详填）</w:t>
            </w: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污染物</w:t>
            </w:r>
          </w:p>
        </w:tc>
        <w:tc>
          <w:tcPr>
            <w:tcW w:w="850"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原有排放量（1）</w:t>
            </w:r>
          </w:p>
        </w:tc>
        <w:tc>
          <w:tcPr>
            <w:tcW w:w="2235"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本期工程实际排放浓度（2）</w:t>
            </w:r>
          </w:p>
        </w:tc>
        <w:tc>
          <w:tcPr>
            <w:tcW w:w="962"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本期工程允许排放浓度（3）</w:t>
            </w:r>
          </w:p>
        </w:tc>
        <w:tc>
          <w:tcPr>
            <w:tcW w:w="1584"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本期工程生产量（4）</w:t>
            </w:r>
          </w:p>
        </w:tc>
        <w:tc>
          <w:tcPr>
            <w:tcW w:w="1247" w:type="dxa"/>
            <w:gridSpan w:val="3"/>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本期工程自身削减量（5）</w:t>
            </w:r>
          </w:p>
        </w:tc>
        <w:tc>
          <w:tcPr>
            <w:tcW w:w="1128"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本期工程实际排放量（6）</w:t>
            </w:r>
          </w:p>
        </w:tc>
        <w:tc>
          <w:tcPr>
            <w:tcW w:w="1217"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本期工程核定排放总量（7）</w:t>
            </w:r>
          </w:p>
        </w:tc>
        <w:tc>
          <w:tcPr>
            <w:tcW w:w="2975"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本期工程“以新带老”削减量（8）</w:t>
            </w:r>
          </w:p>
        </w:tc>
        <w:tc>
          <w:tcPr>
            <w:tcW w:w="1843"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全厂实际排放总量（9）</w:t>
            </w:r>
          </w:p>
        </w:tc>
        <w:tc>
          <w:tcPr>
            <w:tcW w:w="1681"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全厂核定排放总量（10）</w:t>
            </w:r>
          </w:p>
        </w:tc>
        <w:tc>
          <w:tcPr>
            <w:tcW w:w="1380"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区域平衡替代削减量（11）</w:t>
            </w:r>
          </w:p>
        </w:tc>
        <w:tc>
          <w:tcPr>
            <w:tcW w:w="1175" w:type="dxa"/>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废水</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sz w:val="16"/>
                <w:szCs w:val="16"/>
              </w:rPr>
            </w:pPr>
          </w:p>
        </w:tc>
        <w:tc>
          <w:tcPr>
            <w:tcW w:w="1247" w:type="dxa"/>
            <w:gridSpan w:val="3"/>
            <w:vAlign w:val="center"/>
          </w:tcPr>
          <w:p>
            <w:pPr>
              <w:rPr>
                <w:rFonts w:ascii="Times New Roman" w:hAnsi="Times New Roman" w:eastAsia="宋体" w:cs="Times New Roman"/>
                <w:sz w:val="16"/>
                <w:szCs w:val="16"/>
              </w:rPr>
            </w:pPr>
          </w:p>
        </w:tc>
        <w:tc>
          <w:tcPr>
            <w:tcW w:w="1128" w:type="dxa"/>
            <w:vAlign w:val="center"/>
          </w:tcPr>
          <w:p>
            <w:pPr>
              <w:rPr>
                <w:rFonts w:ascii="Times New Roman" w:hAnsi="Times New Roman" w:eastAsia="宋体" w:cs="Times New Roman"/>
                <w:sz w:val="16"/>
                <w:szCs w:val="16"/>
              </w:rPr>
            </w:pPr>
          </w:p>
        </w:tc>
        <w:tc>
          <w:tcPr>
            <w:tcW w:w="1217" w:type="dxa"/>
            <w:vAlign w:val="center"/>
          </w:tcPr>
          <w:p>
            <w:pPr>
              <w:rPr>
                <w:rFonts w:ascii="Times New Roman" w:hAnsi="Times New Roman" w:eastAsia="宋体" w:cs="Times New Roman"/>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sz w:val="16"/>
                <w:szCs w:val="16"/>
              </w:rPr>
            </w:pPr>
          </w:p>
        </w:tc>
        <w:tc>
          <w:tcPr>
            <w:tcW w:w="1681" w:type="dxa"/>
            <w:vAlign w:val="center"/>
          </w:tcPr>
          <w:p>
            <w:pPr>
              <w:rPr>
                <w:rFonts w:ascii="Times New Roman" w:hAnsi="Times New Roman" w:eastAsia="宋体" w:cs="Times New Roman"/>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化学需氧量</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sz w:val="16"/>
                <w:szCs w:val="16"/>
              </w:rPr>
            </w:pPr>
          </w:p>
        </w:tc>
        <w:tc>
          <w:tcPr>
            <w:tcW w:w="1584" w:type="dxa"/>
            <w:vAlign w:val="center"/>
          </w:tcPr>
          <w:p>
            <w:pPr>
              <w:rPr>
                <w:rFonts w:ascii="Times New Roman" w:hAnsi="Times New Roman" w:eastAsia="宋体" w:cs="Times New Roman"/>
                <w:sz w:val="16"/>
                <w:szCs w:val="16"/>
              </w:rPr>
            </w:pPr>
          </w:p>
        </w:tc>
        <w:tc>
          <w:tcPr>
            <w:tcW w:w="1247" w:type="dxa"/>
            <w:gridSpan w:val="3"/>
            <w:vAlign w:val="center"/>
          </w:tcPr>
          <w:p>
            <w:pPr>
              <w:rPr>
                <w:rFonts w:ascii="Times New Roman" w:hAnsi="Times New Roman" w:eastAsia="宋体" w:cs="Times New Roman"/>
                <w:sz w:val="16"/>
                <w:szCs w:val="16"/>
              </w:rPr>
            </w:pPr>
          </w:p>
        </w:tc>
        <w:tc>
          <w:tcPr>
            <w:tcW w:w="1128" w:type="dxa"/>
            <w:vAlign w:val="center"/>
          </w:tcPr>
          <w:p>
            <w:pPr>
              <w:rPr>
                <w:rFonts w:ascii="Times New Roman" w:hAnsi="Times New Roman" w:eastAsia="宋体" w:cs="Times New Roman"/>
                <w:sz w:val="16"/>
                <w:szCs w:val="16"/>
              </w:rPr>
            </w:pPr>
          </w:p>
        </w:tc>
        <w:tc>
          <w:tcPr>
            <w:tcW w:w="1217" w:type="dxa"/>
            <w:vAlign w:val="center"/>
          </w:tcPr>
          <w:p>
            <w:pPr>
              <w:rPr>
                <w:rFonts w:ascii="Times New Roman" w:hAnsi="Times New Roman" w:eastAsia="宋体" w:cs="Times New Roman"/>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sz w:val="16"/>
                <w:szCs w:val="16"/>
              </w:rPr>
            </w:pPr>
          </w:p>
        </w:tc>
        <w:tc>
          <w:tcPr>
            <w:tcW w:w="1681" w:type="dxa"/>
            <w:vAlign w:val="center"/>
          </w:tcPr>
          <w:p>
            <w:pPr>
              <w:rPr>
                <w:rFonts w:ascii="Times New Roman" w:hAnsi="Times New Roman" w:eastAsia="宋体" w:cs="Times New Roman"/>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氨氮</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sz w:val="16"/>
                <w:szCs w:val="16"/>
              </w:rPr>
            </w:pPr>
          </w:p>
        </w:tc>
        <w:tc>
          <w:tcPr>
            <w:tcW w:w="1584" w:type="dxa"/>
            <w:vAlign w:val="center"/>
          </w:tcPr>
          <w:p>
            <w:pPr>
              <w:rPr>
                <w:rFonts w:ascii="Times New Roman" w:hAnsi="Times New Roman" w:eastAsia="宋体" w:cs="Times New Roman"/>
                <w:sz w:val="16"/>
                <w:szCs w:val="16"/>
              </w:rPr>
            </w:pPr>
          </w:p>
        </w:tc>
        <w:tc>
          <w:tcPr>
            <w:tcW w:w="1247" w:type="dxa"/>
            <w:gridSpan w:val="3"/>
            <w:vAlign w:val="center"/>
          </w:tcPr>
          <w:p>
            <w:pPr>
              <w:rPr>
                <w:rFonts w:ascii="Times New Roman" w:hAnsi="Times New Roman" w:eastAsia="宋体" w:cs="Times New Roman"/>
                <w:sz w:val="16"/>
                <w:szCs w:val="16"/>
              </w:rPr>
            </w:pPr>
          </w:p>
        </w:tc>
        <w:tc>
          <w:tcPr>
            <w:tcW w:w="1128" w:type="dxa"/>
            <w:vAlign w:val="center"/>
          </w:tcPr>
          <w:p>
            <w:pPr>
              <w:rPr>
                <w:rFonts w:ascii="Times New Roman" w:hAnsi="Times New Roman" w:eastAsia="宋体" w:cs="Times New Roman"/>
                <w:sz w:val="16"/>
                <w:szCs w:val="16"/>
              </w:rPr>
            </w:pPr>
          </w:p>
        </w:tc>
        <w:tc>
          <w:tcPr>
            <w:tcW w:w="1217" w:type="dxa"/>
            <w:vAlign w:val="center"/>
          </w:tcPr>
          <w:p>
            <w:pPr>
              <w:rPr>
                <w:rFonts w:ascii="Times New Roman" w:hAnsi="Times New Roman" w:eastAsia="宋体" w:cs="Times New Roman"/>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sz w:val="16"/>
                <w:szCs w:val="16"/>
              </w:rPr>
            </w:pPr>
          </w:p>
        </w:tc>
        <w:tc>
          <w:tcPr>
            <w:tcW w:w="1681" w:type="dxa"/>
            <w:vAlign w:val="center"/>
          </w:tcPr>
          <w:p>
            <w:pPr>
              <w:rPr>
                <w:rFonts w:ascii="Times New Roman" w:hAnsi="Times New Roman" w:eastAsia="宋体" w:cs="Times New Roman"/>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石油类</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废气</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二氧化硫</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烟尘</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工业粉尘</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氮氧化物</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2727" w:type="dxa"/>
            <w:gridSpan w:val="2"/>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工业固体废物</w:t>
            </w: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96" w:type="dxa"/>
            <w:gridSpan w:val="2"/>
            <w:vMerge w:val="continue"/>
            <w:vAlign w:val="center"/>
          </w:tcPr>
          <w:p>
            <w:pPr>
              <w:spacing w:line="240" w:lineRule="exact"/>
              <w:rPr>
                <w:rFonts w:ascii="Times New Roman" w:hAnsi="Times New Roman" w:eastAsia="宋体" w:cs="Times New Roman"/>
                <w:b/>
                <w:sz w:val="16"/>
                <w:szCs w:val="16"/>
              </w:rPr>
            </w:pPr>
          </w:p>
        </w:tc>
        <w:tc>
          <w:tcPr>
            <w:tcW w:w="1838" w:type="dxa"/>
            <w:vMerge w:val="restart"/>
            <w:vAlign w:val="center"/>
          </w:tcPr>
          <w:p>
            <w:pPr>
              <w:spacing w:line="240" w:lineRule="exact"/>
              <w:rPr>
                <w:rFonts w:ascii="Times New Roman" w:hAnsi="Times New Roman" w:eastAsia="宋体" w:cs="Times New Roman"/>
                <w:b/>
                <w:sz w:val="16"/>
                <w:szCs w:val="16"/>
              </w:rPr>
            </w:pPr>
            <w:r>
              <w:rPr>
                <w:rFonts w:ascii="Times New Roman" w:hAnsi="Times New Roman" w:eastAsia="宋体" w:cs="Times New Roman"/>
                <w:b/>
                <w:sz w:val="16"/>
                <w:szCs w:val="16"/>
              </w:rPr>
              <w:t>与项目有关的其他特征污染物</w:t>
            </w:r>
          </w:p>
        </w:tc>
        <w:tc>
          <w:tcPr>
            <w:tcW w:w="889" w:type="dxa"/>
            <w:vAlign w:val="center"/>
          </w:tcPr>
          <w:p>
            <w:pPr>
              <w:rPr>
                <w:rFonts w:ascii="Times New Roman" w:hAnsi="Times New Roman" w:eastAsia="宋体" w:cs="Times New Roman"/>
                <w:b/>
                <w:sz w:val="16"/>
                <w:szCs w:val="16"/>
              </w:rPr>
            </w:pP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896" w:type="dxa"/>
            <w:gridSpan w:val="2"/>
            <w:vMerge w:val="continue"/>
            <w:vAlign w:val="center"/>
          </w:tcPr>
          <w:p>
            <w:pPr>
              <w:rPr>
                <w:rFonts w:ascii="Times New Roman" w:hAnsi="Times New Roman" w:eastAsia="宋体" w:cs="Times New Roman"/>
                <w:b/>
                <w:sz w:val="16"/>
                <w:szCs w:val="16"/>
              </w:rPr>
            </w:pPr>
          </w:p>
        </w:tc>
        <w:tc>
          <w:tcPr>
            <w:tcW w:w="1838" w:type="dxa"/>
            <w:vMerge w:val="continue"/>
            <w:vAlign w:val="center"/>
          </w:tcPr>
          <w:p>
            <w:pPr>
              <w:rPr>
                <w:rFonts w:ascii="Times New Roman" w:hAnsi="Times New Roman" w:eastAsia="宋体" w:cs="Times New Roman"/>
                <w:b/>
                <w:sz w:val="16"/>
                <w:szCs w:val="16"/>
              </w:rPr>
            </w:pPr>
          </w:p>
        </w:tc>
        <w:tc>
          <w:tcPr>
            <w:tcW w:w="889" w:type="dxa"/>
            <w:vAlign w:val="center"/>
          </w:tcPr>
          <w:p>
            <w:pPr>
              <w:rPr>
                <w:rFonts w:ascii="Times New Roman" w:hAnsi="Times New Roman" w:eastAsia="宋体" w:cs="Times New Roman"/>
                <w:b/>
                <w:sz w:val="16"/>
                <w:szCs w:val="16"/>
              </w:rPr>
            </w:pP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896" w:type="dxa"/>
            <w:gridSpan w:val="2"/>
            <w:vMerge w:val="continue"/>
            <w:vAlign w:val="center"/>
          </w:tcPr>
          <w:p>
            <w:pPr>
              <w:rPr>
                <w:rFonts w:ascii="Times New Roman" w:hAnsi="Times New Roman" w:eastAsia="宋体" w:cs="Times New Roman"/>
                <w:b/>
                <w:sz w:val="16"/>
                <w:szCs w:val="16"/>
              </w:rPr>
            </w:pPr>
          </w:p>
        </w:tc>
        <w:tc>
          <w:tcPr>
            <w:tcW w:w="1838" w:type="dxa"/>
            <w:vMerge w:val="continue"/>
            <w:vAlign w:val="center"/>
          </w:tcPr>
          <w:p>
            <w:pPr>
              <w:rPr>
                <w:rFonts w:ascii="Times New Roman" w:hAnsi="Times New Roman" w:eastAsia="宋体" w:cs="Times New Roman"/>
                <w:b/>
                <w:sz w:val="16"/>
                <w:szCs w:val="16"/>
              </w:rPr>
            </w:pPr>
          </w:p>
        </w:tc>
        <w:tc>
          <w:tcPr>
            <w:tcW w:w="889" w:type="dxa"/>
            <w:vAlign w:val="center"/>
          </w:tcPr>
          <w:p>
            <w:pPr>
              <w:rPr>
                <w:rFonts w:ascii="Times New Roman" w:hAnsi="Times New Roman" w:eastAsia="宋体" w:cs="Times New Roman"/>
                <w:b/>
                <w:sz w:val="16"/>
                <w:szCs w:val="16"/>
              </w:rPr>
            </w:pPr>
          </w:p>
        </w:tc>
        <w:tc>
          <w:tcPr>
            <w:tcW w:w="850" w:type="dxa"/>
            <w:vAlign w:val="center"/>
          </w:tcPr>
          <w:p>
            <w:pPr>
              <w:rPr>
                <w:rFonts w:ascii="Times New Roman" w:hAnsi="Times New Roman" w:eastAsia="宋体" w:cs="Times New Roman"/>
                <w:b/>
                <w:sz w:val="16"/>
                <w:szCs w:val="16"/>
              </w:rPr>
            </w:pPr>
          </w:p>
        </w:tc>
        <w:tc>
          <w:tcPr>
            <w:tcW w:w="2235" w:type="dxa"/>
            <w:vAlign w:val="center"/>
          </w:tcPr>
          <w:p>
            <w:pPr>
              <w:rPr>
                <w:rFonts w:ascii="Times New Roman" w:hAnsi="Times New Roman" w:eastAsia="宋体" w:cs="Times New Roman"/>
                <w:b/>
                <w:sz w:val="16"/>
                <w:szCs w:val="16"/>
              </w:rPr>
            </w:pPr>
          </w:p>
        </w:tc>
        <w:tc>
          <w:tcPr>
            <w:tcW w:w="962" w:type="dxa"/>
            <w:gridSpan w:val="2"/>
            <w:vAlign w:val="center"/>
          </w:tcPr>
          <w:p>
            <w:pPr>
              <w:rPr>
                <w:rFonts w:ascii="Times New Roman" w:hAnsi="Times New Roman" w:eastAsia="宋体" w:cs="Times New Roman"/>
                <w:b/>
                <w:sz w:val="16"/>
                <w:szCs w:val="16"/>
              </w:rPr>
            </w:pPr>
          </w:p>
        </w:tc>
        <w:tc>
          <w:tcPr>
            <w:tcW w:w="1584" w:type="dxa"/>
            <w:vAlign w:val="center"/>
          </w:tcPr>
          <w:p>
            <w:pPr>
              <w:rPr>
                <w:rFonts w:ascii="Times New Roman" w:hAnsi="Times New Roman" w:eastAsia="宋体" w:cs="Times New Roman"/>
                <w:b/>
                <w:sz w:val="16"/>
                <w:szCs w:val="16"/>
              </w:rPr>
            </w:pPr>
          </w:p>
        </w:tc>
        <w:tc>
          <w:tcPr>
            <w:tcW w:w="1247" w:type="dxa"/>
            <w:gridSpan w:val="3"/>
            <w:vAlign w:val="center"/>
          </w:tcPr>
          <w:p>
            <w:pPr>
              <w:rPr>
                <w:rFonts w:ascii="Times New Roman" w:hAnsi="Times New Roman" w:eastAsia="宋体" w:cs="Times New Roman"/>
                <w:b/>
                <w:sz w:val="16"/>
                <w:szCs w:val="16"/>
              </w:rPr>
            </w:pPr>
          </w:p>
        </w:tc>
        <w:tc>
          <w:tcPr>
            <w:tcW w:w="1128" w:type="dxa"/>
            <w:vAlign w:val="center"/>
          </w:tcPr>
          <w:p>
            <w:pPr>
              <w:rPr>
                <w:rFonts w:ascii="Times New Roman" w:hAnsi="Times New Roman" w:eastAsia="宋体" w:cs="Times New Roman"/>
                <w:b/>
                <w:sz w:val="16"/>
                <w:szCs w:val="16"/>
              </w:rPr>
            </w:pPr>
          </w:p>
        </w:tc>
        <w:tc>
          <w:tcPr>
            <w:tcW w:w="1217" w:type="dxa"/>
            <w:vAlign w:val="center"/>
          </w:tcPr>
          <w:p>
            <w:pPr>
              <w:rPr>
                <w:rFonts w:ascii="Times New Roman" w:hAnsi="Times New Roman" w:eastAsia="宋体" w:cs="Times New Roman"/>
                <w:b/>
                <w:sz w:val="16"/>
                <w:szCs w:val="16"/>
              </w:rPr>
            </w:pPr>
          </w:p>
        </w:tc>
        <w:tc>
          <w:tcPr>
            <w:tcW w:w="2975" w:type="dxa"/>
            <w:vAlign w:val="center"/>
          </w:tcPr>
          <w:p>
            <w:pPr>
              <w:rPr>
                <w:rFonts w:ascii="Times New Roman" w:hAnsi="Times New Roman" w:eastAsia="宋体" w:cs="Times New Roman"/>
                <w:b/>
                <w:sz w:val="16"/>
                <w:szCs w:val="16"/>
              </w:rPr>
            </w:pPr>
          </w:p>
        </w:tc>
        <w:tc>
          <w:tcPr>
            <w:tcW w:w="1843" w:type="dxa"/>
            <w:vAlign w:val="center"/>
          </w:tcPr>
          <w:p>
            <w:pPr>
              <w:rPr>
                <w:rFonts w:ascii="Times New Roman" w:hAnsi="Times New Roman" w:eastAsia="宋体" w:cs="Times New Roman"/>
                <w:b/>
                <w:sz w:val="16"/>
                <w:szCs w:val="16"/>
              </w:rPr>
            </w:pPr>
          </w:p>
        </w:tc>
        <w:tc>
          <w:tcPr>
            <w:tcW w:w="1681" w:type="dxa"/>
            <w:vAlign w:val="center"/>
          </w:tcPr>
          <w:p>
            <w:pPr>
              <w:rPr>
                <w:rFonts w:ascii="Times New Roman" w:hAnsi="Times New Roman" w:eastAsia="宋体" w:cs="Times New Roman"/>
                <w:b/>
                <w:sz w:val="16"/>
                <w:szCs w:val="16"/>
              </w:rPr>
            </w:pPr>
          </w:p>
        </w:tc>
        <w:tc>
          <w:tcPr>
            <w:tcW w:w="1380" w:type="dxa"/>
            <w:vAlign w:val="center"/>
          </w:tcPr>
          <w:p>
            <w:pPr>
              <w:rPr>
                <w:rFonts w:ascii="Times New Roman" w:hAnsi="Times New Roman" w:eastAsia="宋体" w:cs="Times New Roman"/>
                <w:b/>
                <w:sz w:val="16"/>
                <w:szCs w:val="16"/>
              </w:rPr>
            </w:pPr>
          </w:p>
        </w:tc>
        <w:tc>
          <w:tcPr>
            <w:tcW w:w="1175" w:type="dxa"/>
            <w:vAlign w:val="center"/>
          </w:tcPr>
          <w:p>
            <w:pPr>
              <w:rPr>
                <w:rFonts w:ascii="Times New Roman" w:hAnsi="Times New Roman" w:eastAsia="宋体" w:cs="Times New Roman"/>
                <w:b/>
                <w:sz w:val="16"/>
                <w:szCs w:val="16"/>
              </w:rPr>
            </w:pPr>
          </w:p>
        </w:tc>
      </w:tr>
    </w:tbl>
    <w:p>
      <w:pPr>
        <w:ind w:firstLine="132" w:firstLineChars="83"/>
        <w:rPr>
          <w:rFonts w:ascii="Times New Roman" w:hAnsi="Times New Roman" w:cs="Times New Roman"/>
          <w:sz w:val="20"/>
          <w:szCs w:val="22"/>
        </w:rPr>
      </w:pPr>
      <w:r>
        <w:rPr>
          <w:rFonts w:ascii="Times New Roman" w:hAnsi="Times New Roman" w:eastAsia="宋体" w:cs="Times New Roman"/>
          <w:sz w:val="16"/>
          <w:szCs w:val="16"/>
        </w:rPr>
        <w:t>注：1、排放增减量：（+）表示增加，（-）表示减少。2、（12）=（6）-（8）-（11），（9）=（4）+（5）-（8）-（11）+（1）。3、计量单位：废水排放量——万吨/年；废气排放量——万标立方米/年；工业固体废物排放量——万吨/年；水污染物排放浓度——毫克/升。</w:t>
      </w:r>
    </w:p>
    <w:p>
      <w:pPr>
        <w:pStyle w:val="8"/>
        <w:rPr>
          <w:rFonts w:ascii="Times New Roman" w:hAnsi="Times New Roman" w:cs="Times New Roman"/>
          <w:sz w:val="22"/>
          <w:szCs w:val="18"/>
        </w:rPr>
      </w:pPr>
    </w:p>
    <w:p>
      <w:pPr>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rPr>
          <w:rFonts w:ascii="Times New Roman" w:hAnsi="Times New Roman" w:cs="Times New Roman"/>
        </w:rPr>
      </w:pPr>
      <w:r>
        <w:rPr>
          <w:rFonts w:hint="eastAsia" w:ascii="Times New Roman" w:hAnsi="Times New Roman" w:cs="Times New Roman"/>
        </w:rPr>
        <w:t>附件2：检测报告</w:t>
      </w:r>
    </w:p>
    <w:p>
      <w:r>
        <w:drawing>
          <wp:inline distT="0" distB="0" distL="114300" distR="114300">
            <wp:extent cx="5873750" cy="8190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rcRect t="998" r="2074"/>
                    <a:stretch>
                      <a:fillRect/>
                    </a:stretch>
                  </pic:blipFill>
                  <pic:spPr>
                    <a:xfrm>
                      <a:off x="0" y="0"/>
                      <a:ext cx="5873750" cy="8190865"/>
                    </a:xfrm>
                    <a:prstGeom prst="rect">
                      <a:avLst/>
                    </a:prstGeom>
                    <a:noFill/>
                    <a:ln>
                      <a:noFill/>
                    </a:ln>
                  </pic:spPr>
                </pic:pic>
              </a:graphicData>
            </a:graphic>
          </wp:inline>
        </w:drawing>
      </w:r>
    </w:p>
    <w:p/>
    <w:p>
      <w:r>
        <w:drawing>
          <wp:inline distT="0" distB="0" distL="114300" distR="114300">
            <wp:extent cx="5872480" cy="8502650"/>
            <wp:effectExtent l="0" t="0" r="1397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rcRect r="495" b="3574"/>
                    <a:stretch>
                      <a:fillRect/>
                    </a:stretch>
                  </pic:blipFill>
                  <pic:spPr>
                    <a:xfrm>
                      <a:off x="0" y="0"/>
                      <a:ext cx="5872480" cy="8502650"/>
                    </a:xfrm>
                    <a:prstGeom prst="rect">
                      <a:avLst/>
                    </a:prstGeom>
                    <a:noFill/>
                    <a:ln>
                      <a:noFill/>
                    </a:ln>
                  </pic:spPr>
                </pic:pic>
              </a:graphicData>
            </a:graphic>
          </wp:inline>
        </w:drawing>
      </w:r>
    </w:p>
    <w:p/>
    <w:p/>
    <w:p>
      <w:r>
        <w:drawing>
          <wp:inline distT="0" distB="0" distL="114300" distR="114300">
            <wp:extent cx="6085840" cy="8352790"/>
            <wp:effectExtent l="0" t="0" r="1016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6085840" cy="8352790"/>
                    </a:xfrm>
                    <a:prstGeom prst="rect">
                      <a:avLst/>
                    </a:prstGeom>
                    <a:noFill/>
                    <a:ln>
                      <a:noFill/>
                    </a:ln>
                  </pic:spPr>
                </pic:pic>
              </a:graphicData>
            </a:graphic>
          </wp:inline>
        </w:drawing>
      </w:r>
    </w:p>
    <w:p/>
    <w:p>
      <w:r>
        <w:drawing>
          <wp:inline distT="0" distB="0" distL="114300" distR="114300">
            <wp:extent cx="6096000" cy="8336915"/>
            <wp:effectExtent l="0" t="0" r="0" b="698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3"/>
                    <a:stretch>
                      <a:fillRect/>
                    </a:stretch>
                  </pic:blipFill>
                  <pic:spPr>
                    <a:xfrm>
                      <a:off x="0" y="0"/>
                      <a:ext cx="6096000" cy="8336915"/>
                    </a:xfrm>
                    <a:prstGeom prst="rect">
                      <a:avLst/>
                    </a:prstGeom>
                    <a:noFill/>
                    <a:ln>
                      <a:noFill/>
                    </a:ln>
                  </pic:spPr>
                </pic:pic>
              </a:graphicData>
            </a:graphic>
          </wp:inline>
        </w:drawing>
      </w:r>
    </w:p>
    <w:p>
      <w:r>
        <w:rPr>
          <w:rFonts w:hint="eastAsia"/>
        </w:rPr>
        <w:t xml:space="preserve"> </w:t>
      </w:r>
      <w:r>
        <w:drawing>
          <wp:inline distT="0" distB="0" distL="114300" distR="114300">
            <wp:extent cx="6019800" cy="8380730"/>
            <wp:effectExtent l="0" t="0" r="0"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4"/>
                    <a:stretch>
                      <a:fillRect/>
                    </a:stretch>
                  </pic:blipFill>
                  <pic:spPr>
                    <a:xfrm>
                      <a:off x="0" y="0"/>
                      <a:ext cx="6019800" cy="8380730"/>
                    </a:xfrm>
                    <a:prstGeom prst="rect">
                      <a:avLst/>
                    </a:prstGeom>
                    <a:noFill/>
                    <a:ln>
                      <a:noFill/>
                    </a:ln>
                  </pic:spPr>
                </pic:pic>
              </a:graphicData>
            </a:graphic>
          </wp:inline>
        </w:drawing>
      </w:r>
    </w:p>
    <w:p/>
    <w:p>
      <w:r>
        <w:rPr>
          <w:rFonts w:hint="eastAsia"/>
        </w:rPr>
        <w:t xml:space="preserve">  </w:t>
      </w:r>
      <w:r>
        <w:drawing>
          <wp:inline distT="0" distB="0" distL="114300" distR="114300">
            <wp:extent cx="6142990" cy="8295640"/>
            <wp:effectExtent l="0" t="0" r="10160" b="1016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5"/>
                    <a:stretch>
                      <a:fillRect/>
                    </a:stretch>
                  </pic:blipFill>
                  <pic:spPr>
                    <a:xfrm>
                      <a:off x="0" y="0"/>
                      <a:ext cx="6142990" cy="8295640"/>
                    </a:xfrm>
                    <a:prstGeom prst="rect">
                      <a:avLst/>
                    </a:prstGeom>
                    <a:noFill/>
                    <a:ln>
                      <a:noFill/>
                    </a:ln>
                  </pic:spPr>
                </pic:pic>
              </a:graphicData>
            </a:graphic>
          </wp:inline>
        </w:drawing>
      </w:r>
    </w:p>
    <w:p/>
    <w:p>
      <w:r>
        <w:rPr>
          <w:rFonts w:hint="eastAsia"/>
        </w:rPr>
        <w:t xml:space="preserve">  </w:t>
      </w:r>
      <w:r>
        <w:drawing>
          <wp:inline distT="0" distB="0" distL="114300" distR="114300">
            <wp:extent cx="5828030" cy="8418830"/>
            <wp:effectExtent l="0" t="0" r="1270" b="12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6"/>
                    <a:stretch>
                      <a:fillRect/>
                    </a:stretch>
                  </pic:blipFill>
                  <pic:spPr>
                    <a:xfrm>
                      <a:off x="0" y="0"/>
                      <a:ext cx="5828030" cy="8418830"/>
                    </a:xfrm>
                    <a:prstGeom prst="rect">
                      <a:avLst/>
                    </a:prstGeom>
                    <a:noFill/>
                    <a:ln>
                      <a:noFill/>
                    </a:ln>
                  </pic:spPr>
                </pic:pic>
              </a:graphicData>
            </a:graphic>
          </wp:inline>
        </w:drawing>
      </w:r>
    </w:p>
    <w:p/>
    <w:p>
      <w:r>
        <w:rPr>
          <w:rFonts w:hint="eastAsia"/>
        </w:rPr>
        <w:t xml:space="preserve">  </w:t>
      </w:r>
      <w:r>
        <w:drawing>
          <wp:inline distT="0" distB="0" distL="114300" distR="114300">
            <wp:extent cx="6038850" cy="8056880"/>
            <wp:effectExtent l="0" t="0" r="0" b="127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7"/>
                    <a:stretch>
                      <a:fillRect/>
                    </a:stretch>
                  </pic:blipFill>
                  <pic:spPr>
                    <a:xfrm>
                      <a:off x="0" y="0"/>
                      <a:ext cx="6038850" cy="8056880"/>
                    </a:xfrm>
                    <a:prstGeom prst="rect">
                      <a:avLst/>
                    </a:prstGeom>
                    <a:noFill/>
                    <a:ln>
                      <a:noFill/>
                    </a:ln>
                  </pic:spPr>
                </pic:pic>
              </a:graphicData>
            </a:graphic>
          </wp:inline>
        </w:drawing>
      </w:r>
    </w:p>
    <w:p/>
    <w:p/>
    <w:p>
      <w:r>
        <w:rPr>
          <w:rFonts w:hint="eastAsia"/>
        </w:rPr>
        <w:t xml:space="preserve">  </w:t>
      </w:r>
      <w:r>
        <w:drawing>
          <wp:inline distT="0" distB="0" distL="114300" distR="114300">
            <wp:extent cx="5904230" cy="8418830"/>
            <wp:effectExtent l="0" t="0" r="1270"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8"/>
                    <a:stretch>
                      <a:fillRect/>
                    </a:stretch>
                  </pic:blipFill>
                  <pic:spPr>
                    <a:xfrm>
                      <a:off x="0" y="0"/>
                      <a:ext cx="5904230" cy="8418830"/>
                    </a:xfrm>
                    <a:prstGeom prst="rect">
                      <a:avLst/>
                    </a:prstGeom>
                    <a:noFill/>
                    <a:ln>
                      <a:noFill/>
                    </a:ln>
                  </pic:spPr>
                </pic:pic>
              </a:graphicData>
            </a:graphic>
          </wp:inline>
        </w:drawing>
      </w:r>
    </w:p>
    <w:p/>
    <w:p>
      <w:r>
        <w:rPr>
          <w:rFonts w:hint="eastAsia"/>
        </w:rPr>
        <w:t xml:space="preserve">  </w:t>
      </w:r>
      <w:r>
        <w:drawing>
          <wp:inline distT="0" distB="0" distL="114300" distR="114300">
            <wp:extent cx="5819140" cy="8400415"/>
            <wp:effectExtent l="0" t="0" r="10160" b="63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9"/>
                    <a:stretch>
                      <a:fillRect/>
                    </a:stretch>
                  </pic:blipFill>
                  <pic:spPr>
                    <a:xfrm>
                      <a:off x="0" y="0"/>
                      <a:ext cx="5819140" cy="8400415"/>
                    </a:xfrm>
                    <a:prstGeom prst="rect">
                      <a:avLst/>
                    </a:prstGeom>
                    <a:noFill/>
                    <a:ln>
                      <a:noFill/>
                    </a:ln>
                  </pic:spPr>
                </pic:pic>
              </a:graphicData>
            </a:graphic>
          </wp:inline>
        </w:drawing>
      </w:r>
    </w:p>
    <w:p/>
    <w:p>
      <w:pPr>
        <w:rPr>
          <w:rFonts w:hint="eastAsia"/>
        </w:rPr>
      </w:pPr>
      <w:r>
        <w:drawing>
          <wp:anchor distT="0" distB="0" distL="114300" distR="114300" simplePos="0" relativeHeight="251665408" behindDoc="0" locked="0" layoutInCell="1" allowOverlap="1">
            <wp:simplePos x="0" y="0"/>
            <wp:positionH relativeFrom="column">
              <wp:posOffset>463550</wp:posOffset>
            </wp:positionH>
            <wp:positionV relativeFrom="paragraph">
              <wp:posOffset>228600</wp:posOffset>
            </wp:positionV>
            <wp:extent cx="5156200" cy="8007350"/>
            <wp:effectExtent l="0" t="0" r="0" b="0"/>
            <wp:wrapTopAndBottom/>
            <wp:docPr id="26" name="图片 26" descr="mmexport159158455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915845573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156200" cy="8007350"/>
                    </a:xfrm>
                    <a:prstGeom prst="rect">
                      <a:avLst/>
                    </a:prstGeom>
                  </pic:spPr>
                </pic:pic>
              </a:graphicData>
            </a:graphic>
          </wp:anchor>
        </w:drawing>
      </w:r>
      <w:r>
        <w:rPr>
          <w:rFonts w:hint="eastAsia"/>
        </w:rPr>
        <w:t xml:space="preserve"> </w:t>
      </w:r>
      <w:r>
        <w:t xml:space="preserve">  </w:t>
      </w:r>
      <w:r>
        <w:rPr>
          <w:rFonts w:hint="eastAsia"/>
        </w:rPr>
        <w:t>附件3：污水处理问题证明</w:t>
      </w: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附件4：专家意见</w:t>
      </w:r>
    </w:p>
    <w:p>
      <w:pPr>
        <w:bidi w:val="0"/>
        <w:ind w:firstLine="308" w:firstLineChars="0"/>
        <w:jc w:val="left"/>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6432" behindDoc="0" locked="0" layoutInCell="1" allowOverlap="1">
            <wp:simplePos x="0" y="0"/>
            <wp:positionH relativeFrom="column">
              <wp:posOffset>614045</wp:posOffset>
            </wp:positionH>
            <wp:positionV relativeFrom="paragraph">
              <wp:posOffset>180340</wp:posOffset>
            </wp:positionV>
            <wp:extent cx="5068570" cy="6847840"/>
            <wp:effectExtent l="0" t="0" r="17780" b="1016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5068570" cy="6847840"/>
                    </a:xfrm>
                    <a:prstGeom prst="rect">
                      <a:avLst/>
                    </a:prstGeom>
                    <a:noFill/>
                    <a:ln>
                      <a:noFill/>
                    </a:ln>
                  </pic:spPr>
                </pic:pic>
              </a:graphicData>
            </a:graphic>
          </wp:anchor>
        </w:drawing>
      </w: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7456" behindDoc="0" locked="0" layoutInCell="1" allowOverlap="1">
            <wp:simplePos x="0" y="0"/>
            <wp:positionH relativeFrom="column">
              <wp:posOffset>680720</wp:posOffset>
            </wp:positionH>
            <wp:positionV relativeFrom="paragraph">
              <wp:posOffset>87630</wp:posOffset>
            </wp:positionV>
            <wp:extent cx="5010785" cy="7513320"/>
            <wp:effectExtent l="0" t="0" r="18415" b="1143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2"/>
                    <a:stretch>
                      <a:fillRect/>
                    </a:stretch>
                  </pic:blipFill>
                  <pic:spPr>
                    <a:xfrm>
                      <a:off x="0" y="0"/>
                      <a:ext cx="5010785" cy="7513320"/>
                    </a:xfrm>
                    <a:prstGeom prst="rect">
                      <a:avLst/>
                    </a:prstGeom>
                    <a:noFill/>
                    <a:ln>
                      <a:noFill/>
                    </a:ln>
                  </pic:spPr>
                </pic:pic>
              </a:graphicData>
            </a:graphic>
          </wp:anchor>
        </w:drawing>
      </w: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8480" behindDoc="0" locked="0" layoutInCell="1" allowOverlap="1">
            <wp:simplePos x="0" y="0"/>
            <wp:positionH relativeFrom="column">
              <wp:posOffset>594995</wp:posOffset>
            </wp:positionH>
            <wp:positionV relativeFrom="paragraph">
              <wp:posOffset>28575</wp:posOffset>
            </wp:positionV>
            <wp:extent cx="4982845" cy="6904355"/>
            <wp:effectExtent l="0" t="0" r="8255" b="10795"/>
            <wp:wrapTopAndBottom/>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3"/>
                    <a:stretch>
                      <a:fillRect/>
                    </a:stretch>
                  </pic:blipFill>
                  <pic:spPr>
                    <a:xfrm>
                      <a:off x="0" y="0"/>
                      <a:ext cx="4982845" cy="6904355"/>
                    </a:xfrm>
                    <a:prstGeom prst="rect">
                      <a:avLst/>
                    </a:prstGeom>
                    <a:noFill/>
                    <a:ln>
                      <a:noFill/>
                    </a:ln>
                  </pic:spPr>
                </pic:pic>
              </a:graphicData>
            </a:graphic>
          </wp:anchor>
        </w:drawing>
      </w: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9504" behindDoc="0" locked="0" layoutInCell="1" allowOverlap="1">
            <wp:simplePos x="0" y="0"/>
            <wp:positionH relativeFrom="column">
              <wp:posOffset>471805</wp:posOffset>
            </wp:positionH>
            <wp:positionV relativeFrom="paragraph">
              <wp:posOffset>60960</wp:posOffset>
            </wp:positionV>
            <wp:extent cx="5105400" cy="6896100"/>
            <wp:effectExtent l="0" t="0" r="0" b="0"/>
            <wp:wrapTopAndBottom/>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4"/>
                    <a:stretch>
                      <a:fillRect/>
                    </a:stretch>
                  </pic:blipFill>
                  <pic:spPr>
                    <a:xfrm>
                      <a:off x="0" y="0"/>
                      <a:ext cx="5105400" cy="6896100"/>
                    </a:xfrm>
                    <a:prstGeom prst="rect">
                      <a:avLst/>
                    </a:prstGeom>
                    <a:noFill/>
                    <a:ln>
                      <a:noFill/>
                    </a:ln>
                  </pic:spPr>
                </pic:pic>
              </a:graphicData>
            </a:graphic>
          </wp:anchor>
        </w:drawing>
      </w: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p>
      <w:pPr>
        <w:bidi w:val="0"/>
        <w:jc w:val="left"/>
        <w:rPr>
          <w:rFonts w:hint="eastAsia" w:asciiTheme="minorHAnsi" w:hAnsiTheme="minorHAnsi" w:eastAsiaTheme="minorEastAsia" w:cstheme="minorBidi"/>
          <w:kern w:val="2"/>
          <w:sz w:val="21"/>
          <w:szCs w:val="24"/>
          <w:lang w:val="en-US" w:eastAsia="zh-CN" w:bidi="ar-SA"/>
        </w:rPr>
      </w:pPr>
    </w:p>
    <w:p>
      <w:pPr>
        <w:bidi w:val="0"/>
        <w:ind w:firstLine="308" w:firstLineChars="0"/>
        <w:jc w:val="left"/>
        <w:rPr>
          <w:rFonts w:hint="eastAsia" w:asciiTheme="minorHAnsi" w:hAnsiTheme="minorHAnsi" w:eastAsiaTheme="minorEastAsia" w:cstheme="minorBidi"/>
          <w:kern w:val="2"/>
          <w:sz w:val="21"/>
          <w:szCs w:val="24"/>
          <w:lang w:val="en-US" w:eastAsia="zh-CN" w:bidi="ar-SA"/>
        </w:rPr>
      </w:pP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Wingdings 2">
    <w:altName w:val="Wingdings"/>
    <w:panose1 w:val="00000000000000000000"/>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41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41</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中海油贵州销售有限公司三荔高速荔波东加油站建设项目竣工环境保护验收监测报告表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中海油贵州销售有限公司三荔高速荔波东加油站建设项目竣工环境保护验收监测报告表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97A0C92"/>
    <w:multiLevelType w:val="singleLevel"/>
    <w:tmpl w:val="597A0C92"/>
    <w:lvl w:ilvl="0" w:tentative="0">
      <w:start w:val="2"/>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0733"/>
    <w:rsid w:val="00002797"/>
    <w:rsid w:val="00003146"/>
    <w:rsid w:val="000034AC"/>
    <w:rsid w:val="0000623A"/>
    <w:rsid w:val="0000736E"/>
    <w:rsid w:val="000106C5"/>
    <w:rsid w:val="00011525"/>
    <w:rsid w:val="0001247C"/>
    <w:rsid w:val="000130DE"/>
    <w:rsid w:val="00013A3A"/>
    <w:rsid w:val="00013C80"/>
    <w:rsid w:val="00014246"/>
    <w:rsid w:val="000161C1"/>
    <w:rsid w:val="00017ACA"/>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A7C"/>
    <w:rsid w:val="0005045F"/>
    <w:rsid w:val="00050B19"/>
    <w:rsid w:val="000547CD"/>
    <w:rsid w:val="00054E63"/>
    <w:rsid w:val="00056648"/>
    <w:rsid w:val="000568BB"/>
    <w:rsid w:val="00062374"/>
    <w:rsid w:val="0006274F"/>
    <w:rsid w:val="00063AA6"/>
    <w:rsid w:val="0006403D"/>
    <w:rsid w:val="00065124"/>
    <w:rsid w:val="000652FA"/>
    <w:rsid w:val="0006678B"/>
    <w:rsid w:val="000711FA"/>
    <w:rsid w:val="000712DA"/>
    <w:rsid w:val="00073613"/>
    <w:rsid w:val="00075DE6"/>
    <w:rsid w:val="000771C8"/>
    <w:rsid w:val="00077582"/>
    <w:rsid w:val="000778F6"/>
    <w:rsid w:val="00077CC1"/>
    <w:rsid w:val="000811A8"/>
    <w:rsid w:val="00081CF9"/>
    <w:rsid w:val="00082C90"/>
    <w:rsid w:val="000836BC"/>
    <w:rsid w:val="00084816"/>
    <w:rsid w:val="00084844"/>
    <w:rsid w:val="000868D5"/>
    <w:rsid w:val="00087F8B"/>
    <w:rsid w:val="0009062D"/>
    <w:rsid w:val="00090D4C"/>
    <w:rsid w:val="00092A63"/>
    <w:rsid w:val="00094D22"/>
    <w:rsid w:val="000974D7"/>
    <w:rsid w:val="00097D6D"/>
    <w:rsid w:val="000A0404"/>
    <w:rsid w:val="000A2221"/>
    <w:rsid w:val="000A4F2F"/>
    <w:rsid w:val="000A509E"/>
    <w:rsid w:val="000A719C"/>
    <w:rsid w:val="000A720E"/>
    <w:rsid w:val="000B374C"/>
    <w:rsid w:val="000B3C9F"/>
    <w:rsid w:val="000B5B83"/>
    <w:rsid w:val="000B6140"/>
    <w:rsid w:val="000B6388"/>
    <w:rsid w:val="000B6C3D"/>
    <w:rsid w:val="000B72F7"/>
    <w:rsid w:val="000B7681"/>
    <w:rsid w:val="000B7F09"/>
    <w:rsid w:val="000C0321"/>
    <w:rsid w:val="000C2F29"/>
    <w:rsid w:val="000C65A5"/>
    <w:rsid w:val="000D019B"/>
    <w:rsid w:val="000D0C39"/>
    <w:rsid w:val="000D2A24"/>
    <w:rsid w:val="000D3190"/>
    <w:rsid w:val="000D3806"/>
    <w:rsid w:val="000D59E2"/>
    <w:rsid w:val="000D7EB9"/>
    <w:rsid w:val="000E46E8"/>
    <w:rsid w:val="000E48F0"/>
    <w:rsid w:val="000E4ACC"/>
    <w:rsid w:val="000E5CD3"/>
    <w:rsid w:val="000E6AC5"/>
    <w:rsid w:val="000E77C4"/>
    <w:rsid w:val="000E79A1"/>
    <w:rsid w:val="000F04E2"/>
    <w:rsid w:val="000F3B60"/>
    <w:rsid w:val="000F4FD4"/>
    <w:rsid w:val="000F56CC"/>
    <w:rsid w:val="000F5C3D"/>
    <w:rsid w:val="000F66FE"/>
    <w:rsid w:val="000F72E3"/>
    <w:rsid w:val="000F7A95"/>
    <w:rsid w:val="001000FC"/>
    <w:rsid w:val="00101321"/>
    <w:rsid w:val="00101689"/>
    <w:rsid w:val="00104D75"/>
    <w:rsid w:val="00105408"/>
    <w:rsid w:val="00106AA9"/>
    <w:rsid w:val="00111F55"/>
    <w:rsid w:val="00112014"/>
    <w:rsid w:val="001138C6"/>
    <w:rsid w:val="001138F9"/>
    <w:rsid w:val="00115650"/>
    <w:rsid w:val="00117365"/>
    <w:rsid w:val="00117B71"/>
    <w:rsid w:val="0012133B"/>
    <w:rsid w:val="00122559"/>
    <w:rsid w:val="00122995"/>
    <w:rsid w:val="001238B9"/>
    <w:rsid w:val="00124557"/>
    <w:rsid w:val="00124756"/>
    <w:rsid w:val="00130F68"/>
    <w:rsid w:val="00131385"/>
    <w:rsid w:val="00131E94"/>
    <w:rsid w:val="00134BCB"/>
    <w:rsid w:val="001356A4"/>
    <w:rsid w:val="00140BB2"/>
    <w:rsid w:val="00140DEC"/>
    <w:rsid w:val="001412E4"/>
    <w:rsid w:val="00141D7E"/>
    <w:rsid w:val="001460A3"/>
    <w:rsid w:val="00146A37"/>
    <w:rsid w:val="00146E70"/>
    <w:rsid w:val="00147DAD"/>
    <w:rsid w:val="00153945"/>
    <w:rsid w:val="00153D2E"/>
    <w:rsid w:val="00154CE2"/>
    <w:rsid w:val="00155511"/>
    <w:rsid w:val="00160F91"/>
    <w:rsid w:val="00161E31"/>
    <w:rsid w:val="00161E56"/>
    <w:rsid w:val="00170007"/>
    <w:rsid w:val="0017177B"/>
    <w:rsid w:val="0017199A"/>
    <w:rsid w:val="0017380D"/>
    <w:rsid w:val="00174807"/>
    <w:rsid w:val="001750BE"/>
    <w:rsid w:val="00175326"/>
    <w:rsid w:val="00176054"/>
    <w:rsid w:val="00177D6B"/>
    <w:rsid w:val="00177FAF"/>
    <w:rsid w:val="00180ACF"/>
    <w:rsid w:val="00181A7B"/>
    <w:rsid w:val="00182753"/>
    <w:rsid w:val="00182B5A"/>
    <w:rsid w:val="0018465F"/>
    <w:rsid w:val="0019320C"/>
    <w:rsid w:val="0019732F"/>
    <w:rsid w:val="0019788E"/>
    <w:rsid w:val="00197BF6"/>
    <w:rsid w:val="00197F0A"/>
    <w:rsid w:val="001A1BE3"/>
    <w:rsid w:val="001A2E1F"/>
    <w:rsid w:val="001A42F4"/>
    <w:rsid w:val="001A4BD7"/>
    <w:rsid w:val="001A7413"/>
    <w:rsid w:val="001B02CE"/>
    <w:rsid w:val="001B09A5"/>
    <w:rsid w:val="001B5B8D"/>
    <w:rsid w:val="001B61CD"/>
    <w:rsid w:val="001C1499"/>
    <w:rsid w:val="001C1D9C"/>
    <w:rsid w:val="001C2A48"/>
    <w:rsid w:val="001C4B7D"/>
    <w:rsid w:val="001D0354"/>
    <w:rsid w:val="001D0B6E"/>
    <w:rsid w:val="001D19C3"/>
    <w:rsid w:val="001D6271"/>
    <w:rsid w:val="001D7F25"/>
    <w:rsid w:val="001E1EAC"/>
    <w:rsid w:val="001E2A76"/>
    <w:rsid w:val="001E2AF3"/>
    <w:rsid w:val="001F0186"/>
    <w:rsid w:val="001F13F6"/>
    <w:rsid w:val="001F4A79"/>
    <w:rsid w:val="001F5F8A"/>
    <w:rsid w:val="001F7489"/>
    <w:rsid w:val="0020035F"/>
    <w:rsid w:val="00202A75"/>
    <w:rsid w:val="00203693"/>
    <w:rsid w:val="00203A43"/>
    <w:rsid w:val="00206962"/>
    <w:rsid w:val="0020790B"/>
    <w:rsid w:val="002119FB"/>
    <w:rsid w:val="00212D66"/>
    <w:rsid w:val="00214CA8"/>
    <w:rsid w:val="00216531"/>
    <w:rsid w:val="002171CA"/>
    <w:rsid w:val="00217B7F"/>
    <w:rsid w:val="00221A29"/>
    <w:rsid w:val="00221E2A"/>
    <w:rsid w:val="00223111"/>
    <w:rsid w:val="0022400E"/>
    <w:rsid w:val="00224A75"/>
    <w:rsid w:val="00225CC7"/>
    <w:rsid w:val="00225FA4"/>
    <w:rsid w:val="00226691"/>
    <w:rsid w:val="00226E88"/>
    <w:rsid w:val="0023018E"/>
    <w:rsid w:val="002301D4"/>
    <w:rsid w:val="00232087"/>
    <w:rsid w:val="002336BD"/>
    <w:rsid w:val="00233FA2"/>
    <w:rsid w:val="0023416A"/>
    <w:rsid w:val="002356D7"/>
    <w:rsid w:val="002364A3"/>
    <w:rsid w:val="0023651F"/>
    <w:rsid w:val="002415F6"/>
    <w:rsid w:val="00241D07"/>
    <w:rsid w:val="002432D8"/>
    <w:rsid w:val="002449BC"/>
    <w:rsid w:val="0024616E"/>
    <w:rsid w:val="00247D41"/>
    <w:rsid w:val="00250A04"/>
    <w:rsid w:val="0025228B"/>
    <w:rsid w:val="00253ABE"/>
    <w:rsid w:val="00253D5F"/>
    <w:rsid w:val="002551C0"/>
    <w:rsid w:val="002569DC"/>
    <w:rsid w:val="00256BF9"/>
    <w:rsid w:val="002608C3"/>
    <w:rsid w:val="00261862"/>
    <w:rsid w:val="00263255"/>
    <w:rsid w:val="00263B99"/>
    <w:rsid w:val="00264AB1"/>
    <w:rsid w:val="002659D5"/>
    <w:rsid w:val="002662A5"/>
    <w:rsid w:val="002674B0"/>
    <w:rsid w:val="00271E3B"/>
    <w:rsid w:val="00272507"/>
    <w:rsid w:val="00272509"/>
    <w:rsid w:val="002746C9"/>
    <w:rsid w:val="00275346"/>
    <w:rsid w:val="00280C16"/>
    <w:rsid w:val="00282A42"/>
    <w:rsid w:val="00284FC6"/>
    <w:rsid w:val="0028509A"/>
    <w:rsid w:val="0029100F"/>
    <w:rsid w:val="00292E71"/>
    <w:rsid w:val="00293223"/>
    <w:rsid w:val="00294596"/>
    <w:rsid w:val="00296D5C"/>
    <w:rsid w:val="0029787B"/>
    <w:rsid w:val="002A0F32"/>
    <w:rsid w:val="002A203A"/>
    <w:rsid w:val="002A2160"/>
    <w:rsid w:val="002A27A2"/>
    <w:rsid w:val="002A2D3B"/>
    <w:rsid w:val="002A370D"/>
    <w:rsid w:val="002A3758"/>
    <w:rsid w:val="002A4282"/>
    <w:rsid w:val="002A7699"/>
    <w:rsid w:val="002B1996"/>
    <w:rsid w:val="002B52B2"/>
    <w:rsid w:val="002B7373"/>
    <w:rsid w:val="002C10BF"/>
    <w:rsid w:val="002C2CE9"/>
    <w:rsid w:val="002C327B"/>
    <w:rsid w:val="002C5403"/>
    <w:rsid w:val="002D6412"/>
    <w:rsid w:val="002D6995"/>
    <w:rsid w:val="002E0406"/>
    <w:rsid w:val="002E175D"/>
    <w:rsid w:val="002E24B5"/>
    <w:rsid w:val="002E3A8F"/>
    <w:rsid w:val="002E40CC"/>
    <w:rsid w:val="002E4A3F"/>
    <w:rsid w:val="002E5729"/>
    <w:rsid w:val="002E6C01"/>
    <w:rsid w:val="002E7A42"/>
    <w:rsid w:val="002E7E32"/>
    <w:rsid w:val="002F1925"/>
    <w:rsid w:val="002F1EEE"/>
    <w:rsid w:val="002F1F7C"/>
    <w:rsid w:val="002F27EF"/>
    <w:rsid w:val="002F2A41"/>
    <w:rsid w:val="002F3808"/>
    <w:rsid w:val="002F620F"/>
    <w:rsid w:val="002F6745"/>
    <w:rsid w:val="002F69AF"/>
    <w:rsid w:val="003022A0"/>
    <w:rsid w:val="00302969"/>
    <w:rsid w:val="0030336C"/>
    <w:rsid w:val="00303F17"/>
    <w:rsid w:val="00305A2F"/>
    <w:rsid w:val="00305AA4"/>
    <w:rsid w:val="003077F5"/>
    <w:rsid w:val="00310968"/>
    <w:rsid w:val="00313FA2"/>
    <w:rsid w:val="003154D1"/>
    <w:rsid w:val="00317923"/>
    <w:rsid w:val="00320B13"/>
    <w:rsid w:val="00320F58"/>
    <w:rsid w:val="00323768"/>
    <w:rsid w:val="003256C3"/>
    <w:rsid w:val="00326C40"/>
    <w:rsid w:val="00327F10"/>
    <w:rsid w:val="003301F2"/>
    <w:rsid w:val="00330754"/>
    <w:rsid w:val="00330FBC"/>
    <w:rsid w:val="0033138B"/>
    <w:rsid w:val="00332B68"/>
    <w:rsid w:val="003330A1"/>
    <w:rsid w:val="00333453"/>
    <w:rsid w:val="0034074B"/>
    <w:rsid w:val="00341272"/>
    <w:rsid w:val="003443C2"/>
    <w:rsid w:val="0034489D"/>
    <w:rsid w:val="00344CB2"/>
    <w:rsid w:val="003453BA"/>
    <w:rsid w:val="003461CA"/>
    <w:rsid w:val="00346CA8"/>
    <w:rsid w:val="00350306"/>
    <w:rsid w:val="003508DC"/>
    <w:rsid w:val="00351DFB"/>
    <w:rsid w:val="003522D4"/>
    <w:rsid w:val="003535E3"/>
    <w:rsid w:val="00356051"/>
    <w:rsid w:val="0035612F"/>
    <w:rsid w:val="00356250"/>
    <w:rsid w:val="003627E9"/>
    <w:rsid w:val="00364DF5"/>
    <w:rsid w:val="00365BB4"/>
    <w:rsid w:val="0036653E"/>
    <w:rsid w:val="00366D08"/>
    <w:rsid w:val="00367C3D"/>
    <w:rsid w:val="00371106"/>
    <w:rsid w:val="00371DC3"/>
    <w:rsid w:val="00373DE6"/>
    <w:rsid w:val="00374F8C"/>
    <w:rsid w:val="0037565A"/>
    <w:rsid w:val="00375BE0"/>
    <w:rsid w:val="003771A5"/>
    <w:rsid w:val="00377A92"/>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1DF9"/>
    <w:rsid w:val="003A241B"/>
    <w:rsid w:val="003A2640"/>
    <w:rsid w:val="003A3491"/>
    <w:rsid w:val="003A3765"/>
    <w:rsid w:val="003A4A0D"/>
    <w:rsid w:val="003A6407"/>
    <w:rsid w:val="003A682E"/>
    <w:rsid w:val="003B18A4"/>
    <w:rsid w:val="003B21BA"/>
    <w:rsid w:val="003B2946"/>
    <w:rsid w:val="003B488C"/>
    <w:rsid w:val="003B51BB"/>
    <w:rsid w:val="003B67E1"/>
    <w:rsid w:val="003B7648"/>
    <w:rsid w:val="003C10D4"/>
    <w:rsid w:val="003C32FA"/>
    <w:rsid w:val="003C4858"/>
    <w:rsid w:val="003C5353"/>
    <w:rsid w:val="003D07CF"/>
    <w:rsid w:val="003D1868"/>
    <w:rsid w:val="003D1B99"/>
    <w:rsid w:val="003D23D6"/>
    <w:rsid w:val="003D35E4"/>
    <w:rsid w:val="003D3C3B"/>
    <w:rsid w:val="003D6D84"/>
    <w:rsid w:val="003E0676"/>
    <w:rsid w:val="003E1698"/>
    <w:rsid w:val="003E31CA"/>
    <w:rsid w:val="003E3E03"/>
    <w:rsid w:val="003E4BFA"/>
    <w:rsid w:val="003F09A4"/>
    <w:rsid w:val="003F4940"/>
    <w:rsid w:val="003F6DDC"/>
    <w:rsid w:val="00402A9D"/>
    <w:rsid w:val="00403C7B"/>
    <w:rsid w:val="00405357"/>
    <w:rsid w:val="004108CF"/>
    <w:rsid w:val="00410A72"/>
    <w:rsid w:val="0041110F"/>
    <w:rsid w:val="00412472"/>
    <w:rsid w:val="00412956"/>
    <w:rsid w:val="00420F3F"/>
    <w:rsid w:val="00420F6A"/>
    <w:rsid w:val="0042102E"/>
    <w:rsid w:val="00421F4F"/>
    <w:rsid w:val="0042249A"/>
    <w:rsid w:val="00425EE2"/>
    <w:rsid w:val="0042751C"/>
    <w:rsid w:val="004343F3"/>
    <w:rsid w:val="00434D87"/>
    <w:rsid w:val="00436988"/>
    <w:rsid w:val="004375E5"/>
    <w:rsid w:val="004420DA"/>
    <w:rsid w:val="00443A26"/>
    <w:rsid w:val="00443A5F"/>
    <w:rsid w:val="00447D34"/>
    <w:rsid w:val="004560BD"/>
    <w:rsid w:val="004573BE"/>
    <w:rsid w:val="004603CE"/>
    <w:rsid w:val="00462B67"/>
    <w:rsid w:val="00462BD3"/>
    <w:rsid w:val="00463BC4"/>
    <w:rsid w:val="00463FB2"/>
    <w:rsid w:val="0046793E"/>
    <w:rsid w:val="0047210C"/>
    <w:rsid w:val="00473EE4"/>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53F2"/>
    <w:rsid w:val="00496582"/>
    <w:rsid w:val="0049764E"/>
    <w:rsid w:val="00497C77"/>
    <w:rsid w:val="004A2DF7"/>
    <w:rsid w:val="004A345F"/>
    <w:rsid w:val="004A39E7"/>
    <w:rsid w:val="004A53D2"/>
    <w:rsid w:val="004A5C91"/>
    <w:rsid w:val="004A6E07"/>
    <w:rsid w:val="004A7587"/>
    <w:rsid w:val="004B1FB4"/>
    <w:rsid w:val="004B2922"/>
    <w:rsid w:val="004B2D9F"/>
    <w:rsid w:val="004B33D1"/>
    <w:rsid w:val="004B45DC"/>
    <w:rsid w:val="004B5FDB"/>
    <w:rsid w:val="004B73B2"/>
    <w:rsid w:val="004B7B4A"/>
    <w:rsid w:val="004C1211"/>
    <w:rsid w:val="004C24FE"/>
    <w:rsid w:val="004C3D0B"/>
    <w:rsid w:val="004D368B"/>
    <w:rsid w:val="004D43D5"/>
    <w:rsid w:val="004D4693"/>
    <w:rsid w:val="004D4BF5"/>
    <w:rsid w:val="004D5FCC"/>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EC3"/>
    <w:rsid w:val="00514954"/>
    <w:rsid w:val="00516301"/>
    <w:rsid w:val="0051772B"/>
    <w:rsid w:val="0052204E"/>
    <w:rsid w:val="005227D0"/>
    <w:rsid w:val="00523CB2"/>
    <w:rsid w:val="00523D00"/>
    <w:rsid w:val="00523EE0"/>
    <w:rsid w:val="00524BA0"/>
    <w:rsid w:val="00526334"/>
    <w:rsid w:val="00533AA2"/>
    <w:rsid w:val="00534BCB"/>
    <w:rsid w:val="005368F8"/>
    <w:rsid w:val="0053724D"/>
    <w:rsid w:val="0053769F"/>
    <w:rsid w:val="0054184B"/>
    <w:rsid w:val="00542D75"/>
    <w:rsid w:val="00544123"/>
    <w:rsid w:val="0055214B"/>
    <w:rsid w:val="00553256"/>
    <w:rsid w:val="00553304"/>
    <w:rsid w:val="005544C2"/>
    <w:rsid w:val="00554D6A"/>
    <w:rsid w:val="00554DAE"/>
    <w:rsid w:val="00555548"/>
    <w:rsid w:val="0055575F"/>
    <w:rsid w:val="005561F3"/>
    <w:rsid w:val="00557B4B"/>
    <w:rsid w:val="00560D56"/>
    <w:rsid w:val="00560FE8"/>
    <w:rsid w:val="00561FE5"/>
    <w:rsid w:val="00563EB2"/>
    <w:rsid w:val="00566A95"/>
    <w:rsid w:val="0057131B"/>
    <w:rsid w:val="005719FD"/>
    <w:rsid w:val="00577968"/>
    <w:rsid w:val="00582EC9"/>
    <w:rsid w:val="00586029"/>
    <w:rsid w:val="005871A4"/>
    <w:rsid w:val="005921E3"/>
    <w:rsid w:val="00592C1E"/>
    <w:rsid w:val="005960BA"/>
    <w:rsid w:val="00596717"/>
    <w:rsid w:val="005975C7"/>
    <w:rsid w:val="005A07F6"/>
    <w:rsid w:val="005A1BDE"/>
    <w:rsid w:val="005A216D"/>
    <w:rsid w:val="005A33FF"/>
    <w:rsid w:val="005A3C37"/>
    <w:rsid w:val="005A6659"/>
    <w:rsid w:val="005B0780"/>
    <w:rsid w:val="005B0790"/>
    <w:rsid w:val="005B14BF"/>
    <w:rsid w:val="005B1A81"/>
    <w:rsid w:val="005B1C5B"/>
    <w:rsid w:val="005B290F"/>
    <w:rsid w:val="005C232C"/>
    <w:rsid w:val="005C33EB"/>
    <w:rsid w:val="005C46E5"/>
    <w:rsid w:val="005C4715"/>
    <w:rsid w:val="005C6D43"/>
    <w:rsid w:val="005D0B3C"/>
    <w:rsid w:val="005D1E9B"/>
    <w:rsid w:val="005D3F87"/>
    <w:rsid w:val="005D4A0A"/>
    <w:rsid w:val="005D7264"/>
    <w:rsid w:val="005E0C43"/>
    <w:rsid w:val="005E2FF5"/>
    <w:rsid w:val="005E3051"/>
    <w:rsid w:val="005E35BD"/>
    <w:rsid w:val="005E3C97"/>
    <w:rsid w:val="005E42AD"/>
    <w:rsid w:val="005E6312"/>
    <w:rsid w:val="005E66AF"/>
    <w:rsid w:val="005E744A"/>
    <w:rsid w:val="005F0D99"/>
    <w:rsid w:val="005F1DB6"/>
    <w:rsid w:val="005F2941"/>
    <w:rsid w:val="005F335A"/>
    <w:rsid w:val="005F48DF"/>
    <w:rsid w:val="005F5D91"/>
    <w:rsid w:val="00600404"/>
    <w:rsid w:val="006010CF"/>
    <w:rsid w:val="006021FC"/>
    <w:rsid w:val="00602867"/>
    <w:rsid w:val="00607DB2"/>
    <w:rsid w:val="006106D8"/>
    <w:rsid w:val="00610826"/>
    <w:rsid w:val="006160BE"/>
    <w:rsid w:val="00616379"/>
    <w:rsid w:val="00616E9D"/>
    <w:rsid w:val="006206FD"/>
    <w:rsid w:val="00620B35"/>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1853"/>
    <w:rsid w:val="006441DA"/>
    <w:rsid w:val="0064570D"/>
    <w:rsid w:val="0065267B"/>
    <w:rsid w:val="00652E84"/>
    <w:rsid w:val="00656C77"/>
    <w:rsid w:val="006577FB"/>
    <w:rsid w:val="0065789C"/>
    <w:rsid w:val="006604E6"/>
    <w:rsid w:val="00660B24"/>
    <w:rsid w:val="00660E98"/>
    <w:rsid w:val="00663913"/>
    <w:rsid w:val="006679E3"/>
    <w:rsid w:val="00670013"/>
    <w:rsid w:val="00671A92"/>
    <w:rsid w:val="00672983"/>
    <w:rsid w:val="00674A94"/>
    <w:rsid w:val="00675BC3"/>
    <w:rsid w:val="00676C89"/>
    <w:rsid w:val="00680652"/>
    <w:rsid w:val="0068068C"/>
    <w:rsid w:val="006824E2"/>
    <w:rsid w:val="00682E9E"/>
    <w:rsid w:val="00686899"/>
    <w:rsid w:val="00686BF9"/>
    <w:rsid w:val="006905A8"/>
    <w:rsid w:val="00691F94"/>
    <w:rsid w:val="0069246C"/>
    <w:rsid w:val="00696179"/>
    <w:rsid w:val="0069770E"/>
    <w:rsid w:val="006A01CB"/>
    <w:rsid w:val="006A36FE"/>
    <w:rsid w:val="006A3E94"/>
    <w:rsid w:val="006A5BF4"/>
    <w:rsid w:val="006B0681"/>
    <w:rsid w:val="006B2161"/>
    <w:rsid w:val="006B321E"/>
    <w:rsid w:val="006B44DC"/>
    <w:rsid w:val="006B584F"/>
    <w:rsid w:val="006B64E2"/>
    <w:rsid w:val="006C01E2"/>
    <w:rsid w:val="006C0239"/>
    <w:rsid w:val="006C133C"/>
    <w:rsid w:val="006C25E4"/>
    <w:rsid w:val="006C2C79"/>
    <w:rsid w:val="006C30D1"/>
    <w:rsid w:val="006C32B0"/>
    <w:rsid w:val="006C3EFD"/>
    <w:rsid w:val="006C461F"/>
    <w:rsid w:val="006C6DEA"/>
    <w:rsid w:val="006C724E"/>
    <w:rsid w:val="006D1C0F"/>
    <w:rsid w:val="006D455F"/>
    <w:rsid w:val="006D4B21"/>
    <w:rsid w:val="006D529B"/>
    <w:rsid w:val="006D7085"/>
    <w:rsid w:val="006D75D9"/>
    <w:rsid w:val="006E067B"/>
    <w:rsid w:val="006E172A"/>
    <w:rsid w:val="006E3F30"/>
    <w:rsid w:val="006E502D"/>
    <w:rsid w:val="006E6B4A"/>
    <w:rsid w:val="006E70D6"/>
    <w:rsid w:val="006F0E42"/>
    <w:rsid w:val="006F2734"/>
    <w:rsid w:val="006F2DDB"/>
    <w:rsid w:val="006F401B"/>
    <w:rsid w:val="006F4AEC"/>
    <w:rsid w:val="006F62FB"/>
    <w:rsid w:val="00701076"/>
    <w:rsid w:val="00707B3C"/>
    <w:rsid w:val="007114B6"/>
    <w:rsid w:val="00712683"/>
    <w:rsid w:val="00713466"/>
    <w:rsid w:val="00716B72"/>
    <w:rsid w:val="00717E2D"/>
    <w:rsid w:val="00721771"/>
    <w:rsid w:val="00724656"/>
    <w:rsid w:val="007252F1"/>
    <w:rsid w:val="007307B1"/>
    <w:rsid w:val="00730902"/>
    <w:rsid w:val="00730BC8"/>
    <w:rsid w:val="0073150F"/>
    <w:rsid w:val="007328F5"/>
    <w:rsid w:val="00734620"/>
    <w:rsid w:val="007346D1"/>
    <w:rsid w:val="00735F60"/>
    <w:rsid w:val="00736FA5"/>
    <w:rsid w:val="00737036"/>
    <w:rsid w:val="00742B13"/>
    <w:rsid w:val="007432E0"/>
    <w:rsid w:val="00743514"/>
    <w:rsid w:val="00752E17"/>
    <w:rsid w:val="007530B5"/>
    <w:rsid w:val="00754526"/>
    <w:rsid w:val="00755034"/>
    <w:rsid w:val="00755873"/>
    <w:rsid w:val="00762A6E"/>
    <w:rsid w:val="007638F7"/>
    <w:rsid w:val="0077134B"/>
    <w:rsid w:val="00771A75"/>
    <w:rsid w:val="00771F8C"/>
    <w:rsid w:val="00775798"/>
    <w:rsid w:val="00775A60"/>
    <w:rsid w:val="00775FCE"/>
    <w:rsid w:val="00776FBB"/>
    <w:rsid w:val="007816B6"/>
    <w:rsid w:val="007824A4"/>
    <w:rsid w:val="00783453"/>
    <w:rsid w:val="00783A67"/>
    <w:rsid w:val="0078543A"/>
    <w:rsid w:val="00786371"/>
    <w:rsid w:val="007870B6"/>
    <w:rsid w:val="00787564"/>
    <w:rsid w:val="0078786B"/>
    <w:rsid w:val="007917C8"/>
    <w:rsid w:val="00793FFC"/>
    <w:rsid w:val="00794923"/>
    <w:rsid w:val="0079662A"/>
    <w:rsid w:val="00797EE1"/>
    <w:rsid w:val="007A170B"/>
    <w:rsid w:val="007A18BE"/>
    <w:rsid w:val="007A75F7"/>
    <w:rsid w:val="007B08C4"/>
    <w:rsid w:val="007B0D18"/>
    <w:rsid w:val="007B21F4"/>
    <w:rsid w:val="007B2DAB"/>
    <w:rsid w:val="007B35D7"/>
    <w:rsid w:val="007B39B4"/>
    <w:rsid w:val="007B3A08"/>
    <w:rsid w:val="007B7DDE"/>
    <w:rsid w:val="007C09F7"/>
    <w:rsid w:val="007C0CD8"/>
    <w:rsid w:val="007C147A"/>
    <w:rsid w:val="007C149B"/>
    <w:rsid w:val="007C17EA"/>
    <w:rsid w:val="007C1FD1"/>
    <w:rsid w:val="007C3247"/>
    <w:rsid w:val="007C3313"/>
    <w:rsid w:val="007C4313"/>
    <w:rsid w:val="007C4464"/>
    <w:rsid w:val="007C4509"/>
    <w:rsid w:val="007C54FC"/>
    <w:rsid w:val="007C6236"/>
    <w:rsid w:val="007C6423"/>
    <w:rsid w:val="007C76AF"/>
    <w:rsid w:val="007C7AF3"/>
    <w:rsid w:val="007D049A"/>
    <w:rsid w:val="007D0E06"/>
    <w:rsid w:val="007D13F1"/>
    <w:rsid w:val="007D3E52"/>
    <w:rsid w:val="007D7039"/>
    <w:rsid w:val="007E075D"/>
    <w:rsid w:val="007E0800"/>
    <w:rsid w:val="007E26CA"/>
    <w:rsid w:val="007E3096"/>
    <w:rsid w:val="007E4342"/>
    <w:rsid w:val="007E44CA"/>
    <w:rsid w:val="007E65A5"/>
    <w:rsid w:val="007E6D22"/>
    <w:rsid w:val="007F065E"/>
    <w:rsid w:val="007F1091"/>
    <w:rsid w:val="007F200E"/>
    <w:rsid w:val="007F37B4"/>
    <w:rsid w:val="007F3BE8"/>
    <w:rsid w:val="007F614A"/>
    <w:rsid w:val="007F7ED5"/>
    <w:rsid w:val="007F7F1E"/>
    <w:rsid w:val="00800156"/>
    <w:rsid w:val="00802328"/>
    <w:rsid w:val="008034B0"/>
    <w:rsid w:val="00804BB3"/>
    <w:rsid w:val="00804F57"/>
    <w:rsid w:val="00805FFA"/>
    <w:rsid w:val="00806107"/>
    <w:rsid w:val="00806F86"/>
    <w:rsid w:val="0081114B"/>
    <w:rsid w:val="00812004"/>
    <w:rsid w:val="00812A9F"/>
    <w:rsid w:val="008137F0"/>
    <w:rsid w:val="00814227"/>
    <w:rsid w:val="00817AFD"/>
    <w:rsid w:val="00821FDC"/>
    <w:rsid w:val="00823257"/>
    <w:rsid w:val="008241EF"/>
    <w:rsid w:val="008256F3"/>
    <w:rsid w:val="00825FCE"/>
    <w:rsid w:val="00827495"/>
    <w:rsid w:val="00830A5B"/>
    <w:rsid w:val="00832FF2"/>
    <w:rsid w:val="008333E2"/>
    <w:rsid w:val="00835CED"/>
    <w:rsid w:val="00837CAE"/>
    <w:rsid w:val="00840389"/>
    <w:rsid w:val="00840E43"/>
    <w:rsid w:val="00842EDC"/>
    <w:rsid w:val="00843266"/>
    <w:rsid w:val="00847A9A"/>
    <w:rsid w:val="00852D7D"/>
    <w:rsid w:val="00853666"/>
    <w:rsid w:val="00855F3D"/>
    <w:rsid w:val="00861187"/>
    <w:rsid w:val="00861E70"/>
    <w:rsid w:val="008641FF"/>
    <w:rsid w:val="008677B2"/>
    <w:rsid w:val="008678F8"/>
    <w:rsid w:val="00867A00"/>
    <w:rsid w:val="008722C7"/>
    <w:rsid w:val="00873BD3"/>
    <w:rsid w:val="00874115"/>
    <w:rsid w:val="00874D5F"/>
    <w:rsid w:val="00876ECC"/>
    <w:rsid w:val="00880462"/>
    <w:rsid w:val="00882921"/>
    <w:rsid w:val="00883B88"/>
    <w:rsid w:val="00884976"/>
    <w:rsid w:val="00884CC2"/>
    <w:rsid w:val="00884E84"/>
    <w:rsid w:val="008852FD"/>
    <w:rsid w:val="0089052E"/>
    <w:rsid w:val="00894268"/>
    <w:rsid w:val="00894F63"/>
    <w:rsid w:val="008962F7"/>
    <w:rsid w:val="00896A64"/>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7118"/>
    <w:rsid w:val="008D0A14"/>
    <w:rsid w:val="008D15D5"/>
    <w:rsid w:val="008D38C3"/>
    <w:rsid w:val="008D6D35"/>
    <w:rsid w:val="008D6FD7"/>
    <w:rsid w:val="008D7432"/>
    <w:rsid w:val="008E5E30"/>
    <w:rsid w:val="008E67AF"/>
    <w:rsid w:val="008E7D88"/>
    <w:rsid w:val="008F19BC"/>
    <w:rsid w:val="008F4C38"/>
    <w:rsid w:val="008F4E39"/>
    <w:rsid w:val="008F5204"/>
    <w:rsid w:val="008F6504"/>
    <w:rsid w:val="008F6C9F"/>
    <w:rsid w:val="008F71E2"/>
    <w:rsid w:val="00900665"/>
    <w:rsid w:val="00901A9B"/>
    <w:rsid w:val="00904153"/>
    <w:rsid w:val="00904E4B"/>
    <w:rsid w:val="00905C8C"/>
    <w:rsid w:val="009074DB"/>
    <w:rsid w:val="00907933"/>
    <w:rsid w:val="00907CA1"/>
    <w:rsid w:val="00911EE7"/>
    <w:rsid w:val="00922731"/>
    <w:rsid w:val="00923700"/>
    <w:rsid w:val="00923D34"/>
    <w:rsid w:val="00925750"/>
    <w:rsid w:val="0092575D"/>
    <w:rsid w:val="0092627A"/>
    <w:rsid w:val="00927B08"/>
    <w:rsid w:val="00931657"/>
    <w:rsid w:val="009324C3"/>
    <w:rsid w:val="00932C2F"/>
    <w:rsid w:val="0093457A"/>
    <w:rsid w:val="00934AFB"/>
    <w:rsid w:val="00935637"/>
    <w:rsid w:val="00935DE9"/>
    <w:rsid w:val="009368E2"/>
    <w:rsid w:val="00936FA8"/>
    <w:rsid w:val="00937D21"/>
    <w:rsid w:val="0094360B"/>
    <w:rsid w:val="00945F8F"/>
    <w:rsid w:val="0094610C"/>
    <w:rsid w:val="00946D20"/>
    <w:rsid w:val="0095096D"/>
    <w:rsid w:val="00951AFE"/>
    <w:rsid w:val="00952508"/>
    <w:rsid w:val="0095300B"/>
    <w:rsid w:val="0095341D"/>
    <w:rsid w:val="00953AAA"/>
    <w:rsid w:val="00955DCE"/>
    <w:rsid w:val="009568C1"/>
    <w:rsid w:val="00956955"/>
    <w:rsid w:val="00956D2C"/>
    <w:rsid w:val="009622C7"/>
    <w:rsid w:val="00962655"/>
    <w:rsid w:val="00962EF2"/>
    <w:rsid w:val="00964BD7"/>
    <w:rsid w:val="00964FEB"/>
    <w:rsid w:val="00965BAB"/>
    <w:rsid w:val="009665FF"/>
    <w:rsid w:val="00966810"/>
    <w:rsid w:val="009677DD"/>
    <w:rsid w:val="00967844"/>
    <w:rsid w:val="00971EF9"/>
    <w:rsid w:val="0097234E"/>
    <w:rsid w:val="00972354"/>
    <w:rsid w:val="0097241D"/>
    <w:rsid w:val="009727CC"/>
    <w:rsid w:val="00974377"/>
    <w:rsid w:val="00974F9E"/>
    <w:rsid w:val="009754BC"/>
    <w:rsid w:val="00976933"/>
    <w:rsid w:val="00976FD6"/>
    <w:rsid w:val="0097701D"/>
    <w:rsid w:val="00980887"/>
    <w:rsid w:val="00980EB8"/>
    <w:rsid w:val="00981BAA"/>
    <w:rsid w:val="00982B90"/>
    <w:rsid w:val="00982CA6"/>
    <w:rsid w:val="00983FD5"/>
    <w:rsid w:val="0098471F"/>
    <w:rsid w:val="00984847"/>
    <w:rsid w:val="00984E9A"/>
    <w:rsid w:val="0098594F"/>
    <w:rsid w:val="009906C6"/>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43EA"/>
    <w:rsid w:val="009B5C75"/>
    <w:rsid w:val="009B64F0"/>
    <w:rsid w:val="009B68BD"/>
    <w:rsid w:val="009B6C21"/>
    <w:rsid w:val="009B7FDA"/>
    <w:rsid w:val="009C0BA1"/>
    <w:rsid w:val="009C30EE"/>
    <w:rsid w:val="009C6633"/>
    <w:rsid w:val="009C7BAC"/>
    <w:rsid w:val="009D10DB"/>
    <w:rsid w:val="009D163C"/>
    <w:rsid w:val="009D1717"/>
    <w:rsid w:val="009D3803"/>
    <w:rsid w:val="009D3C1A"/>
    <w:rsid w:val="009D4A87"/>
    <w:rsid w:val="009D53D2"/>
    <w:rsid w:val="009D66FF"/>
    <w:rsid w:val="009E117D"/>
    <w:rsid w:val="009E1AB3"/>
    <w:rsid w:val="009E228E"/>
    <w:rsid w:val="009E363A"/>
    <w:rsid w:val="009E39EF"/>
    <w:rsid w:val="009E54E5"/>
    <w:rsid w:val="009E6ABD"/>
    <w:rsid w:val="009E7180"/>
    <w:rsid w:val="009F207D"/>
    <w:rsid w:val="009F2E48"/>
    <w:rsid w:val="009F2FA2"/>
    <w:rsid w:val="009F5479"/>
    <w:rsid w:val="00A001B2"/>
    <w:rsid w:val="00A03DEE"/>
    <w:rsid w:val="00A04A30"/>
    <w:rsid w:val="00A06C18"/>
    <w:rsid w:val="00A07201"/>
    <w:rsid w:val="00A104E9"/>
    <w:rsid w:val="00A121D3"/>
    <w:rsid w:val="00A12CA3"/>
    <w:rsid w:val="00A13FB3"/>
    <w:rsid w:val="00A168D1"/>
    <w:rsid w:val="00A2051D"/>
    <w:rsid w:val="00A31678"/>
    <w:rsid w:val="00A32791"/>
    <w:rsid w:val="00A33877"/>
    <w:rsid w:val="00A33EF9"/>
    <w:rsid w:val="00A34A50"/>
    <w:rsid w:val="00A3786C"/>
    <w:rsid w:val="00A37FEE"/>
    <w:rsid w:val="00A40B59"/>
    <w:rsid w:val="00A417FB"/>
    <w:rsid w:val="00A41D43"/>
    <w:rsid w:val="00A425BB"/>
    <w:rsid w:val="00A4295A"/>
    <w:rsid w:val="00A42FA0"/>
    <w:rsid w:val="00A460B4"/>
    <w:rsid w:val="00A462ED"/>
    <w:rsid w:val="00A46AAF"/>
    <w:rsid w:val="00A5064B"/>
    <w:rsid w:val="00A517BA"/>
    <w:rsid w:val="00A554ED"/>
    <w:rsid w:val="00A5703B"/>
    <w:rsid w:val="00A57415"/>
    <w:rsid w:val="00A57FE9"/>
    <w:rsid w:val="00A623F8"/>
    <w:rsid w:val="00A63120"/>
    <w:rsid w:val="00A638DE"/>
    <w:rsid w:val="00A64844"/>
    <w:rsid w:val="00A6639C"/>
    <w:rsid w:val="00A70CA2"/>
    <w:rsid w:val="00A71129"/>
    <w:rsid w:val="00A71734"/>
    <w:rsid w:val="00A71A8F"/>
    <w:rsid w:val="00A7271D"/>
    <w:rsid w:val="00A73AED"/>
    <w:rsid w:val="00A77F41"/>
    <w:rsid w:val="00A80893"/>
    <w:rsid w:val="00A849F2"/>
    <w:rsid w:val="00A85380"/>
    <w:rsid w:val="00A87F99"/>
    <w:rsid w:val="00A9084C"/>
    <w:rsid w:val="00A91066"/>
    <w:rsid w:val="00A93ED4"/>
    <w:rsid w:val="00AA0528"/>
    <w:rsid w:val="00AA18DA"/>
    <w:rsid w:val="00AA3051"/>
    <w:rsid w:val="00AA5D22"/>
    <w:rsid w:val="00AA6190"/>
    <w:rsid w:val="00AA76A0"/>
    <w:rsid w:val="00AA7A6F"/>
    <w:rsid w:val="00AB249B"/>
    <w:rsid w:val="00AB4211"/>
    <w:rsid w:val="00AB4321"/>
    <w:rsid w:val="00AC23E3"/>
    <w:rsid w:val="00AC23F3"/>
    <w:rsid w:val="00AC271B"/>
    <w:rsid w:val="00AC373B"/>
    <w:rsid w:val="00AC3B73"/>
    <w:rsid w:val="00AC68B6"/>
    <w:rsid w:val="00AC733B"/>
    <w:rsid w:val="00AD22DD"/>
    <w:rsid w:val="00AD44E2"/>
    <w:rsid w:val="00AE1FED"/>
    <w:rsid w:val="00AE30B3"/>
    <w:rsid w:val="00AE5965"/>
    <w:rsid w:val="00AF29C0"/>
    <w:rsid w:val="00AF3686"/>
    <w:rsid w:val="00AF3CF3"/>
    <w:rsid w:val="00AF4A4F"/>
    <w:rsid w:val="00AF5610"/>
    <w:rsid w:val="00AF56E5"/>
    <w:rsid w:val="00AF598D"/>
    <w:rsid w:val="00AF6758"/>
    <w:rsid w:val="00AF6EA5"/>
    <w:rsid w:val="00AF725C"/>
    <w:rsid w:val="00B0171E"/>
    <w:rsid w:val="00B01955"/>
    <w:rsid w:val="00B02DDB"/>
    <w:rsid w:val="00B0463E"/>
    <w:rsid w:val="00B062F4"/>
    <w:rsid w:val="00B07979"/>
    <w:rsid w:val="00B13570"/>
    <w:rsid w:val="00B15AC2"/>
    <w:rsid w:val="00B21ABA"/>
    <w:rsid w:val="00B21ECE"/>
    <w:rsid w:val="00B258FC"/>
    <w:rsid w:val="00B3012C"/>
    <w:rsid w:val="00B30A5A"/>
    <w:rsid w:val="00B316E2"/>
    <w:rsid w:val="00B325F3"/>
    <w:rsid w:val="00B32AA2"/>
    <w:rsid w:val="00B33214"/>
    <w:rsid w:val="00B33A7D"/>
    <w:rsid w:val="00B36624"/>
    <w:rsid w:val="00B37E6B"/>
    <w:rsid w:val="00B4161F"/>
    <w:rsid w:val="00B41A97"/>
    <w:rsid w:val="00B43125"/>
    <w:rsid w:val="00B431B6"/>
    <w:rsid w:val="00B46282"/>
    <w:rsid w:val="00B474E8"/>
    <w:rsid w:val="00B47EE3"/>
    <w:rsid w:val="00B5015C"/>
    <w:rsid w:val="00B50E9F"/>
    <w:rsid w:val="00B55B3D"/>
    <w:rsid w:val="00B5723D"/>
    <w:rsid w:val="00B6057C"/>
    <w:rsid w:val="00B66001"/>
    <w:rsid w:val="00B67847"/>
    <w:rsid w:val="00B679D0"/>
    <w:rsid w:val="00B7082A"/>
    <w:rsid w:val="00B70E3B"/>
    <w:rsid w:val="00B71414"/>
    <w:rsid w:val="00B724B0"/>
    <w:rsid w:val="00B73148"/>
    <w:rsid w:val="00B73899"/>
    <w:rsid w:val="00B74458"/>
    <w:rsid w:val="00B7615A"/>
    <w:rsid w:val="00B8320D"/>
    <w:rsid w:val="00B91440"/>
    <w:rsid w:val="00B9257E"/>
    <w:rsid w:val="00B95199"/>
    <w:rsid w:val="00B95276"/>
    <w:rsid w:val="00B95E40"/>
    <w:rsid w:val="00B9658B"/>
    <w:rsid w:val="00B965AD"/>
    <w:rsid w:val="00B973AD"/>
    <w:rsid w:val="00BA51AC"/>
    <w:rsid w:val="00BA5F58"/>
    <w:rsid w:val="00BA6382"/>
    <w:rsid w:val="00BA76C6"/>
    <w:rsid w:val="00BB17FC"/>
    <w:rsid w:val="00BB2DD2"/>
    <w:rsid w:val="00BB5FDA"/>
    <w:rsid w:val="00BB6F03"/>
    <w:rsid w:val="00BC4202"/>
    <w:rsid w:val="00BC4EDD"/>
    <w:rsid w:val="00BC7F67"/>
    <w:rsid w:val="00BD2394"/>
    <w:rsid w:val="00BD2478"/>
    <w:rsid w:val="00BD2711"/>
    <w:rsid w:val="00BD29D3"/>
    <w:rsid w:val="00BD3863"/>
    <w:rsid w:val="00BD4C5E"/>
    <w:rsid w:val="00BD6BCC"/>
    <w:rsid w:val="00BD799E"/>
    <w:rsid w:val="00BE00AC"/>
    <w:rsid w:val="00BE032A"/>
    <w:rsid w:val="00BE0DA2"/>
    <w:rsid w:val="00BE2A8B"/>
    <w:rsid w:val="00BE350C"/>
    <w:rsid w:val="00BE3B44"/>
    <w:rsid w:val="00BE3C63"/>
    <w:rsid w:val="00BE4477"/>
    <w:rsid w:val="00BE5C85"/>
    <w:rsid w:val="00BE64D0"/>
    <w:rsid w:val="00BF22B1"/>
    <w:rsid w:val="00BF2E3F"/>
    <w:rsid w:val="00BF5A88"/>
    <w:rsid w:val="00BF6D05"/>
    <w:rsid w:val="00BF6EA7"/>
    <w:rsid w:val="00C009A5"/>
    <w:rsid w:val="00C015B3"/>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2B87"/>
    <w:rsid w:val="00C24910"/>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336"/>
    <w:rsid w:val="00C46842"/>
    <w:rsid w:val="00C47AD7"/>
    <w:rsid w:val="00C50646"/>
    <w:rsid w:val="00C52BCB"/>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8AD"/>
    <w:rsid w:val="00C94A81"/>
    <w:rsid w:val="00C95A1F"/>
    <w:rsid w:val="00C9689D"/>
    <w:rsid w:val="00C97F1B"/>
    <w:rsid w:val="00CA0609"/>
    <w:rsid w:val="00CA0CF8"/>
    <w:rsid w:val="00CA287F"/>
    <w:rsid w:val="00CA308E"/>
    <w:rsid w:val="00CA3A12"/>
    <w:rsid w:val="00CA54BD"/>
    <w:rsid w:val="00CA57C1"/>
    <w:rsid w:val="00CB04EC"/>
    <w:rsid w:val="00CB36BE"/>
    <w:rsid w:val="00CB525F"/>
    <w:rsid w:val="00CB6B28"/>
    <w:rsid w:val="00CC1B16"/>
    <w:rsid w:val="00CC2272"/>
    <w:rsid w:val="00CC468D"/>
    <w:rsid w:val="00CC6527"/>
    <w:rsid w:val="00CC7046"/>
    <w:rsid w:val="00CC7A6B"/>
    <w:rsid w:val="00CD1DDB"/>
    <w:rsid w:val="00CD5F48"/>
    <w:rsid w:val="00CD6453"/>
    <w:rsid w:val="00CE0F51"/>
    <w:rsid w:val="00CE2A01"/>
    <w:rsid w:val="00CE4722"/>
    <w:rsid w:val="00CE517F"/>
    <w:rsid w:val="00CE5D11"/>
    <w:rsid w:val="00CE5D9C"/>
    <w:rsid w:val="00CF1D34"/>
    <w:rsid w:val="00CF2D96"/>
    <w:rsid w:val="00CF398D"/>
    <w:rsid w:val="00CF40B2"/>
    <w:rsid w:val="00CF4747"/>
    <w:rsid w:val="00D00B7A"/>
    <w:rsid w:val="00D033B7"/>
    <w:rsid w:val="00D0440B"/>
    <w:rsid w:val="00D0578A"/>
    <w:rsid w:val="00D05EF9"/>
    <w:rsid w:val="00D07623"/>
    <w:rsid w:val="00D124A7"/>
    <w:rsid w:val="00D152AC"/>
    <w:rsid w:val="00D15338"/>
    <w:rsid w:val="00D158BD"/>
    <w:rsid w:val="00D20787"/>
    <w:rsid w:val="00D20B7E"/>
    <w:rsid w:val="00D20CFD"/>
    <w:rsid w:val="00D22744"/>
    <w:rsid w:val="00D22E5B"/>
    <w:rsid w:val="00D26914"/>
    <w:rsid w:val="00D27EB5"/>
    <w:rsid w:val="00D31305"/>
    <w:rsid w:val="00D31DE8"/>
    <w:rsid w:val="00D34F1F"/>
    <w:rsid w:val="00D36930"/>
    <w:rsid w:val="00D36C21"/>
    <w:rsid w:val="00D36DAF"/>
    <w:rsid w:val="00D36F4A"/>
    <w:rsid w:val="00D37B46"/>
    <w:rsid w:val="00D4050D"/>
    <w:rsid w:val="00D446DE"/>
    <w:rsid w:val="00D5153B"/>
    <w:rsid w:val="00D52A96"/>
    <w:rsid w:val="00D53B94"/>
    <w:rsid w:val="00D544C5"/>
    <w:rsid w:val="00D55EB5"/>
    <w:rsid w:val="00D56674"/>
    <w:rsid w:val="00D57046"/>
    <w:rsid w:val="00D61FBF"/>
    <w:rsid w:val="00D6219B"/>
    <w:rsid w:val="00D626A3"/>
    <w:rsid w:val="00D637D4"/>
    <w:rsid w:val="00D6438B"/>
    <w:rsid w:val="00D64E73"/>
    <w:rsid w:val="00D65F1F"/>
    <w:rsid w:val="00D665D1"/>
    <w:rsid w:val="00D66D86"/>
    <w:rsid w:val="00D701E1"/>
    <w:rsid w:val="00D732FE"/>
    <w:rsid w:val="00D73544"/>
    <w:rsid w:val="00D77242"/>
    <w:rsid w:val="00D77363"/>
    <w:rsid w:val="00D779BF"/>
    <w:rsid w:val="00D834EB"/>
    <w:rsid w:val="00D83AAD"/>
    <w:rsid w:val="00D86059"/>
    <w:rsid w:val="00D861F5"/>
    <w:rsid w:val="00D867B5"/>
    <w:rsid w:val="00D877E8"/>
    <w:rsid w:val="00D91589"/>
    <w:rsid w:val="00D91F13"/>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38B3"/>
    <w:rsid w:val="00DB540A"/>
    <w:rsid w:val="00DB5879"/>
    <w:rsid w:val="00DB5993"/>
    <w:rsid w:val="00DC10C3"/>
    <w:rsid w:val="00DC265A"/>
    <w:rsid w:val="00DC32AB"/>
    <w:rsid w:val="00DC3A01"/>
    <w:rsid w:val="00DC6528"/>
    <w:rsid w:val="00DD2F68"/>
    <w:rsid w:val="00DD3179"/>
    <w:rsid w:val="00DD3440"/>
    <w:rsid w:val="00DD3BE3"/>
    <w:rsid w:val="00DD3FC7"/>
    <w:rsid w:val="00DD45C4"/>
    <w:rsid w:val="00DD4C7D"/>
    <w:rsid w:val="00DD4EF0"/>
    <w:rsid w:val="00DD568F"/>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1F41"/>
    <w:rsid w:val="00E14238"/>
    <w:rsid w:val="00E146C4"/>
    <w:rsid w:val="00E14C99"/>
    <w:rsid w:val="00E200F8"/>
    <w:rsid w:val="00E20DEA"/>
    <w:rsid w:val="00E2158A"/>
    <w:rsid w:val="00E22EA2"/>
    <w:rsid w:val="00E22FF2"/>
    <w:rsid w:val="00E23B2E"/>
    <w:rsid w:val="00E24A6B"/>
    <w:rsid w:val="00E27C1F"/>
    <w:rsid w:val="00E309A4"/>
    <w:rsid w:val="00E3103E"/>
    <w:rsid w:val="00E31E73"/>
    <w:rsid w:val="00E3251B"/>
    <w:rsid w:val="00E40F84"/>
    <w:rsid w:val="00E4122B"/>
    <w:rsid w:val="00E41A50"/>
    <w:rsid w:val="00E4296A"/>
    <w:rsid w:val="00E4373F"/>
    <w:rsid w:val="00E43757"/>
    <w:rsid w:val="00E471E3"/>
    <w:rsid w:val="00E47B7B"/>
    <w:rsid w:val="00E504F6"/>
    <w:rsid w:val="00E5117C"/>
    <w:rsid w:val="00E51309"/>
    <w:rsid w:val="00E52260"/>
    <w:rsid w:val="00E523EA"/>
    <w:rsid w:val="00E548AC"/>
    <w:rsid w:val="00E54A50"/>
    <w:rsid w:val="00E56D36"/>
    <w:rsid w:val="00E61CCB"/>
    <w:rsid w:val="00E628AD"/>
    <w:rsid w:val="00E629CE"/>
    <w:rsid w:val="00E62C31"/>
    <w:rsid w:val="00E63C0C"/>
    <w:rsid w:val="00E6481A"/>
    <w:rsid w:val="00E672EE"/>
    <w:rsid w:val="00E67F18"/>
    <w:rsid w:val="00E70174"/>
    <w:rsid w:val="00E71EA8"/>
    <w:rsid w:val="00E74BF8"/>
    <w:rsid w:val="00E779CA"/>
    <w:rsid w:val="00E835E8"/>
    <w:rsid w:val="00E844C8"/>
    <w:rsid w:val="00E919FF"/>
    <w:rsid w:val="00E97024"/>
    <w:rsid w:val="00E97075"/>
    <w:rsid w:val="00E97AB6"/>
    <w:rsid w:val="00EA0EE1"/>
    <w:rsid w:val="00EA0F32"/>
    <w:rsid w:val="00EA1309"/>
    <w:rsid w:val="00EA2867"/>
    <w:rsid w:val="00EA445B"/>
    <w:rsid w:val="00EA44CA"/>
    <w:rsid w:val="00EA4992"/>
    <w:rsid w:val="00EA5CE0"/>
    <w:rsid w:val="00EA66CA"/>
    <w:rsid w:val="00EA74C3"/>
    <w:rsid w:val="00EB2DDA"/>
    <w:rsid w:val="00EB3913"/>
    <w:rsid w:val="00EB4EC4"/>
    <w:rsid w:val="00EB5E19"/>
    <w:rsid w:val="00EC0B70"/>
    <w:rsid w:val="00EC20E6"/>
    <w:rsid w:val="00EC4748"/>
    <w:rsid w:val="00EC52F5"/>
    <w:rsid w:val="00EC5ACC"/>
    <w:rsid w:val="00ED0403"/>
    <w:rsid w:val="00ED04EE"/>
    <w:rsid w:val="00ED174D"/>
    <w:rsid w:val="00ED1797"/>
    <w:rsid w:val="00ED1A35"/>
    <w:rsid w:val="00ED296B"/>
    <w:rsid w:val="00ED3A19"/>
    <w:rsid w:val="00ED439F"/>
    <w:rsid w:val="00ED5FBC"/>
    <w:rsid w:val="00ED652F"/>
    <w:rsid w:val="00ED6A41"/>
    <w:rsid w:val="00ED6A97"/>
    <w:rsid w:val="00EE1BF2"/>
    <w:rsid w:val="00EE38D7"/>
    <w:rsid w:val="00EE48F1"/>
    <w:rsid w:val="00EE4FED"/>
    <w:rsid w:val="00EE54C3"/>
    <w:rsid w:val="00EE5BDA"/>
    <w:rsid w:val="00EE608E"/>
    <w:rsid w:val="00EE6F9B"/>
    <w:rsid w:val="00EF26D7"/>
    <w:rsid w:val="00EF34D6"/>
    <w:rsid w:val="00EF3B5C"/>
    <w:rsid w:val="00EF3C1E"/>
    <w:rsid w:val="00EF4C03"/>
    <w:rsid w:val="00EF75AC"/>
    <w:rsid w:val="00F00A05"/>
    <w:rsid w:val="00F00DBC"/>
    <w:rsid w:val="00F021D9"/>
    <w:rsid w:val="00F0380A"/>
    <w:rsid w:val="00F0385D"/>
    <w:rsid w:val="00F03A92"/>
    <w:rsid w:val="00F03B50"/>
    <w:rsid w:val="00F07C79"/>
    <w:rsid w:val="00F12A39"/>
    <w:rsid w:val="00F12AF2"/>
    <w:rsid w:val="00F131A6"/>
    <w:rsid w:val="00F16C13"/>
    <w:rsid w:val="00F20E6A"/>
    <w:rsid w:val="00F21BA0"/>
    <w:rsid w:val="00F22823"/>
    <w:rsid w:val="00F23316"/>
    <w:rsid w:val="00F239FD"/>
    <w:rsid w:val="00F25479"/>
    <w:rsid w:val="00F26461"/>
    <w:rsid w:val="00F31E2A"/>
    <w:rsid w:val="00F331E1"/>
    <w:rsid w:val="00F35E38"/>
    <w:rsid w:val="00F36379"/>
    <w:rsid w:val="00F42F56"/>
    <w:rsid w:val="00F430E0"/>
    <w:rsid w:val="00F44109"/>
    <w:rsid w:val="00F44E23"/>
    <w:rsid w:val="00F454B7"/>
    <w:rsid w:val="00F512E1"/>
    <w:rsid w:val="00F51C60"/>
    <w:rsid w:val="00F52328"/>
    <w:rsid w:val="00F523B2"/>
    <w:rsid w:val="00F5556D"/>
    <w:rsid w:val="00F562BE"/>
    <w:rsid w:val="00F57629"/>
    <w:rsid w:val="00F61463"/>
    <w:rsid w:val="00F618B7"/>
    <w:rsid w:val="00F6375F"/>
    <w:rsid w:val="00F63D45"/>
    <w:rsid w:val="00F64B5C"/>
    <w:rsid w:val="00F65D96"/>
    <w:rsid w:val="00F6642F"/>
    <w:rsid w:val="00F670FC"/>
    <w:rsid w:val="00F7279C"/>
    <w:rsid w:val="00F72BCF"/>
    <w:rsid w:val="00F7381C"/>
    <w:rsid w:val="00F74FC0"/>
    <w:rsid w:val="00F83626"/>
    <w:rsid w:val="00F83666"/>
    <w:rsid w:val="00F8403B"/>
    <w:rsid w:val="00F846FC"/>
    <w:rsid w:val="00F861C2"/>
    <w:rsid w:val="00F86209"/>
    <w:rsid w:val="00F86E4E"/>
    <w:rsid w:val="00F90028"/>
    <w:rsid w:val="00F90512"/>
    <w:rsid w:val="00F9342E"/>
    <w:rsid w:val="00F943A0"/>
    <w:rsid w:val="00F950A6"/>
    <w:rsid w:val="00F978A4"/>
    <w:rsid w:val="00FA0979"/>
    <w:rsid w:val="00FA1043"/>
    <w:rsid w:val="00FA11C6"/>
    <w:rsid w:val="00FA3335"/>
    <w:rsid w:val="00FA4722"/>
    <w:rsid w:val="00FA5037"/>
    <w:rsid w:val="00FA5435"/>
    <w:rsid w:val="00FA5A58"/>
    <w:rsid w:val="00FA798A"/>
    <w:rsid w:val="00FA7E90"/>
    <w:rsid w:val="00FB1027"/>
    <w:rsid w:val="00FB1295"/>
    <w:rsid w:val="00FB17DB"/>
    <w:rsid w:val="00FB18C8"/>
    <w:rsid w:val="00FB1B7E"/>
    <w:rsid w:val="00FB24B7"/>
    <w:rsid w:val="00FB2702"/>
    <w:rsid w:val="00FB3022"/>
    <w:rsid w:val="00FB3704"/>
    <w:rsid w:val="00FB44EE"/>
    <w:rsid w:val="00FB50B9"/>
    <w:rsid w:val="00FC093E"/>
    <w:rsid w:val="00FC509F"/>
    <w:rsid w:val="00FC5BB1"/>
    <w:rsid w:val="00FC7E78"/>
    <w:rsid w:val="00FD2675"/>
    <w:rsid w:val="00FD2E86"/>
    <w:rsid w:val="00FD3CD5"/>
    <w:rsid w:val="00FD4B28"/>
    <w:rsid w:val="00FD51A0"/>
    <w:rsid w:val="00FE0284"/>
    <w:rsid w:val="00FE317E"/>
    <w:rsid w:val="00FE78F3"/>
    <w:rsid w:val="00FF2414"/>
    <w:rsid w:val="00FF28CA"/>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B6044"/>
    <w:rsid w:val="06657089"/>
    <w:rsid w:val="06726600"/>
    <w:rsid w:val="06CF0083"/>
    <w:rsid w:val="06D90382"/>
    <w:rsid w:val="070C0696"/>
    <w:rsid w:val="071E5A16"/>
    <w:rsid w:val="07C937BF"/>
    <w:rsid w:val="07EF0979"/>
    <w:rsid w:val="0831053B"/>
    <w:rsid w:val="08412C76"/>
    <w:rsid w:val="08793CA9"/>
    <w:rsid w:val="089D72D2"/>
    <w:rsid w:val="08FF7763"/>
    <w:rsid w:val="09057635"/>
    <w:rsid w:val="096F0ABB"/>
    <w:rsid w:val="09910354"/>
    <w:rsid w:val="09A15DBC"/>
    <w:rsid w:val="09C6027F"/>
    <w:rsid w:val="09D04095"/>
    <w:rsid w:val="0A2A7A5B"/>
    <w:rsid w:val="0A3B709C"/>
    <w:rsid w:val="0A4506CE"/>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DB75760"/>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1C3B71"/>
    <w:rsid w:val="412F601C"/>
    <w:rsid w:val="413D2424"/>
    <w:rsid w:val="41770E3B"/>
    <w:rsid w:val="41AC5379"/>
    <w:rsid w:val="42083C1C"/>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B502FB"/>
    <w:rsid w:val="51DE0CA8"/>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2E37A1"/>
    <w:rsid w:val="5D457310"/>
    <w:rsid w:val="5D5E35F2"/>
    <w:rsid w:val="5DE76B2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E7D1D7F"/>
    <w:rsid w:val="7E7D3960"/>
    <w:rsid w:val="7E822D47"/>
    <w:rsid w:val="7EB43C2A"/>
    <w:rsid w:val="7ECA3219"/>
    <w:rsid w:val="7ED94842"/>
    <w:rsid w:val="7F050E88"/>
    <w:rsid w:val="7F603545"/>
    <w:rsid w:val="7F635CE4"/>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1"/>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Plain Text"/>
    <w:basedOn w:val="1"/>
    <w:link w:val="31"/>
    <w:qFormat/>
    <w:uiPriority w:val="0"/>
    <w:rPr>
      <w:rFonts w:ascii="宋体" w:hAnsi="Courier New"/>
      <w:kern w:val="0"/>
      <w:sz w:val="24"/>
      <w:szCs w:val="20"/>
    </w:rPr>
  </w:style>
  <w:style w:type="paragraph" w:styleId="9">
    <w:name w:val="Balloon Text"/>
    <w:basedOn w:val="1"/>
    <w:link w:val="30"/>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Body Text Indent 3"/>
    <w:basedOn w:val="1"/>
    <w:qFormat/>
    <w:uiPriority w:val="0"/>
    <w:pPr>
      <w:snapToGrid w:val="0"/>
      <w:spacing w:line="360" w:lineRule="auto"/>
      <w:ind w:firstLine="425"/>
    </w:pPr>
    <w:rPr>
      <w:sz w:val="24"/>
    </w:r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none"/>
    </w:rPr>
  </w:style>
  <w:style w:type="paragraph" w:customStyle="1" w:styleId="19">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0">
    <w:name w:val="4正文"/>
    <w:basedOn w:val="1"/>
    <w:qFormat/>
    <w:uiPriority w:val="0"/>
    <w:pPr>
      <w:spacing w:line="360" w:lineRule="auto"/>
      <w:ind w:firstLine="480" w:firstLineChars="200"/>
    </w:pPr>
    <w:rPr>
      <w:rFonts w:cs="宋体"/>
      <w:szCs w:val="20"/>
    </w:rPr>
  </w:style>
  <w:style w:type="character" w:customStyle="1" w:styleId="21">
    <w:name w:val="标题 2 字符"/>
    <w:link w:val="3"/>
    <w:qFormat/>
    <w:uiPriority w:val="0"/>
    <w:rPr>
      <w:rFonts w:ascii="Arial" w:hAnsi="Arial" w:cs="Times New Roman"/>
      <w:b/>
      <w:sz w:val="28"/>
      <w:szCs w:val="22"/>
    </w:rPr>
  </w:style>
  <w:style w:type="paragraph" w:customStyle="1" w:styleId="22">
    <w:name w:val="p0"/>
    <w:basedOn w:val="1"/>
    <w:qFormat/>
    <w:uiPriority w:val="0"/>
    <w:pPr>
      <w:widowControl/>
    </w:pPr>
    <w:rPr>
      <w:kern w:val="0"/>
      <w:szCs w:val="21"/>
    </w:rPr>
  </w:style>
  <w:style w:type="paragraph" w:customStyle="1" w:styleId="23">
    <w:name w:val="_Style 1"/>
    <w:basedOn w:val="1"/>
    <w:qFormat/>
    <w:uiPriority w:val="1"/>
    <w:rPr>
      <w:szCs w:val="32"/>
    </w:rPr>
  </w:style>
  <w:style w:type="paragraph" w:customStyle="1" w:styleId="24">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5">
    <w:name w:val="表标题"/>
    <w:basedOn w:val="1"/>
    <w:qFormat/>
    <w:uiPriority w:val="0"/>
    <w:pPr>
      <w:jc w:val="center"/>
    </w:pPr>
    <w:rPr>
      <w:rFonts w:ascii="黑体" w:eastAsia="黑体"/>
      <w:sz w:val="24"/>
    </w:rPr>
  </w:style>
  <w:style w:type="paragraph" w:customStyle="1" w:styleId="26">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7">
    <w:name w:val="公文正文"/>
    <w:basedOn w:val="1"/>
    <w:qFormat/>
    <w:uiPriority w:val="0"/>
    <w:pPr>
      <w:ind w:firstLine="200" w:firstLineChars="200"/>
    </w:pPr>
    <w:rPr>
      <w:rFonts w:eastAsia="方正仿宋简体"/>
      <w:sz w:val="30"/>
    </w:rPr>
  </w:style>
  <w:style w:type="paragraph" w:customStyle="1" w:styleId="28">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2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0">
    <w:name w:val="批注框文本 字符"/>
    <w:basedOn w:val="17"/>
    <w:link w:val="9"/>
    <w:qFormat/>
    <w:uiPriority w:val="0"/>
    <w:rPr>
      <w:kern w:val="2"/>
      <w:sz w:val="18"/>
      <w:szCs w:val="18"/>
    </w:rPr>
  </w:style>
  <w:style w:type="character" w:customStyle="1" w:styleId="31">
    <w:name w:val="纯文本 字符"/>
    <w:basedOn w:val="17"/>
    <w:link w:val="8"/>
    <w:qFormat/>
    <w:uiPriority w:val="0"/>
    <w:rPr>
      <w:rFonts w:ascii="宋体" w:hAnsi="Courier New"/>
      <w:sz w:val="24"/>
    </w:rPr>
  </w:style>
  <w:style w:type="paragraph" w:customStyle="1" w:styleId="32">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3">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4">
    <w:name w:val="No Spacing"/>
    <w:qFormat/>
    <w:uiPriority w:val="1"/>
    <w:rPr>
      <w:rFonts w:asciiTheme="minorHAnsi" w:hAnsiTheme="minorHAnsi" w:eastAsiaTheme="minorEastAsia" w:cstheme="minorBidi"/>
      <w:sz w:val="22"/>
      <w:szCs w:val="22"/>
      <w:lang w:val="en-US" w:eastAsia="zh-CN" w:bidi="ar-SA"/>
    </w:rPr>
  </w:style>
  <w:style w:type="paragraph" w:customStyle="1" w:styleId="35">
    <w:name w:val="BG"/>
    <w:basedOn w:val="1"/>
    <w:link w:val="36"/>
    <w:qFormat/>
    <w:uiPriority w:val="0"/>
    <w:pPr>
      <w:adjustRightInd w:val="0"/>
      <w:snapToGrid w:val="0"/>
      <w:jc w:val="center"/>
    </w:pPr>
    <w:rPr>
      <w:rFonts w:ascii="宋体" w:hAnsi="宋体"/>
      <w:bCs/>
      <w:szCs w:val="21"/>
    </w:rPr>
  </w:style>
  <w:style w:type="character" w:customStyle="1" w:styleId="36">
    <w:name w:val="BG Char"/>
    <w:basedOn w:val="17"/>
    <w:link w:val="35"/>
    <w:qFormat/>
    <w:uiPriority w:val="0"/>
    <w:rPr>
      <w:rFonts w:ascii="宋体" w:hAnsi="宋体"/>
      <w:bCs/>
      <w:sz w:val="21"/>
      <w:szCs w:val="21"/>
    </w:rPr>
  </w:style>
  <w:style w:type="paragraph" w:styleId="3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1084"/>
    <customShpInfo spid="_x0000_s1085"/>
    <customShpInfo spid="_x0000_s1086"/>
    <customShpInfo spid="_x0000_s1081"/>
    <customShpInfo spid="_x0000_s108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5A4E2A-6855-40F8-BC29-B4D70AC6B10E}">
  <ds:schemaRefs/>
</ds:datastoreItem>
</file>

<file path=docProps/app.xml><?xml version="1.0" encoding="utf-8"?>
<Properties xmlns="http://schemas.openxmlformats.org/officeDocument/2006/extended-properties" xmlns:vt="http://schemas.openxmlformats.org/officeDocument/2006/docPropsVTypes">
  <Template>0</Template>
  <Company>ICOS</Company>
  <Pages>1</Pages>
  <Words>3167</Words>
  <Characters>18058</Characters>
  <Lines>150</Lines>
  <Paragraphs>42</Paragraphs>
  <TotalTime>156</TotalTime>
  <ScaleCrop>false</ScaleCrop>
  <LinksUpToDate>false</LinksUpToDate>
  <CharactersWithSpaces>21183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2020-07-13T07:02:53Z</dcterms:modified>
  <cp:revision>6102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