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asciiTheme="majorEastAsia" w:hAnsiTheme="majorEastAsia" w:eastAsiaTheme="majorEastAsia" w:cstheme="majorEastAsia"/>
          <w:b/>
          <w:bCs/>
        </w:rPr>
      </w:pPr>
    </w:p>
    <w:p>
      <w:pPr>
        <w:rPr>
          <w:rFonts w:asciiTheme="majorEastAsia" w:hAnsiTheme="majorEastAsia" w:eastAsiaTheme="majorEastAsia" w:cstheme="majorEastAsia"/>
          <w:b/>
          <w:bCs/>
          <w:color w:val="000000"/>
          <w:sz w:val="30"/>
          <w:szCs w:val="30"/>
        </w:rPr>
      </w:pPr>
    </w:p>
    <w:tbl>
      <w:tblPr>
        <w:tblStyle w:val="15"/>
        <w:tblpPr w:leftFromText="187" w:rightFromText="187" w:vertAnchor="page" w:horzAnchor="page" w:tblpXSpec="center" w:tblpY="3123"/>
        <w:tblW w:w="8504" w:type="dxa"/>
        <w:jc w:val="center"/>
        <w:tblLayout w:type="fixed"/>
        <w:tblCellMar>
          <w:top w:w="0" w:type="dxa"/>
          <w:left w:w="144" w:type="dxa"/>
          <w:bottom w:w="0" w:type="dxa"/>
          <w:right w:w="115" w:type="dxa"/>
        </w:tblCellMar>
      </w:tblPr>
      <w:tblGrid>
        <w:gridCol w:w="8504"/>
      </w:tblGrid>
      <w:tr>
        <w:tblPrEx>
          <w:tblCellMar>
            <w:top w:w="0" w:type="dxa"/>
            <w:left w:w="144" w:type="dxa"/>
            <w:bottom w:w="0" w:type="dxa"/>
            <w:right w:w="115" w:type="dxa"/>
          </w:tblCellMar>
        </w:tblPrEx>
        <w:trPr>
          <w:jc w:val="center"/>
        </w:trPr>
        <w:tc>
          <w:tcPr>
            <w:tcW w:w="8504" w:type="dxa"/>
            <w:tcBorders>
              <w:tl2br w:val="nil"/>
              <w:tr2bl w:val="nil"/>
            </w:tcBorders>
            <w:tcMar>
              <w:top w:w="216" w:type="dxa"/>
              <w:left w:w="115" w:type="dxa"/>
              <w:bottom w:w="216" w:type="dxa"/>
              <w:right w:w="115" w:type="dxa"/>
            </w:tcMar>
            <w:vAlign w:val="center"/>
          </w:tcPr>
          <w:p>
            <w:pPr>
              <w:pStyle w:val="34"/>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中海油贵州销售有限公司三荔高速荔波西加油站建设项目</w:t>
            </w:r>
          </w:p>
        </w:tc>
      </w:tr>
      <w:tr>
        <w:tblPrEx>
          <w:tblCellMar>
            <w:top w:w="0" w:type="dxa"/>
            <w:left w:w="144" w:type="dxa"/>
            <w:bottom w:w="0" w:type="dxa"/>
            <w:right w:w="115" w:type="dxa"/>
          </w:tblCellMar>
        </w:tblPrEx>
        <w:trPr>
          <w:trHeight w:val="1163" w:hRule="atLeast"/>
          <w:jc w:val="center"/>
        </w:trPr>
        <w:tc>
          <w:tcPr>
            <w:tcW w:w="8504" w:type="dxa"/>
            <w:tcBorders>
              <w:tl2br w:val="nil"/>
              <w:tr2bl w:val="nil"/>
            </w:tcBorders>
            <w:vAlign w:val="center"/>
          </w:tcPr>
          <w:p>
            <w:pPr>
              <w:pStyle w:val="34"/>
              <w:spacing w:line="216" w:lineRule="auto"/>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lang w:val="zh-CN"/>
              </w:rPr>
              <w:t>竣工环境保护验收监测报告表</w:t>
            </w:r>
          </w:p>
        </w:tc>
      </w:tr>
    </w:tbl>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tbl>
      <w:tblPr>
        <w:tblStyle w:val="15"/>
        <w:tblW w:w="9071" w:type="dxa"/>
        <w:jc w:val="center"/>
        <w:tblLayout w:type="fixed"/>
        <w:tblCellMar>
          <w:top w:w="0" w:type="dxa"/>
          <w:left w:w="108" w:type="dxa"/>
          <w:bottom w:w="0" w:type="dxa"/>
          <w:right w:w="108" w:type="dxa"/>
        </w:tblCellMar>
      </w:tblPr>
      <w:tblGrid>
        <w:gridCol w:w="2220"/>
        <w:gridCol w:w="6851"/>
      </w:tblGrid>
      <w:tr>
        <w:tblPrEx>
          <w:tblCellMar>
            <w:top w:w="0" w:type="dxa"/>
            <w:left w:w="108" w:type="dxa"/>
            <w:bottom w:w="0" w:type="dxa"/>
            <w:right w:w="108" w:type="dxa"/>
          </w:tblCellMar>
        </w:tblPrEx>
        <w:trPr>
          <w:trHeight w:val="624" w:hRule="atLeast"/>
          <w:jc w:val="center"/>
        </w:trPr>
        <w:tc>
          <w:tcPr>
            <w:tcW w:w="2220" w:type="dxa"/>
            <w:vAlign w:val="center"/>
          </w:tcPr>
          <w:p>
            <w:pPr>
              <w:pStyle w:val="8"/>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编制单位：</w:t>
            </w:r>
          </w:p>
        </w:tc>
        <w:tc>
          <w:tcPr>
            <w:tcW w:w="6851" w:type="dxa"/>
            <w:tcBorders>
              <w:top w:val="nil"/>
              <w:left w:val="nil"/>
              <w:bottom w:val="single" w:color="auto" w:sz="12" w:space="0"/>
              <w:right w:val="nil"/>
            </w:tcBorders>
            <w:vAlign w:val="center"/>
          </w:tcPr>
          <w:p>
            <w:pPr>
              <w:pStyle w:val="8"/>
              <w:widowControl/>
              <w:adjustRightInd w:val="0"/>
              <w:snapToGrid w:val="0"/>
              <w:jc w:val="distribute"/>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0"/>
                <w:szCs w:val="30"/>
              </w:rPr>
              <w:t>中海油贵州销售有限公司三荔高速荔波西加油站</w:t>
            </w:r>
          </w:p>
        </w:tc>
      </w:tr>
      <w:tr>
        <w:tblPrEx>
          <w:tblCellMar>
            <w:top w:w="0" w:type="dxa"/>
            <w:left w:w="108" w:type="dxa"/>
            <w:bottom w:w="0" w:type="dxa"/>
            <w:right w:w="108" w:type="dxa"/>
          </w:tblCellMar>
        </w:tblPrEx>
        <w:trPr>
          <w:trHeight w:val="680" w:hRule="atLeast"/>
          <w:jc w:val="center"/>
        </w:trPr>
        <w:tc>
          <w:tcPr>
            <w:tcW w:w="2220" w:type="dxa"/>
            <w:vAlign w:val="center"/>
          </w:tcPr>
          <w:p>
            <w:pPr>
              <w:pStyle w:val="8"/>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建设单位：</w:t>
            </w:r>
          </w:p>
        </w:tc>
        <w:tc>
          <w:tcPr>
            <w:tcW w:w="6851" w:type="dxa"/>
            <w:tcBorders>
              <w:top w:val="single" w:color="auto" w:sz="12" w:space="0"/>
              <w:left w:val="nil"/>
              <w:bottom w:val="single" w:color="auto" w:sz="12" w:space="0"/>
              <w:right w:val="nil"/>
            </w:tcBorders>
            <w:vAlign w:val="center"/>
          </w:tcPr>
          <w:p>
            <w:pPr>
              <w:pStyle w:val="8"/>
              <w:widowControl/>
              <w:adjustRightInd w:val="0"/>
              <w:snapToGrid w:val="0"/>
              <w:jc w:val="distribute"/>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0"/>
                <w:szCs w:val="30"/>
              </w:rPr>
              <w:t>中海油贵州销售有限公司</w:t>
            </w:r>
          </w:p>
        </w:tc>
      </w:tr>
      <w:tr>
        <w:tblPrEx>
          <w:tblCellMar>
            <w:top w:w="0" w:type="dxa"/>
            <w:left w:w="108" w:type="dxa"/>
            <w:bottom w:w="0" w:type="dxa"/>
            <w:right w:w="108" w:type="dxa"/>
          </w:tblCellMar>
        </w:tblPrEx>
        <w:trPr>
          <w:trHeight w:val="680" w:hRule="atLeast"/>
          <w:jc w:val="center"/>
        </w:trPr>
        <w:tc>
          <w:tcPr>
            <w:tcW w:w="2220" w:type="dxa"/>
            <w:tcBorders>
              <w:top w:val="nil"/>
              <w:left w:val="nil"/>
              <w:bottom w:val="nil"/>
              <w:right w:val="nil"/>
            </w:tcBorders>
            <w:vAlign w:val="center"/>
          </w:tcPr>
          <w:p>
            <w:pPr>
              <w:pStyle w:val="8"/>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编制时间：</w:t>
            </w:r>
          </w:p>
        </w:tc>
        <w:tc>
          <w:tcPr>
            <w:tcW w:w="6851" w:type="dxa"/>
            <w:tcBorders>
              <w:top w:val="single" w:color="auto" w:sz="12" w:space="0"/>
              <w:left w:val="nil"/>
              <w:bottom w:val="nil"/>
              <w:right w:val="nil"/>
            </w:tcBorders>
            <w:vAlign w:val="center"/>
          </w:tcPr>
          <w:p>
            <w:pPr>
              <w:pStyle w:val="8"/>
              <w:widowControl/>
              <w:adjustRightInd w:val="0"/>
              <w:snapToGrid w:val="0"/>
              <w:jc w:val="distribute"/>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2"/>
                <w:szCs w:val="32"/>
              </w:rPr>
              <w:t>二〇二〇年六月</w:t>
            </w:r>
          </w:p>
        </w:tc>
      </w:tr>
    </w:tbl>
    <w:p>
      <w:pPr>
        <w:rPr>
          <w:rFonts w:hAnsi="Arial" w:eastAsia="仿宋_GB2312"/>
          <w:b/>
          <w:color w:val="000000"/>
          <w:sz w:val="30"/>
          <w:szCs w:val="30"/>
        </w:rPr>
      </w:pPr>
    </w:p>
    <w:p>
      <w:pPr>
        <w:pStyle w:val="8"/>
        <w:jc w:val="center"/>
        <w:rPr>
          <w:rFonts w:asciiTheme="minorEastAsia" w:hAnsiTheme="minorEastAsia" w:cstheme="minorEastAsia"/>
          <w:bCs/>
          <w:snapToGrid w:val="0"/>
          <w:spacing w:val="6"/>
          <w:sz w:val="30"/>
          <w:szCs w:val="30"/>
        </w:rPr>
        <w:sectPr>
          <w:footerReference r:id="rId3" w:type="default"/>
          <w:pgSz w:w="11906" w:h="16838"/>
          <w:pgMar w:top="1440" w:right="1417" w:bottom="1440" w:left="1417" w:header="851" w:footer="992" w:gutter="0"/>
          <w:pgNumType w:fmt="upperRoman" w:start="1"/>
          <w:cols w:space="720" w:num="1"/>
          <w:docGrid w:type="lines" w:linePitch="312" w:charSpace="0"/>
        </w:sectPr>
      </w:pPr>
    </w:p>
    <w:p>
      <w:pPr>
        <w:spacing w:line="360" w:lineRule="auto"/>
        <w:jc w:val="center"/>
        <w:rPr>
          <w:rFonts w:ascii="Times New Roman" w:hAnsi="Times New Roman" w:eastAsia="宋体" w:cs="Times New Roman"/>
          <w:b/>
          <w:bCs/>
          <w:sz w:val="44"/>
          <w:szCs w:val="44"/>
        </w:rPr>
      </w:pPr>
      <w:bookmarkStart w:id="0" w:name="_Toc7910"/>
      <w:r>
        <w:rPr>
          <w:rFonts w:ascii="Times New Roman" w:hAnsi="Times New Roman" w:eastAsia="宋体" w:cs="Times New Roman"/>
          <w:b/>
          <w:bCs/>
          <w:sz w:val="44"/>
          <w:szCs w:val="44"/>
        </w:rPr>
        <w:t>目 录</w:t>
      </w:r>
    </w:p>
    <w:p>
      <w:pPr>
        <w:spacing w:line="360" w:lineRule="auto"/>
        <w:jc w:val="left"/>
        <w:rPr>
          <w:rFonts w:ascii="Times New Roman" w:hAnsi="Times New Roman" w:eastAsia="宋体" w:cs="Times New Roman"/>
          <w:b/>
          <w:bCs/>
          <w:sz w:val="28"/>
          <w:szCs w:val="28"/>
        </w:rPr>
      </w:pPr>
    </w:p>
    <w:p>
      <w:pPr>
        <w:pStyle w:val="12"/>
        <w:tabs>
          <w:tab w:val="right" w:leader="dot" w:pos="9072"/>
        </w:tabs>
        <w:rPr>
          <w:rFonts w:ascii="Times New Roman" w:hAnsi="Times New Roman" w:cs="Times New Roman"/>
          <w:b/>
          <w:bCs/>
          <w:sz w:val="28"/>
          <w:szCs w:val="28"/>
        </w:rPr>
      </w:pPr>
      <w:r>
        <w:rPr>
          <w:rFonts w:ascii="Times New Roman" w:hAnsi="Times New Roman" w:eastAsia="宋体" w:cs="Times New Roman"/>
          <w:b/>
          <w:bCs/>
          <w:color w:val="FF0000"/>
          <w:sz w:val="28"/>
          <w:szCs w:val="28"/>
        </w:rPr>
        <w:fldChar w:fldCharType="begin"/>
      </w:r>
      <w:r>
        <w:rPr>
          <w:rFonts w:ascii="Times New Roman" w:hAnsi="Times New Roman" w:eastAsia="宋体" w:cs="Times New Roman"/>
          <w:b/>
          <w:bCs/>
          <w:color w:val="FF0000"/>
          <w:sz w:val="28"/>
          <w:szCs w:val="28"/>
        </w:rPr>
        <w:instrText xml:space="preserve">TOC \o "1-1" \h \u </w:instrText>
      </w:r>
      <w:r>
        <w:rPr>
          <w:rFonts w:ascii="Times New Roman" w:hAnsi="Times New Roman" w:eastAsia="宋体" w:cs="Times New Roman"/>
          <w:b/>
          <w:bCs/>
          <w:color w:val="FF0000"/>
          <w:sz w:val="28"/>
          <w:szCs w:val="28"/>
        </w:rPr>
        <w:fldChar w:fldCharType="separate"/>
      </w:r>
      <w:r>
        <w:fldChar w:fldCharType="begin"/>
      </w:r>
      <w:r>
        <w:instrText xml:space="preserve"> HYPERLINK \l "_Toc3212" </w:instrText>
      </w:r>
      <w:r>
        <w:fldChar w:fldCharType="separate"/>
      </w:r>
      <w:r>
        <w:rPr>
          <w:rFonts w:ascii="Times New Roman" w:hAnsi="Times New Roman" w:cs="Times New Roman"/>
          <w:b/>
          <w:bCs/>
          <w:sz w:val="28"/>
          <w:szCs w:val="28"/>
        </w:rPr>
        <w:t>表一  建设项目概况</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_Toc3212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"_Toc19974" </w:instrText>
      </w:r>
      <w:r>
        <w:fldChar w:fldCharType="separate"/>
      </w:r>
      <w:r>
        <w:rPr>
          <w:rFonts w:ascii="Times New Roman" w:hAnsi="Times New Roman" w:cs="Times New Roman"/>
          <w:b/>
          <w:bCs/>
          <w:sz w:val="28"/>
          <w:szCs w:val="28"/>
        </w:rPr>
        <w:t>表二  主要污染物的产生、治理措施</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_Toc19974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10</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"_Toc10223" </w:instrText>
      </w:r>
      <w:r>
        <w:fldChar w:fldCharType="separate"/>
      </w:r>
      <w:r>
        <w:rPr>
          <w:rFonts w:ascii="Times New Roman" w:hAnsi="Times New Roman" w:cs="Times New Roman"/>
          <w:b/>
          <w:bCs/>
          <w:sz w:val="28"/>
          <w:szCs w:val="28"/>
        </w:rPr>
        <w:t>表三  环境影响评价报告表主要结论、建议及批复</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_Toc10223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16</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"_Toc22230" </w:instrText>
      </w:r>
      <w:r>
        <w:fldChar w:fldCharType="separate"/>
      </w:r>
      <w:r>
        <w:rPr>
          <w:rFonts w:ascii="Times New Roman" w:hAnsi="Times New Roman" w:cs="Times New Roman"/>
          <w:b/>
          <w:bCs/>
          <w:sz w:val="28"/>
          <w:szCs w:val="28"/>
        </w:rPr>
        <w:t>表四  验收监测标准</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_Toc22230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22</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"_Toc26604" </w:instrText>
      </w:r>
      <w:r>
        <w:fldChar w:fldCharType="separate"/>
      </w:r>
      <w:r>
        <w:rPr>
          <w:rFonts w:ascii="Times New Roman" w:hAnsi="Times New Roman" w:cs="Times New Roman"/>
          <w:b/>
          <w:bCs/>
          <w:sz w:val="28"/>
          <w:szCs w:val="28"/>
        </w:rPr>
        <w:t xml:space="preserve">表五  </w:t>
      </w:r>
      <w:r>
        <w:rPr>
          <w:rFonts w:ascii="Times New Roman" w:hAnsi="Times New Roman" w:eastAsia="宋体" w:cs="Times New Roman"/>
          <w:b/>
          <w:bCs/>
          <w:sz w:val="28"/>
          <w:szCs w:val="28"/>
        </w:rPr>
        <w:t>验收监测</w:t>
      </w:r>
      <w:r>
        <w:rPr>
          <w:rFonts w:ascii="Times New Roman" w:hAnsi="Times New Roman" w:cs="Times New Roman"/>
          <w:b/>
          <w:bCs/>
          <w:sz w:val="28"/>
          <w:szCs w:val="28"/>
        </w:rPr>
        <w:t>质量控制、</w:t>
      </w:r>
      <w:r>
        <w:rPr>
          <w:rFonts w:ascii="Times New Roman" w:hAnsi="Times New Roman" w:eastAsia="宋体" w:cs="Times New Roman"/>
          <w:b/>
          <w:bCs/>
          <w:sz w:val="28"/>
          <w:szCs w:val="28"/>
        </w:rPr>
        <w:t>监测内容</w:t>
      </w:r>
      <w:r>
        <w:rPr>
          <w:rFonts w:ascii="Times New Roman" w:hAnsi="Times New Roman" w:cs="Times New Roman"/>
          <w:b/>
          <w:bCs/>
          <w:sz w:val="28"/>
          <w:szCs w:val="28"/>
        </w:rPr>
        <w:t>及监测结果分析</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_Toc26604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23</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"_Toc8246" </w:instrText>
      </w:r>
      <w:r>
        <w:fldChar w:fldCharType="separate"/>
      </w:r>
      <w:r>
        <w:rPr>
          <w:rFonts w:ascii="Times New Roman" w:hAnsi="Times New Roman" w:cs="Times New Roman"/>
          <w:b/>
          <w:bCs/>
          <w:sz w:val="28"/>
          <w:szCs w:val="28"/>
        </w:rPr>
        <w:t>表六  验收监测内容</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_Toc8246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24</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"_Toc18169" </w:instrText>
      </w:r>
      <w:r>
        <w:fldChar w:fldCharType="separate"/>
      </w:r>
      <w:r>
        <w:rPr>
          <w:rFonts w:ascii="Times New Roman" w:hAnsi="Times New Roman" w:cs="Times New Roman"/>
          <w:b/>
          <w:bCs/>
          <w:sz w:val="28"/>
          <w:szCs w:val="28"/>
        </w:rPr>
        <w:t>表七  验收监测结果</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_Toc18169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27</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"_Toc2044" </w:instrText>
      </w:r>
      <w:r>
        <w:fldChar w:fldCharType="separate"/>
      </w:r>
      <w:r>
        <w:rPr>
          <w:rFonts w:ascii="Times New Roman" w:hAnsi="Times New Roman" w:cs="Times New Roman"/>
          <w:b/>
          <w:bCs/>
          <w:sz w:val="28"/>
          <w:szCs w:val="28"/>
        </w:rPr>
        <w:t>表八  环境管理检查</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_Toc2044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30</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"_Toc2089" </w:instrText>
      </w:r>
      <w:r>
        <w:fldChar w:fldCharType="separate"/>
      </w:r>
      <w:r>
        <w:rPr>
          <w:rFonts w:ascii="Times New Roman" w:hAnsi="Times New Roman" w:cs="Times New Roman"/>
          <w:b/>
          <w:bCs/>
          <w:sz w:val="28"/>
          <w:szCs w:val="28"/>
        </w:rPr>
        <w:t xml:space="preserve">表九  </w:t>
      </w:r>
      <w:r>
        <w:rPr>
          <w:rFonts w:ascii="Times New Roman" w:hAnsi="Times New Roman" w:eastAsia="宋体" w:cs="Times New Roman"/>
          <w:b/>
          <w:bCs/>
          <w:sz w:val="28"/>
          <w:szCs w:val="28"/>
        </w:rPr>
        <w:t>验收监测结论及建议</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_Toc2089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35</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sz w:val="28"/>
          <w:szCs w:val="28"/>
        </w:rPr>
      </w:pPr>
      <w:r>
        <w:fldChar w:fldCharType="begin"/>
      </w:r>
      <w:r>
        <w:instrText xml:space="preserve"> HYPERLINK \l "_Toc21693" </w:instrText>
      </w:r>
      <w:r>
        <w:fldChar w:fldCharType="separate"/>
      </w:r>
      <w:r>
        <w:rPr>
          <w:rFonts w:ascii="Times New Roman" w:hAnsi="Times New Roman" w:cs="Times New Roman"/>
          <w:b/>
          <w:bCs/>
          <w:sz w:val="28"/>
          <w:szCs w:val="28"/>
        </w:rPr>
        <w:t xml:space="preserve">表十  </w:t>
      </w:r>
      <w:r>
        <w:rPr>
          <w:rFonts w:ascii="Times New Roman" w:hAnsi="Times New Roman" w:eastAsia="宋体" w:cs="Times New Roman"/>
          <w:b/>
          <w:bCs/>
          <w:sz w:val="28"/>
          <w:szCs w:val="28"/>
        </w:rPr>
        <w:t>附件</w:t>
      </w:r>
      <w:r>
        <w:rPr>
          <w:rFonts w:ascii="Times New Roman" w:hAnsi="Times New Roman" w:cs="Times New Roman"/>
          <w:b/>
          <w:bCs/>
          <w:sz w:val="28"/>
          <w:szCs w:val="28"/>
        </w:rPr>
        <w:t>、附图及附表</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_Toc21693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37</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rPr>
          <w:rFonts w:ascii="Times New Roman" w:hAnsi="Times New Roman" w:eastAsia="宋体" w:cs="Times New Roman"/>
          <w:b/>
          <w:bCs/>
          <w:sz w:val="28"/>
          <w:szCs w:val="28"/>
        </w:rPr>
      </w:pPr>
      <w:r>
        <w:rPr>
          <w:rFonts w:ascii="Times New Roman" w:hAnsi="Times New Roman" w:eastAsia="宋体" w:cs="Times New Roman"/>
          <w:bCs/>
          <w:color w:val="FF0000"/>
          <w:sz w:val="28"/>
          <w:szCs w:val="28"/>
        </w:rPr>
        <w:fldChar w:fldCharType="end"/>
      </w:r>
    </w:p>
    <w:p>
      <w:bookmarkStart w:id="1" w:name="_Toc12054"/>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tabs>
          <w:tab w:val="center" w:pos="4536"/>
        </w:tabs>
        <w:jc w:val="left"/>
        <w:rPr>
          <w:rFonts w:ascii="Times New Roman" w:hAnsi="Times New Roman" w:cs="Times New Roman"/>
        </w:rPr>
        <w:sectPr>
          <w:headerReference r:id="rId4" w:type="default"/>
          <w:footerReference r:id="rId5" w:type="default"/>
          <w:pgSz w:w="11906" w:h="16838"/>
          <w:pgMar w:top="1440" w:right="1417" w:bottom="1440" w:left="1417" w:header="851" w:footer="992" w:gutter="0"/>
          <w:pgNumType w:fmt="upperRoman" w:start="1"/>
          <w:cols w:space="720" w:num="1"/>
          <w:docGrid w:type="lines" w:linePitch="312" w:charSpace="0"/>
        </w:sectPr>
      </w:pPr>
    </w:p>
    <w:p>
      <w:pPr>
        <w:pStyle w:val="2"/>
        <w:rPr>
          <w:rFonts w:ascii="Times New Roman" w:hAnsi="Times New Roman"/>
        </w:rPr>
      </w:pPr>
      <w:bookmarkStart w:id="2" w:name="_Toc3212"/>
      <w:r>
        <w:rPr>
          <w:rFonts w:ascii="Times New Roman" w:hAnsi="Times New Roman"/>
        </w:rPr>
        <w:t>表一</w:t>
      </w:r>
      <w:bookmarkEnd w:id="0"/>
      <w:bookmarkEnd w:id="1"/>
      <w:r>
        <w:rPr>
          <w:rFonts w:ascii="Times New Roman" w:hAnsi="Times New Roman"/>
        </w:rPr>
        <w:t xml:space="preserve">  建设项目概况</w:t>
      </w:r>
      <w:bookmarkEnd w:id="2"/>
    </w:p>
    <w:tbl>
      <w:tblPr>
        <w:tblStyle w:val="16"/>
        <w:tblW w:w="9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534"/>
        <w:gridCol w:w="1121"/>
        <w:gridCol w:w="934"/>
        <w:gridCol w:w="1288"/>
        <w:gridCol w:w="1337"/>
        <w:gridCol w:w="1396"/>
        <w:gridCol w:w="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12" w:hRule="atLeast"/>
          <w:jc w:val="center"/>
        </w:trPr>
        <w:tc>
          <w:tcPr>
            <w:tcW w:w="1752"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建设项目名称</w:t>
            </w:r>
          </w:p>
        </w:tc>
        <w:tc>
          <w:tcPr>
            <w:tcW w:w="7610" w:type="dxa"/>
            <w:gridSpan w:val="6"/>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中海油贵州销售有限公司三荔高速荔波西加油站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12" w:hRule="atLeast"/>
          <w:jc w:val="center"/>
        </w:trPr>
        <w:tc>
          <w:tcPr>
            <w:tcW w:w="1752"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建设单位名称</w:t>
            </w:r>
          </w:p>
        </w:tc>
        <w:tc>
          <w:tcPr>
            <w:tcW w:w="7610" w:type="dxa"/>
            <w:gridSpan w:val="6"/>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中海油贵州销售有限公司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13" w:hRule="atLeast"/>
          <w:jc w:val="center"/>
        </w:trPr>
        <w:tc>
          <w:tcPr>
            <w:tcW w:w="1752" w:type="dxa"/>
            <w:vAlign w:val="center"/>
          </w:tcPr>
          <w:p>
            <w:pPr>
              <w:spacing w:line="312" w:lineRule="auto"/>
              <w:jc w:val="center"/>
              <w:rPr>
                <w:rFonts w:ascii="Times New Roman" w:hAnsi="Times New Roman" w:eastAsia="宋体" w:cs="Times New Roman"/>
                <w:sz w:val="24"/>
              </w:rPr>
            </w:pPr>
            <w:r>
              <w:rPr>
                <w:rFonts w:ascii="Times New Roman" w:hAnsi="Times New Roman" w:cs="Times New Roman"/>
                <w:sz w:val="24"/>
              </w:rPr>
              <w:t>建设项目性质</w:t>
            </w:r>
          </w:p>
        </w:tc>
        <w:tc>
          <w:tcPr>
            <w:tcW w:w="7610" w:type="dxa"/>
            <w:gridSpan w:val="6"/>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494" w:hRule="atLeast"/>
          <w:jc w:val="center"/>
        </w:trPr>
        <w:tc>
          <w:tcPr>
            <w:tcW w:w="1752"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建设地点</w:t>
            </w:r>
          </w:p>
        </w:tc>
        <w:tc>
          <w:tcPr>
            <w:tcW w:w="7610" w:type="dxa"/>
            <w:gridSpan w:val="6"/>
            <w:vAlign w:val="center"/>
          </w:tcPr>
          <w:p>
            <w:pPr>
              <w:spacing w:line="360" w:lineRule="auto"/>
              <w:ind w:firstLine="240" w:firstLineChars="100"/>
              <w:rPr>
                <w:rFonts w:ascii="Times New Roman" w:hAnsi="Times New Roman" w:eastAsia="宋体" w:cs="Times New Roman"/>
                <w:sz w:val="24"/>
              </w:rPr>
            </w:pPr>
            <w:r>
              <w:rPr>
                <w:sz w:val="24"/>
              </w:rPr>
              <w:t>贵州省黔南州荔波县三荔高速荔波服务区</w:t>
            </w:r>
            <w:r>
              <w:rPr>
                <w:rFonts w:hint="eastAsia"/>
                <w:sz w:val="24"/>
              </w:rPr>
              <w:t>西</w:t>
            </w:r>
            <w:r>
              <w:rPr>
                <w:sz w:val="24"/>
              </w:rPr>
              <w:t>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30" w:hRule="atLeast"/>
          <w:jc w:val="center"/>
        </w:trPr>
        <w:tc>
          <w:tcPr>
            <w:tcW w:w="1752"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主要产品名称</w:t>
            </w:r>
          </w:p>
        </w:tc>
        <w:tc>
          <w:tcPr>
            <w:tcW w:w="7610" w:type="dxa"/>
            <w:gridSpan w:val="6"/>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汽油、柴油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66" w:hRule="atLeast"/>
          <w:jc w:val="center"/>
        </w:trPr>
        <w:tc>
          <w:tcPr>
            <w:tcW w:w="1752" w:type="dxa"/>
            <w:vAlign w:val="center"/>
          </w:tcPr>
          <w:p>
            <w:pPr>
              <w:spacing w:line="360" w:lineRule="auto"/>
              <w:jc w:val="center"/>
              <w:rPr>
                <w:rFonts w:ascii="Times New Roman" w:hAnsi="Times New Roman" w:eastAsia="宋体" w:cs="Times New Roman"/>
                <w:color w:val="000000" w:themeColor="text1"/>
                <w:sz w:val="24"/>
              </w:rPr>
            </w:pPr>
            <w:r>
              <w:rPr>
                <w:rFonts w:ascii="Times New Roman" w:hAnsi="Times New Roman" w:cs="Times New Roman"/>
                <w:color w:val="000000" w:themeColor="text1"/>
                <w:sz w:val="24"/>
              </w:rPr>
              <w:t>设计生产能力</w:t>
            </w:r>
          </w:p>
        </w:tc>
        <w:tc>
          <w:tcPr>
            <w:tcW w:w="7610" w:type="dxa"/>
            <w:gridSpan w:val="6"/>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66" w:hRule="atLeast"/>
          <w:jc w:val="center"/>
        </w:trPr>
        <w:tc>
          <w:tcPr>
            <w:tcW w:w="1752" w:type="dxa"/>
            <w:vAlign w:val="center"/>
          </w:tcPr>
          <w:p>
            <w:pPr>
              <w:spacing w:line="360" w:lineRule="auto"/>
              <w:jc w:val="center"/>
              <w:rPr>
                <w:rFonts w:ascii="Times New Roman" w:hAnsi="Times New Roman" w:eastAsia="宋体" w:cs="Times New Roman"/>
                <w:color w:val="FF0000"/>
                <w:sz w:val="24"/>
              </w:rPr>
            </w:pPr>
            <w:r>
              <w:rPr>
                <w:rFonts w:ascii="Times New Roman" w:hAnsi="Times New Roman" w:cs="Times New Roman"/>
                <w:sz w:val="24"/>
              </w:rPr>
              <w:t>实际生产能力</w:t>
            </w:r>
          </w:p>
        </w:tc>
        <w:tc>
          <w:tcPr>
            <w:tcW w:w="7610" w:type="dxa"/>
            <w:gridSpan w:val="6"/>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55" w:hRule="atLeast"/>
          <w:jc w:val="center"/>
        </w:trPr>
        <w:tc>
          <w:tcPr>
            <w:tcW w:w="1752" w:type="dxa"/>
            <w:vAlign w:val="center"/>
          </w:tcPr>
          <w:p>
            <w:pPr>
              <w:spacing w:line="360" w:lineRule="auto"/>
              <w:jc w:val="center"/>
              <w:rPr>
                <w:rFonts w:ascii="Times New Roman" w:hAnsi="Times New Roman" w:eastAsia="宋体" w:cs="Times New Roman"/>
                <w:color w:val="000000" w:themeColor="text1"/>
                <w:sz w:val="24"/>
              </w:rPr>
            </w:pPr>
            <w:r>
              <w:rPr>
                <w:rFonts w:ascii="Times New Roman" w:hAnsi="Times New Roman" w:cs="Times New Roman"/>
                <w:color w:val="000000" w:themeColor="text1"/>
                <w:sz w:val="24"/>
              </w:rPr>
              <w:t>建设项目环评时间</w:t>
            </w:r>
          </w:p>
        </w:tc>
        <w:tc>
          <w:tcPr>
            <w:tcW w:w="2655" w:type="dxa"/>
            <w:gridSpan w:val="2"/>
            <w:vAlign w:val="center"/>
          </w:tcPr>
          <w:p>
            <w:pPr>
              <w:spacing w:line="360" w:lineRule="auto"/>
              <w:jc w:val="center"/>
              <w:rPr>
                <w:rFonts w:ascii="Times New Roman" w:hAnsi="Times New Roman" w:eastAsia="宋体" w:cs="Times New Roman"/>
                <w:color w:val="FF0000"/>
                <w:sz w:val="24"/>
              </w:rPr>
            </w:pPr>
            <w:r>
              <w:rPr>
                <w:rFonts w:ascii="Times New Roman" w:hAnsi="Times New Roman" w:cs="Times New Roman"/>
                <w:sz w:val="24"/>
              </w:rPr>
              <w:t>20</w:t>
            </w:r>
            <w:r>
              <w:rPr>
                <w:rFonts w:hint="eastAsia" w:ascii="Times New Roman" w:hAnsi="Times New Roman" w:cs="Times New Roman"/>
                <w:sz w:val="24"/>
              </w:rPr>
              <w:t>19</w:t>
            </w:r>
            <w:r>
              <w:rPr>
                <w:rFonts w:ascii="Times New Roman" w:hAnsi="Times New Roman" w:cs="Times New Roman"/>
                <w:sz w:val="24"/>
              </w:rPr>
              <w:t>年</w:t>
            </w:r>
            <w:r>
              <w:rPr>
                <w:rFonts w:hint="eastAsia" w:ascii="Times New Roman" w:hAnsi="Times New Roman" w:cs="Times New Roman"/>
                <w:sz w:val="24"/>
              </w:rPr>
              <w:t>04</w:t>
            </w:r>
            <w:r>
              <w:rPr>
                <w:rFonts w:ascii="Times New Roman" w:hAnsi="Times New Roman" w:cs="Times New Roman"/>
                <w:sz w:val="24"/>
              </w:rPr>
              <w:t>月</w:t>
            </w:r>
          </w:p>
        </w:tc>
        <w:tc>
          <w:tcPr>
            <w:tcW w:w="2222" w:type="dxa"/>
            <w:gridSpan w:val="2"/>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开工建设时间</w:t>
            </w:r>
          </w:p>
        </w:tc>
        <w:tc>
          <w:tcPr>
            <w:tcW w:w="2733" w:type="dxa"/>
            <w:gridSpan w:val="2"/>
            <w:vAlign w:val="center"/>
          </w:tcPr>
          <w:p>
            <w:pPr>
              <w:spacing w:line="360" w:lineRule="auto"/>
              <w:jc w:val="center"/>
              <w:rPr>
                <w:rFonts w:ascii="Times New Roman" w:hAnsi="Times New Roman" w:eastAsia="宋体" w:cs="Times New Roman"/>
                <w:sz w:val="24"/>
              </w:rPr>
            </w:pPr>
            <w:r>
              <w:rPr>
                <w:rFonts w:hint="eastAsia" w:ascii="Times New Roman" w:hAnsi="Times New Roman" w:cs="Times New Roman"/>
                <w:sz w:val="24"/>
              </w:rPr>
              <w:t>2019</w:t>
            </w:r>
            <w:r>
              <w:rPr>
                <w:rFonts w:ascii="Times New Roman" w:hAnsi="Times New Roman" w:cs="Times New Roman"/>
                <w:sz w:val="24"/>
              </w:rPr>
              <w:t>年</w:t>
            </w:r>
            <w:r>
              <w:rPr>
                <w:rFonts w:hint="eastAsia" w:ascii="Times New Roman" w:hAnsi="Times New Roman" w:cs="Times New Roman"/>
                <w:sz w:val="24"/>
              </w:rPr>
              <w:t>08</w:t>
            </w:r>
            <w:r>
              <w:rPr>
                <w:rFonts w:ascii="Times New Roman" w:hAnsi="Times New Roman" w:cs="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00" w:hRule="atLeast"/>
          <w:jc w:val="center"/>
        </w:trPr>
        <w:tc>
          <w:tcPr>
            <w:tcW w:w="1752"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投入试生产时间</w:t>
            </w:r>
          </w:p>
        </w:tc>
        <w:tc>
          <w:tcPr>
            <w:tcW w:w="2655" w:type="dxa"/>
            <w:gridSpan w:val="2"/>
            <w:vAlign w:val="center"/>
          </w:tcPr>
          <w:p>
            <w:pPr>
              <w:spacing w:line="360" w:lineRule="auto"/>
              <w:jc w:val="center"/>
              <w:rPr>
                <w:rFonts w:ascii="Times New Roman" w:hAnsi="Times New Roman" w:eastAsia="宋体" w:cs="Times New Roman"/>
                <w:color w:val="FF0000"/>
                <w:sz w:val="24"/>
              </w:rPr>
            </w:pPr>
            <w:r>
              <w:rPr>
                <w:rFonts w:hint="eastAsia" w:ascii="Times New Roman" w:hAnsi="Times New Roman" w:cs="Times New Roman"/>
                <w:sz w:val="24"/>
              </w:rPr>
              <w:t>2019</w:t>
            </w:r>
            <w:r>
              <w:rPr>
                <w:rFonts w:ascii="Times New Roman" w:hAnsi="Times New Roman" w:cs="Times New Roman"/>
                <w:sz w:val="24"/>
              </w:rPr>
              <w:t>年</w:t>
            </w:r>
            <w:r>
              <w:rPr>
                <w:rFonts w:hint="eastAsia" w:ascii="Times New Roman" w:hAnsi="Times New Roman" w:cs="Times New Roman"/>
                <w:sz w:val="24"/>
              </w:rPr>
              <w:t>11</w:t>
            </w:r>
            <w:r>
              <w:rPr>
                <w:rFonts w:ascii="Times New Roman" w:hAnsi="Times New Roman" w:cs="Times New Roman"/>
                <w:sz w:val="24"/>
              </w:rPr>
              <w:t>月</w:t>
            </w:r>
          </w:p>
        </w:tc>
        <w:tc>
          <w:tcPr>
            <w:tcW w:w="2222" w:type="dxa"/>
            <w:gridSpan w:val="2"/>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验收监测时间</w:t>
            </w:r>
          </w:p>
        </w:tc>
        <w:tc>
          <w:tcPr>
            <w:tcW w:w="2733"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20</w:t>
            </w:r>
            <w:r>
              <w:rPr>
                <w:rFonts w:hint="eastAsia" w:ascii="Times New Roman" w:hAnsi="Times New Roman" w:cs="Times New Roman"/>
                <w:sz w:val="24"/>
              </w:rPr>
              <w:t>20</w:t>
            </w:r>
            <w:r>
              <w:rPr>
                <w:rFonts w:ascii="Times New Roman" w:hAnsi="Times New Roman" w:cs="Times New Roman"/>
                <w:sz w:val="24"/>
              </w:rPr>
              <w:t>年0</w:t>
            </w:r>
            <w:r>
              <w:rPr>
                <w:rFonts w:hint="eastAsia" w:ascii="Times New Roman" w:hAnsi="Times New Roman" w:cs="Times New Roman"/>
                <w:sz w:val="24"/>
              </w:rPr>
              <w:t>4</w:t>
            </w:r>
            <w:r>
              <w:rPr>
                <w:rFonts w:ascii="Times New Roman" w:hAnsi="Times New Roman" w:cs="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494" w:hRule="atLeast"/>
          <w:jc w:val="center"/>
        </w:trPr>
        <w:tc>
          <w:tcPr>
            <w:tcW w:w="1752" w:type="dxa"/>
            <w:vAlign w:val="center"/>
          </w:tcPr>
          <w:p>
            <w:pPr>
              <w:jc w:val="center"/>
              <w:rPr>
                <w:rFonts w:ascii="Times New Roman" w:hAnsi="Times New Roman" w:eastAsia="宋体" w:cs="Times New Roman"/>
                <w:sz w:val="24"/>
              </w:rPr>
            </w:pPr>
            <w:r>
              <w:rPr>
                <w:rFonts w:ascii="Times New Roman" w:hAnsi="Times New Roman" w:cs="Times New Roman"/>
                <w:sz w:val="24"/>
              </w:rPr>
              <w:t>环评报告表审批部门</w:t>
            </w:r>
          </w:p>
        </w:tc>
        <w:tc>
          <w:tcPr>
            <w:tcW w:w="2655" w:type="dxa"/>
            <w:gridSpan w:val="2"/>
            <w:vAlign w:val="center"/>
          </w:tcPr>
          <w:p>
            <w:pPr>
              <w:jc w:val="center"/>
              <w:rPr>
                <w:rFonts w:ascii="Times New Roman" w:hAnsi="Times New Roman" w:eastAsia="宋体" w:cs="Times New Roman"/>
                <w:sz w:val="24"/>
              </w:rPr>
            </w:pPr>
            <w:r>
              <w:rPr>
                <w:rFonts w:hint="eastAsia" w:ascii="Times New Roman" w:hAnsi="Times New Roman" w:cs="Times New Roman"/>
                <w:sz w:val="24"/>
              </w:rPr>
              <w:t>黔南州生态环境局</w:t>
            </w:r>
          </w:p>
        </w:tc>
        <w:tc>
          <w:tcPr>
            <w:tcW w:w="2222"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环评报告表编制单位</w:t>
            </w:r>
          </w:p>
        </w:tc>
        <w:tc>
          <w:tcPr>
            <w:tcW w:w="2733" w:type="dxa"/>
            <w:gridSpan w:val="2"/>
            <w:vAlign w:val="center"/>
          </w:tcPr>
          <w:p>
            <w:pPr>
              <w:jc w:val="center"/>
              <w:rPr>
                <w:rFonts w:ascii="Times New Roman" w:hAnsi="Times New Roman" w:eastAsia="宋体" w:cs="Times New Roman"/>
                <w:sz w:val="24"/>
              </w:rPr>
            </w:pPr>
            <w:r>
              <w:rPr>
                <w:rFonts w:hint="eastAsia" w:ascii="Times New Roman" w:hAnsi="Times New Roman" w:eastAsia="宋体" w:cs="Times New Roman"/>
                <w:sz w:val="24"/>
              </w:rPr>
              <w:t>贵州怡宁环保咨询有限公司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494" w:hRule="atLeast"/>
          <w:jc w:val="center"/>
        </w:trPr>
        <w:tc>
          <w:tcPr>
            <w:tcW w:w="1752" w:type="dxa"/>
            <w:vAlign w:val="center"/>
          </w:tcPr>
          <w:p>
            <w:pPr>
              <w:jc w:val="center"/>
              <w:rPr>
                <w:rFonts w:ascii="Times New Roman" w:hAnsi="Times New Roman" w:cs="Times New Roman"/>
                <w:sz w:val="24"/>
              </w:rPr>
            </w:pPr>
            <w:r>
              <w:rPr>
                <w:rFonts w:ascii="Times New Roman" w:hAnsi="Times New Roman" w:cs="Times New Roman"/>
                <w:sz w:val="24"/>
              </w:rPr>
              <w:t>环保设施设计单位</w:t>
            </w:r>
          </w:p>
        </w:tc>
        <w:tc>
          <w:tcPr>
            <w:tcW w:w="26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w:t>
            </w:r>
          </w:p>
        </w:tc>
        <w:tc>
          <w:tcPr>
            <w:tcW w:w="2222"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环保设施施工单位</w:t>
            </w:r>
          </w:p>
        </w:tc>
        <w:tc>
          <w:tcPr>
            <w:tcW w:w="2733"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494" w:hRule="atLeast"/>
          <w:jc w:val="center"/>
        </w:trPr>
        <w:tc>
          <w:tcPr>
            <w:tcW w:w="1752" w:type="dxa"/>
            <w:vAlign w:val="center"/>
          </w:tcPr>
          <w:p>
            <w:pPr>
              <w:jc w:val="center"/>
              <w:rPr>
                <w:rFonts w:ascii="Times New Roman" w:hAnsi="Times New Roman" w:cs="Times New Roman"/>
                <w:sz w:val="24"/>
              </w:rPr>
            </w:pPr>
            <w:r>
              <w:rPr>
                <w:rFonts w:ascii="Times New Roman" w:hAnsi="Times New Roman" w:cs="Times New Roman"/>
                <w:sz w:val="24"/>
              </w:rPr>
              <w:t>投资总概算</w:t>
            </w:r>
          </w:p>
        </w:tc>
        <w:tc>
          <w:tcPr>
            <w:tcW w:w="1534"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4700万元</w:t>
            </w:r>
          </w:p>
        </w:tc>
        <w:tc>
          <w:tcPr>
            <w:tcW w:w="20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环保投资总概算</w:t>
            </w:r>
          </w:p>
        </w:tc>
        <w:tc>
          <w:tcPr>
            <w:tcW w:w="1288"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52.3万元</w:t>
            </w:r>
          </w:p>
        </w:tc>
        <w:tc>
          <w:tcPr>
            <w:tcW w:w="1337" w:type="dxa"/>
            <w:vAlign w:val="center"/>
          </w:tcPr>
          <w:p>
            <w:pPr>
              <w:jc w:val="center"/>
              <w:rPr>
                <w:rFonts w:ascii="Times New Roman" w:hAnsi="Times New Roman" w:eastAsia="宋体" w:cs="Times New Roman"/>
                <w:sz w:val="24"/>
              </w:rPr>
            </w:pPr>
            <w:r>
              <w:rPr>
                <w:rFonts w:ascii="Times New Roman" w:hAnsi="Times New Roman" w:cs="Times New Roman"/>
                <w:sz w:val="24"/>
              </w:rPr>
              <w:t>比例</w:t>
            </w:r>
          </w:p>
        </w:tc>
        <w:tc>
          <w:tcPr>
            <w:tcW w:w="1396" w:type="dxa"/>
            <w:vAlign w:val="center"/>
          </w:tcPr>
          <w:p>
            <w:pPr>
              <w:jc w:val="center"/>
              <w:rPr>
                <w:rFonts w:ascii="Times New Roman" w:hAnsi="Times New Roman" w:eastAsia="宋体" w:cs="Times New Roman"/>
                <w:sz w:val="24"/>
              </w:rPr>
            </w:pPr>
            <w:r>
              <w:rPr>
                <w:rFonts w:hint="eastAsia" w:ascii="Times New Roman" w:hAnsi="Times New Roman" w:cs="Times New Roman"/>
                <w:sz w:val="24"/>
              </w:rPr>
              <w:t>1</w:t>
            </w:r>
            <w:r>
              <w:rPr>
                <w:rFonts w:ascii="Times New Roman" w:hAnsi="Times New Roman" w:cs="Times New Roman"/>
                <w:sz w:val="24"/>
              </w:rPr>
              <w:t>.</w:t>
            </w:r>
            <w:r>
              <w:rPr>
                <w:rFonts w:hint="eastAsia" w:ascii="Times New Roman" w:hAnsi="Times New Roman" w:cs="Times New Roman"/>
                <w:sz w:val="24"/>
              </w:rPr>
              <w:t>11</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494" w:hRule="atLeast"/>
          <w:jc w:val="center"/>
        </w:trPr>
        <w:tc>
          <w:tcPr>
            <w:tcW w:w="1752" w:type="dxa"/>
            <w:vAlign w:val="center"/>
          </w:tcPr>
          <w:p>
            <w:pPr>
              <w:jc w:val="center"/>
              <w:rPr>
                <w:rFonts w:ascii="Times New Roman" w:hAnsi="Times New Roman" w:cs="Times New Roman"/>
                <w:sz w:val="24"/>
              </w:rPr>
            </w:pPr>
            <w:r>
              <w:rPr>
                <w:rFonts w:ascii="Times New Roman" w:hAnsi="Times New Roman" w:cs="Times New Roman"/>
                <w:sz w:val="24"/>
              </w:rPr>
              <w:t>实际总概算</w:t>
            </w:r>
          </w:p>
        </w:tc>
        <w:tc>
          <w:tcPr>
            <w:tcW w:w="1534"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4700万元</w:t>
            </w:r>
          </w:p>
        </w:tc>
        <w:tc>
          <w:tcPr>
            <w:tcW w:w="20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环保投资</w:t>
            </w:r>
          </w:p>
        </w:tc>
        <w:tc>
          <w:tcPr>
            <w:tcW w:w="1288"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52.3</w:t>
            </w:r>
            <w:r>
              <w:rPr>
                <w:rFonts w:ascii="Times New Roman" w:hAnsi="Times New Roman" w:cs="Times New Roman"/>
                <w:sz w:val="24"/>
              </w:rPr>
              <w:t>万元</w:t>
            </w:r>
          </w:p>
        </w:tc>
        <w:tc>
          <w:tcPr>
            <w:tcW w:w="1337" w:type="dxa"/>
            <w:vAlign w:val="center"/>
          </w:tcPr>
          <w:p>
            <w:pPr>
              <w:jc w:val="center"/>
              <w:rPr>
                <w:rFonts w:ascii="Times New Roman" w:hAnsi="Times New Roman" w:cs="Times New Roman"/>
                <w:sz w:val="24"/>
              </w:rPr>
            </w:pPr>
            <w:r>
              <w:rPr>
                <w:rFonts w:ascii="Times New Roman" w:hAnsi="Times New Roman" w:cs="Times New Roman"/>
                <w:sz w:val="24"/>
              </w:rPr>
              <w:t>比例</w:t>
            </w:r>
          </w:p>
        </w:tc>
        <w:tc>
          <w:tcPr>
            <w:tcW w:w="1396" w:type="dxa"/>
            <w:vAlign w:val="center"/>
          </w:tcPr>
          <w:p>
            <w:pPr>
              <w:jc w:val="center"/>
              <w:rPr>
                <w:rFonts w:ascii="Times New Roman" w:hAnsi="Times New Roman" w:eastAsia="宋体" w:cs="Times New Roman"/>
                <w:sz w:val="24"/>
              </w:rPr>
            </w:pPr>
            <w:r>
              <w:rPr>
                <w:rFonts w:ascii="Times New Roman" w:hAnsi="Times New Roman" w:cs="Times New Roman"/>
                <w:sz w:val="24"/>
              </w:rPr>
              <w:t>1</w:t>
            </w:r>
            <w:r>
              <w:rPr>
                <w:rFonts w:hint="eastAsia" w:ascii="Times New Roman" w:hAnsi="Times New Roman" w:cs="Times New Roman"/>
                <w:sz w:val="24"/>
              </w:rPr>
              <w:t>.11</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5191" w:hRule="atLeast"/>
          <w:jc w:val="center"/>
        </w:trPr>
        <w:tc>
          <w:tcPr>
            <w:tcW w:w="1752"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验收监测依据</w:t>
            </w:r>
          </w:p>
        </w:tc>
        <w:tc>
          <w:tcPr>
            <w:tcW w:w="7610" w:type="dxa"/>
            <w:gridSpan w:val="6"/>
            <w:vAlign w:val="center"/>
          </w:tcPr>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（1）中华人民共和国国务院令，（2017）第682号《建设项目环境保护管理条例》；</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（2）国环规环评[2017]4号文《建设项目竣工环境保护验收暂行办法》。</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（3）生态环境部2018年第9号公告《建设项目竣工环境保护验收技术指南 污染影响类》；</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（4）国家环境保护总局 环发[2000] 38号文《建设项目环境保护设施竣工验收监测技术要求（试行）》</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（5）贵州省环境保护条例，2009年3月26日；</w:t>
            </w:r>
          </w:p>
          <w:p>
            <w:pPr>
              <w:adjustRightInd w:val="0"/>
              <w:snapToGrid w:val="0"/>
              <w:spacing w:line="360" w:lineRule="auto"/>
              <w:jc w:val="left"/>
              <w:rPr>
                <w:rFonts w:ascii="Times New Roman" w:hAnsi="Times New Roman" w:eastAsia="宋体" w:cs="Times New Roman"/>
                <w:sz w:val="24"/>
              </w:rPr>
            </w:pPr>
            <w:r>
              <w:rPr>
                <w:rFonts w:ascii="Times New Roman" w:hAnsi="Times New Roman" w:cs="Times New Roman"/>
                <w:sz w:val="24"/>
              </w:rPr>
              <w:t>（6）</w:t>
            </w:r>
            <w:r>
              <w:rPr>
                <w:rFonts w:ascii="Times New Roman" w:hAnsi="Times New Roman" w:eastAsia="宋体" w:cs="Times New Roman"/>
                <w:sz w:val="24"/>
              </w:rPr>
              <w:t>《</w:t>
            </w:r>
            <w:r>
              <w:rPr>
                <w:rFonts w:hint="eastAsia" w:ascii="Times New Roman" w:hAnsi="Times New Roman" w:eastAsia="宋体" w:cs="Times New Roman"/>
                <w:sz w:val="24"/>
              </w:rPr>
              <w:t>中海油贵州销售有限公司三荔高速荔波西加油站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p>
          <w:p>
            <w:pPr>
              <w:adjustRightInd w:val="0"/>
              <w:snapToGrid w:val="0"/>
              <w:spacing w:line="288" w:lineRule="auto"/>
              <w:jc w:val="left"/>
              <w:rPr>
                <w:rFonts w:ascii="Times New Roman" w:hAnsi="Times New Roman" w:eastAsia="宋体" w:cs="Times New Roman"/>
                <w:sz w:val="24"/>
              </w:rPr>
            </w:pPr>
            <w:r>
              <w:rPr>
                <w:rFonts w:ascii="Times New Roman" w:hAnsi="Times New Roman" w:eastAsia="宋体" w:cs="Times New Roman"/>
                <w:sz w:val="24"/>
              </w:rPr>
              <w:t>（</w:t>
            </w:r>
            <w:r>
              <w:rPr>
                <w:rFonts w:ascii="Times New Roman" w:hAnsi="Times New Roman" w:cs="Times New Roman"/>
                <w:sz w:val="24"/>
              </w:rPr>
              <w:t>7</w:t>
            </w:r>
            <w:r>
              <w:rPr>
                <w:rFonts w:ascii="Times New Roman" w:hAnsi="Times New Roman" w:eastAsia="宋体" w:cs="Times New Roman"/>
                <w:sz w:val="24"/>
              </w:rPr>
              <w:t>）</w:t>
            </w:r>
            <w:r>
              <w:rPr>
                <w:rFonts w:ascii="Times New Roman" w:hAnsi="Times New Roman" w:cs="Times New Roman"/>
                <w:sz w:val="24"/>
              </w:rPr>
              <w:t>20</w:t>
            </w:r>
            <w:r>
              <w:rPr>
                <w:rFonts w:hint="eastAsia" w:ascii="Times New Roman" w:hAnsi="Times New Roman" w:cs="Times New Roman"/>
                <w:sz w:val="24"/>
              </w:rPr>
              <w:t>1</w:t>
            </w:r>
            <w:r>
              <w:rPr>
                <w:rFonts w:ascii="Times New Roman" w:hAnsi="Times New Roman" w:cs="Times New Roman"/>
                <w:sz w:val="24"/>
              </w:rPr>
              <w:t>9年</w:t>
            </w:r>
            <w:r>
              <w:rPr>
                <w:rFonts w:hint="eastAsia" w:ascii="Times New Roman" w:hAnsi="Times New Roman" w:cs="Times New Roman"/>
                <w:sz w:val="24"/>
              </w:rPr>
              <w:t>6</w:t>
            </w:r>
            <w:r>
              <w:rPr>
                <w:rFonts w:ascii="Times New Roman" w:hAnsi="Times New Roman" w:cs="Times New Roman"/>
                <w:sz w:val="24"/>
              </w:rPr>
              <w:t>月</w:t>
            </w:r>
            <w:r>
              <w:rPr>
                <w:rFonts w:hint="eastAsia" w:ascii="Times New Roman" w:hAnsi="Times New Roman" w:cs="Times New Roman"/>
                <w:sz w:val="24"/>
              </w:rPr>
              <w:t>13</w:t>
            </w:r>
            <w:r>
              <w:rPr>
                <w:rFonts w:ascii="Times New Roman" w:hAnsi="Times New Roman" w:cs="Times New Roman"/>
                <w:sz w:val="24"/>
              </w:rPr>
              <w:t>日</w:t>
            </w:r>
            <w:r>
              <w:rPr>
                <w:rFonts w:hint="eastAsia" w:ascii="Times New Roman" w:hAnsi="Times New Roman" w:cs="Times New Roman"/>
                <w:sz w:val="24"/>
              </w:rPr>
              <w:t>黔南州生态环境</w:t>
            </w:r>
            <w:r>
              <w:rPr>
                <w:rFonts w:ascii="Times New Roman" w:hAnsi="Times New Roman" w:cs="Times New Roman"/>
                <w:sz w:val="24"/>
              </w:rPr>
              <w:t>局</w:t>
            </w:r>
            <w:r>
              <w:rPr>
                <w:rFonts w:ascii="Times New Roman" w:hAnsi="Times New Roman" w:eastAsia="宋体" w:cs="Times New Roman"/>
                <w:sz w:val="24"/>
              </w:rPr>
              <w:t>对《</w:t>
            </w:r>
            <w:r>
              <w:rPr>
                <w:rFonts w:hint="eastAsia" w:ascii="Times New Roman" w:hAnsi="Times New Roman" w:eastAsia="宋体" w:cs="Times New Roman"/>
                <w:sz w:val="24"/>
              </w:rPr>
              <w:t>中海油贵州销售有限公司三荔高速荔波西加油站</w:t>
            </w:r>
            <w:r>
              <w:rPr>
                <w:rFonts w:ascii="Times New Roman" w:hAnsi="Times New Roman" w:cs="Times New Roman"/>
                <w:spacing w:val="-4"/>
                <w:kern w:val="0"/>
                <w:sz w:val="24"/>
              </w:rPr>
              <w:t>环境影响报告表</w:t>
            </w:r>
            <w:r>
              <w:rPr>
                <w:rFonts w:ascii="Times New Roman" w:hAnsi="Times New Roman" w:eastAsia="宋体" w:cs="Times New Roman"/>
                <w:sz w:val="24"/>
              </w:rPr>
              <w:t>》的</w:t>
            </w:r>
            <w:r>
              <w:rPr>
                <w:rFonts w:hint="eastAsia" w:ascii="Times New Roman" w:hAnsi="Times New Roman" w:eastAsia="宋体" w:cs="Times New Roman"/>
                <w:sz w:val="24"/>
              </w:rPr>
              <w:t>批复，批复文号：黔南环审[2019]50号</w:t>
            </w:r>
            <w:r>
              <w:rPr>
                <w:rFonts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trHeight w:val="13606" w:hRule="atLeast"/>
          <w:jc w:val="center"/>
        </w:trPr>
        <w:tc>
          <w:tcPr>
            <w:tcW w:w="1752"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验收监测评价标准、标号、级别</w:t>
            </w:r>
          </w:p>
        </w:tc>
        <w:tc>
          <w:tcPr>
            <w:tcW w:w="7610" w:type="dxa"/>
            <w:gridSpan w:val="6"/>
            <w:vAlign w:val="center"/>
          </w:tcPr>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根据《</w:t>
            </w:r>
            <w:r>
              <w:rPr>
                <w:rFonts w:hint="eastAsia" w:ascii="Times New Roman" w:hAnsi="Times New Roman" w:eastAsia="宋体" w:cs="Times New Roman"/>
                <w:sz w:val="24"/>
              </w:rPr>
              <w:t>中海油贵州销售有限公司三荔高速荔波西加油站</w:t>
            </w:r>
            <w:r>
              <w:rPr>
                <w:rFonts w:ascii="Times New Roman" w:hAnsi="Times New Roman" w:cs="Times New Roman"/>
                <w:spacing w:val="-4"/>
                <w:kern w:val="0"/>
                <w:sz w:val="24"/>
              </w:rPr>
              <w:t>环境影响报告表</w:t>
            </w:r>
            <w:r>
              <w:rPr>
                <w:rFonts w:ascii="Times New Roman" w:hAnsi="Times New Roman" w:cs="Times New Roman"/>
                <w:b/>
                <w:bCs/>
                <w:sz w:val="24"/>
              </w:rPr>
              <w:t>》，</w:t>
            </w:r>
            <w:r>
              <w:rPr>
                <w:rFonts w:hint="eastAsia" w:ascii="Times New Roman" w:hAnsi="Times New Roman" w:eastAsia="宋体" w:cs="Times New Roman"/>
                <w:sz w:val="24"/>
              </w:rPr>
              <w:t>中海油贵州销售有限公司三荔高速荔波西</w:t>
            </w:r>
            <w:r>
              <w:rPr>
                <w:rFonts w:hint="eastAsia" w:ascii="Times New Roman" w:hAnsi="Times New Roman" w:cs="Times New Roman"/>
                <w:kern w:val="0"/>
                <w:sz w:val="24"/>
              </w:rPr>
              <w:t>加油站建设项目</w:t>
            </w:r>
            <w:r>
              <w:rPr>
                <w:rFonts w:ascii="Times New Roman" w:hAnsi="Times New Roman" w:cs="Times New Roman"/>
                <w:sz w:val="24"/>
              </w:rPr>
              <w:t>环境保护验收执行标准如下：</w:t>
            </w:r>
          </w:p>
          <w:p>
            <w:pPr>
              <w:pStyle w:val="19"/>
              <w:ind w:firstLine="480"/>
              <w:jc w:val="both"/>
            </w:pPr>
            <w:r>
              <w:rPr>
                <w:rFonts w:hint="eastAsia"/>
              </w:rPr>
              <w:t>废水：</w:t>
            </w:r>
            <w:r>
              <w:rPr>
                <w:rFonts w:ascii="Times New Roman" w:hAnsi="Times New Roman"/>
              </w:rPr>
              <w:t>《</w:t>
            </w:r>
            <w:r>
              <w:rPr>
                <w:rFonts w:hint="eastAsia" w:ascii="Times New Roman" w:hAnsi="Times New Roman"/>
              </w:rPr>
              <w:t>污水综合</w:t>
            </w:r>
            <w:r>
              <w:rPr>
                <w:rFonts w:ascii="Times New Roman" w:hAnsi="Times New Roman"/>
              </w:rPr>
              <w:t>排放标准》</w:t>
            </w:r>
            <w:r>
              <w:rPr>
                <w:rFonts w:hint="eastAsia" w:ascii="Times New Roman" w:hAnsi="Times New Roman"/>
              </w:rPr>
              <w:t>（</w:t>
            </w:r>
            <w:r>
              <w:rPr>
                <w:rFonts w:ascii="Times New Roman" w:hAnsi="Times New Roman"/>
              </w:rPr>
              <w:t>GB8978-1996</w:t>
            </w:r>
            <w:r>
              <w:rPr>
                <w:rFonts w:hint="eastAsia" w:ascii="Times New Roman" w:hAnsi="Times New Roman"/>
              </w:rPr>
              <w:t>）</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废气：《大气污染物综合排放标准》（GB16297-1996）无组织排放监控浓度限值；</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噪声：《工业企业厂界环境噪声排放标准》（GB12348</w:t>
            </w:r>
            <w:r>
              <w:rPr>
                <w:rFonts w:hint="eastAsia" w:ascii="Times New Roman" w:hAnsi="Times New Roman" w:cs="Times New Roman"/>
                <w:sz w:val="24"/>
              </w:rPr>
              <w:t>-</w:t>
            </w:r>
            <w:r>
              <w:rPr>
                <w:rFonts w:ascii="Times New Roman" w:hAnsi="Times New Roman" w:cs="Times New Roman"/>
                <w:sz w:val="24"/>
              </w:rPr>
              <w:t>2008）</w:t>
            </w:r>
            <w:r>
              <w:rPr>
                <w:rFonts w:hint="eastAsia" w:ascii="Times New Roman" w:hAnsi="Times New Roman" w:cs="Times New Roman"/>
                <w:sz w:val="24"/>
              </w:rPr>
              <w:t>2</w:t>
            </w:r>
            <w:r>
              <w:rPr>
                <w:rFonts w:ascii="Times New Roman" w:hAnsi="Times New Roman" w:cs="Times New Roman"/>
                <w:sz w:val="24"/>
              </w:rPr>
              <w:t>类标准</w:t>
            </w:r>
            <w:r>
              <w:rPr>
                <w:rFonts w:hint="eastAsia" w:ascii="Times New Roman" w:hAnsi="Times New Roman" w:cs="Times New Roman"/>
                <w:sz w:val="24"/>
              </w:rPr>
              <w:t>、</w:t>
            </w:r>
            <w:r>
              <w:t>4a 类</w:t>
            </w:r>
            <w:r>
              <w:rPr>
                <w:rFonts w:hint="eastAsia"/>
              </w:rPr>
              <w:t>；</w:t>
            </w:r>
          </w:p>
          <w:p>
            <w:pPr>
              <w:wordWrap w:val="0"/>
              <w:spacing w:line="360" w:lineRule="auto"/>
              <w:ind w:firstLine="480" w:firstLineChars="200"/>
              <w:jc w:val="left"/>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7" w:hRule="atLeast"/>
          <w:jc w:val="center"/>
        </w:trPr>
        <w:tc>
          <w:tcPr>
            <w:tcW w:w="9475" w:type="dxa"/>
            <w:gridSpan w:val="8"/>
          </w:tcPr>
          <w:p>
            <w:pPr>
              <w:spacing w:line="360" w:lineRule="auto"/>
              <w:outlineLvl w:val="0"/>
              <w:rPr>
                <w:rFonts w:ascii="Times New Roman" w:hAnsi="Times New Roman" w:cs="Times New Roman"/>
                <w:b/>
                <w:sz w:val="28"/>
                <w:szCs w:val="28"/>
              </w:rPr>
            </w:pPr>
            <w:bookmarkStart w:id="3" w:name="_Toc26766"/>
            <w:r>
              <w:rPr>
                <w:rFonts w:ascii="Times New Roman" w:hAnsi="Times New Roman" w:eastAsia="宋体" w:cs="Times New Roman"/>
                <w:b/>
                <w:sz w:val="28"/>
                <w:szCs w:val="28"/>
              </w:rPr>
              <w:br w:type="page"/>
            </w:r>
            <w:bookmarkStart w:id="4" w:name="_Toc15299"/>
            <w:bookmarkStart w:id="5" w:name="_Toc26698"/>
            <w:bookmarkStart w:id="6" w:name="_Toc22276"/>
            <w:bookmarkStart w:id="7" w:name="_Toc9958"/>
            <w:bookmarkStart w:id="8" w:name="_Toc22272"/>
            <w:r>
              <w:rPr>
                <w:rFonts w:ascii="Times New Roman" w:hAnsi="Times New Roman" w:cs="Times New Roman"/>
                <w:b/>
                <w:sz w:val="28"/>
                <w:szCs w:val="28"/>
              </w:rPr>
              <w:t>1.1 项目概况及验收任务由来</w:t>
            </w:r>
            <w:bookmarkEnd w:id="4"/>
            <w:bookmarkEnd w:id="5"/>
            <w:bookmarkEnd w:id="6"/>
            <w:bookmarkEnd w:id="7"/>
          </w:p>
          <w:p>
            <w:pPr>
              <w:spacing w:line="360" w:lineRule="auto"/>
              <w:ind w:firstLine="480" w:firstLineChars="200"/>
              <w:rPr>
                <w:rFonts w:ascii="Times New Roman" w:hAnsi="Times New Roman" w:cs="Times New Roman"/>
                <w:sz w:val="24"/>
              </w:rPr>
            </w:pPr>
            <w:r>
              <w:rPr>
                <w:sz w:val="24"/>
              </w:rPr>
              <w:t>在</w:t>
            </w:r>
            <w:r>
              <w:rPr>
                <w:rFonts w:hint="eastAsia"/>
                <w:sz w:val="24"/>
              </w:rPr>
              <w:t>三荔</w:t>
            </w:r>
            <w:r>
              <w:rPr>
                <w:sz w:val="24"/>
              </w:rPr>
              <w:t>高速</w:t>
            </w:r>
            <w:r>
              <w:rPr>
                <w:rFonts w:hint="eastAsia"/>
                <w:sz w:val="24"/>
              </w:rPr>
              <w:t>荔波服务西区</w:t>
            </w:r>
            <w:r>
              <w:rPr>
                <w:sz w:val="24"/>
              </w:rPr>
              <w:t>规范经营加油站，可保障三荔高速沿线的车辆用油需求，为周边地区区域交通提供便利，有利于地方社会经济的发展</w:t>
            </w:r>
            <w:r>
              <w:rPr>
                <w:rFonts w:hint="eastAsia"/>
                <w:sz w:val="24"/>
              </w:rPr>
              <w:t>,</w:t>
            </w:r>
            <w:r>
              <w:rPr>
                <w:sz w:val="24"/>
              </w:rPr>
              <w:t>有利于地方建设的安全和稳定</w:t>
            </w:r>
            <w:r>
              <w:rPr>
                <w:rFonts w:hint="eastAsia"/>
                <w:sz w:val="24"/>
              </w:rPr>
              <w:t>；</w:t>
            </w:r>
            <w:r>
              <w:rPr>
                <w:sz w:val="24"/>
              </w:rPr>
              <w:t>有利于提升该高速公路的服务水平，通过优质服务销售优质油品，作为完善该区域的高速交通配套设施，是十分必要的</w:t>
            </w:r>
            <w:r>
              <w:t>。</w:t>
            </w:r>
            <w:r>
              <w:rPr>
                <w:rFonts w:hint="eastAsia" w:ascii="Times New Roman" w:hAnsi="Times New Roman" w:cs="Times New Roman"/>
                <w:sz w:val="24"/>
              </w:rPr>
              <w:t>该项目由中海油贵州销售有限公司投资建设。</w:t>
            </w:r>
            <w:r>
              <w:rPr>
                <w:sz w:val="24"/>
              </w:rPr>
              <w:t>项目规模为 40m</w:t>
            </w:r>
            <w:r>
              <w:rPr>
                <w:sz w:val="22"/>
                <w:szCs w:val="22"/>
                <w:vertAlign w:val="superscript"/>
              </w:rPr>
              <w:t>3</w:t>
            </w:r>
            <w:r>
              <w:rPr>
                <w:sz w:val="24"/>
              </w:rPr>
              <w:t xml:space="preserve"> 柴油储罐 1 个，50m</w:t>
            </w:r>
            <w:r>
              <w:rPr>
                <w:sz w:val="24"/>
                <w:vertAlign w:val="superscript"/>
              </w:rPr>
              <w:t>3</w:t>
            </w:r>
            <w:r>
              <w:rPr>
                <w:sz w:val="24"/>
              </w:rPr>
              <w:t xml:space="preserve"> 汽油储罐 2 个(92 #汽油罐1 个、95 #汽油罐1个)，30m</w:t>
            </w:r>
            <w:r>
              <w:rPr>
                <w:sz w:val="24"/>
                <w:vertAlign w:val="superscript"/>
              </w:rPr>
              <w:t>3</w:t>
            </w:r>
            <w:r>
              <w:rPr>
                <w:sz w:val="24"/>
              </w:rPr>
              <w:t xml:space="preserve"> 汽油储罐 1个（92 #汽油罐）。加油机 4 台(16枪)。 油罐总容积 150m</w:t>
            </w:r>
            <w:r>
              <w:rPr>
                <w:sz w:val="24"/>
                <w:vertAlign w:val="superscript"/>
              </w:rPr>
              <w:t>3</w:t>
            </w:r>
            <w:r>
              <w:rPr>
                <w:sz w:val="24"/>
              </w:rPr>
              <w:t xml:space="preserve"> (柴油罐容积折半计入油罐总容积)，单罐容积小于或等于 50m</w:t>
            </w:r>
            <w:r>
              <w:rPr>
                <w:sz w:val="24"/>
                <w:vertAlign w:val="superscript"/>
              </w:rPr>
              <w:t>3</w:t>
            </w:r>
            <w:r>
              <w:rPr>
                <w:sz w:val="24"/>
              </w:rPr>
              <w:t>，根据《汽车加油加气站设计与施工规范》(GB50156-2012)2014 版，属二级加油站。</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于</w:t>
            </w:r>
            <w:r>
              <w:rPr>
                <w:rFonts w:hint="eastAsia" w:ascii="Times New Roman" w:hAnsi="Times New Roman" w:cs="Times New Roman"/>
                <w:sz w:val="24"/>
              </w:rPr>
              <w:t>2019</w:t>
            </w:r>
            <w:r>
              <w:rPr>
                <w:rFonts w:ascii="Times New Roman" w:hAnsi="Times New Roman" w:cs="Times New Roman"/>
                <w:sz w:val="24"/>
              </w:rPr>
              <w:t>年</w:t>
            </w:r>
            <w:r>
              <w:rPr>
                <w:rFonts w:hint="eastAsia" w:ascii="Times New Roman" w:hAnsi="Times New Roman" w:cs="Times New Roman"/>
                <w:sz w:val="24"/>
              </w:rPr>
              <w:t>4</w:t>
            </w:r>
            <w:r>
              <w:rPr>
                <w:rFonts w:ascii="Times New Roman" w:hAnsi="Times New Roman" w:cs="Times New Roman"/>
                <w:sz w:val="24"/>
              </w:rPr>
              <w:t>月编制完成</w:t>
            </w:r>
            <w:r>
              <w:rPr>
                <w:rFonts w:hint="eastAsia" w:ascii="Times New Roman" w:hAnsi="Times New Roman" w:cs="Times New Roman"/>
                <w:sz w:val="24"/>
              </w:rPr>
              <w:t>了</w:t>
            </w:r>
            <w:r>
              <w:rPr>
                <w:rFonts w:ascii="Times New Roman" w:hAnsi="Times New Roman" w:cs="Times New Roman"/>
                <w:sz w:val="24"/>
              </w:rPr>
              <w:t>《</w:t>
            </w:r>
            <w:r>
              <w:rPr>
                <w:rFonts w:hint="eastAsia" w:ascii="Times New Roman" w:hAnsi="Times New Roman" w:eastAsia="宋体" w:cs="Times New Roman"/>
                <w:sz w:val="24"/>
              </w:rPr>
              <w:t>中海油贵州销售有限公司三荔高速荔波西加油站</w:t>
            </w:r>
            <w:r>
              <w:rPr>
                <w:rFonts w:ascii="Times New Roman" w:hAnsi="Times New Roman" w:cs="Times New Roman"/>
                <w:spacing w:val="-4"/>
                <w:kern w:val="0"/>
                <w:sz w:val="24"/>
              </w:rPr>
              <w:t>环境影响报告表</w:t>
            </w:r>
            <w:r>
              <w:rPr>
                <w:rFonts w:ascii="Times New Roman" w:hAnsi="Times New Roman" w:cs="Times New Roman"/>
                <w:sz w:val="24"/>
              </w:rPr>
              <w:t>》，并于同年</w:t>
            </w:r>
            <w:r>
              <w:rPr>
                <w:rFonts w:hint="eastAsia" w:ascii="Times New Roman" w:hAnsi="Times New Roman" w:cs="Times New Roman"/>
                <w:sz w:val="24"/>
              </w:rPr>
              <w:t>6</w:t>
            </w:r>
            <w:r>
              <w:rPr>
                <w:rFonts w:ascii="Times New Roman" w:hAnsi="Times New Roman" w:cs="Times New Roman"/>
                <w:sz w:val="24"/>
              </w:rPr>
              <w:t>月</w:t>
            </w:r>
            <w:r>
              <w:rPr>
                <w:rFonts w:hint="eastAsia" w:ascii="Times New Roman" w:hAnsi="Times New Roman" w:cs="Times New Roman"/>
                <w:sz w:val="24"/>
              </w:rPr>
              <w:t>13</w:t>
            </w:r>
            <w:r>
              <w:rPr>
                <w:rFonts w:ascii="Times New Roman" w:hAnsi="Times New Roman" w:cs="Times New Roman"/>
                <w:sz w:val="24"/>
              </w:rPr>
              <w:t>日取得</w:t>
            </w:r>
            <w:r>
              <w:rPr>
                <w:rFonts w:hint="eastAsia" w:ascii="Times New Roman" w:hAnsi="Times New Roman" w:cs="Times New Roman"/>
                <w:sz w:val="24"/>
              </w:rPr>
              <w:t>黔南州生态环境</w:t>
            </w:r>
            <w:r>
              <w:rPr>
                <w:rFonts w:ascii="Times New Roman" w:hAnsi="Times New Roman" w:cs="Times New Roman"/>
                <w:sz w:val="24"/>
              </w:rPr>
              <w:t>局对《</w:t>
            </w:r>
            <w:r>
              <w:rPr>
                <w:rFonts w:hint="eastAsia" w:ascii="Times New Roman" w:hAnsi="Times New Roman" w:eastAsia="宋体" w:cs="Times New Roman"/>
                <w:sz w:val="24"/>
              </w:rPr>
              <w:t>中海油贵州销售有限公司三荔高速荔波西加油站</w:t>
            </w:r>
            <w:r>
              <w:rPr>
                <w:rFonts w:ascii="Times New Roman" w:hAnsi="Times New Roman" w:cs="Times New Roman"/>
                <w:spacing w:val="-4"/>
                <w:kern w:val="0"/>
                <w:sz w:val="24"/>
              </w:rPr>
              <w:t>环境影响报告表</w:t>
            </w:r>
            <w:r>
              <w:rPr>
                <w:rFonts w:ascii="Times New Roman" w:hAnsi="Times New Roman" w:cs="Times New Roman"/>
                <w:sz w:val="24"/>
              </w:rPr>
              <w:t>》的</w:t>
            </w:r>
            <w:r>
              <w:rPr>
                <w:rFonts w:hint="eastAsia" w:ascii="Times New Roman" w:hAnsi="Times New Roman" w:cs="Times New Roman"/>
                <w:sz w:val="24"/>
              </w:rPr>
              <w:t>批复，批复文号：</w:t>
            </w:r>
            <w:r>
              <w:rPr>
                <w:rFonts w:hint="eastAsia" w:ascii="Times New Roman" w:hAnsi="Times New Roman" w:eastAsia="宋体" w:cs="Times New Roman"/>
                <w:sz w:val="24"/>
              </w:rPr>
              <w:t>黔南环审[2019]50号</w:t>
            </w:r>
            <w:r>
              <w:rPr>
                <w:rFonts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根据《中华人民共和国环境保护法》及其相关的法律和法规的规定和要求，</w:t>
            </w:r>
            <w:r>
              <w:rPr>
                <w:rFonts w:hint="eastAsia" w:ascii="Times New Roman" w:hAnsi="Times New Roman" w:cs="Times New Roman"/>
                <w:sz w:val="24"/>
              </w:rPr>
              <w:t>中</w:t>
            </w:r>
            <w:r>
              <w:rPr>
                <w:rFonts w:hint="eastAsia" w:ascii="Times New Roman" w:hAnsi="Times New Roman" w:eastAsia="宋体" w:cs="Times New Roman"/>
                <w:sz w:val="24"/>
              </w:rPr>
              <w:t>海油贵州销售有限公司三荔高速荔波西加油站委托第三方检测公司（贵州明德工程咨询有限公司）</w:t>
            </w:r>
            <w:r>
              <w:rPr>
                <w:rFonts w:ascii="Times New Roman" w:hAnsi="Times New Roman" w:cs="Times New Roman"/>
                <w:sz w:val="24"/>
              </w:rPr>
              <w:t>对</w:t>
            </w:r>
            <w:r>
              <w:rPr>
                <w:rFonts w:hint="eastAsia" w:ascii="Times New Roman" w:hAnsi="Times New Roman" w:cs="Times New Roman"/>
                <w:sz w:val="24"/>
              </w:rPr>
              <w:t>中</w:t>
            </w:r>
            <w:r>
              <w:rPr>
                <w:rFonts w:hint="eastAsia" w:ascii="Times New Roman" w:hAnsi="Times New Roman" w:eastAsia="宋体" w:cs="Times New Roman"/>
                <w:sz w:val="24"/>
              </w:rPr>
              <w:t>海油贵州销售有限公司三荔高速荔波西加油站建设项目</w:t>
            </w:r>
            <w:r>
              <w:rPr>
                <w:rFonts w:ascii="Times New Roman" w:hAnsi="Times New Roman" w:cs="Times New Roman"/>
                <w:sz w:val="24"/>
              </w:rPr>
              <w:t>进行竣工环境保护验收监测</w:t>
            </w:r>
            <w:r>
              <w:rPr>
                <w:rFonts w:hint="eastAsia" w:ascii="Times New Roman" w:hAnsi="Times New Roman" w:cs="Times New Roman"/>
                <w:sz w:val="24"/>
              </w:rPr>
              <w:t>。中</w:t>
            </w:r>
            <w:r>
              <w:rPr>
                <w:rFonts w:hint="eastAsia" w:ascii="Times New Roman" w:hAnsi="Times New Roman" w:eastAsia="宋体" w:cs="Times New Roman"/>
                <w:sz w:val="24"/>
              </w:rPr>
              <w:t>海油贵州销售有限公司三荔高速荔波西加油站</w:t>
            </w:r>
            <w:r>
              <w:rPr>
                <w:rFonts w:hint="eastAsia" w:ascii="Times New Roman" w:hAnsi="Times New Roman" w:cs="Times New Roman"/>
                <w:sz w:val="24"/>
              </w:rPr>
              <w:t>根据第三方检测机构提供的验收监测数据，并结合中</w:t>
            </w:r>
            <w:r>
              <w:rPr>
                <w:rFonts w:hint="eastAsia" w:ascii="Times New Roman" w:hAnsi="Times New Roman" w:eastAsia="宋体" w:cs="Times New Roman"/>
                <w:sz w:val="24"/>
              </w:rPr>
              <w:t>海油贵州销售有限公司三荔高速荔波西</w:t>
            </w:r>
            <w:r>
              <w:rPr>
                <w:rFonts w:hint="eastAsia" w:ascii="Times New Roman" w:hAnsi="Times New Roman" w:cs="Times New Roman"/>
                <w:sz w:val="24"/>
              </w:rPr>
              <w:t>加油站建设项目相关</w:t>
            </w:r>
            <w:r>
              <w:rPr>
                <w:rFonts w:ascii="Times New Roman" w:hAnsi="Times New Roman" w:cs="Times New Roman"/>
                <w:sz w:val="24"/>
              </w:rPr>
              <w:t>资料</w:t>
            </w:r>
            <w:r>
              <w:rPr>
                <w:rFonts w:hint="eastAsia" w:ascii="Times New Roman" w:hAnsi="Times New Roman" w:cs="Times New Roman"/>
                <w:sz w:val="24"/>
              </w:rPr>
              <w:t>的</w:t>
            </w:r>
            <w:r>
              <w:rPr>
                <w:rFonts w:ascii="Times New Roman" w:hAnsi="Times New Roman" w:cs="Times New Roman"/>
                <w:sz w:val="24"/>
              </w:rPr>
              <w:t>基础上编制</w:t>
            </w:r>
            <w:r>
              <w:rPr>
                <w:rFonts w:hint="eastAsia" w:ascii="Times New Roman" w:hAnsi="Times New Roman" w:cs="Times New Roman"/>
                <w:sz w:val="24"/>
              </w:rPr>
              <w:t>完成了</w:t>
            </w:r>
            <w:r>
              <w:rPr>
                <w:rFonts w:ascii="Times New Roman" w:hAnsi="Times New Roman" w:cs="Times New Roman"/>
                <w:sz w:val="24"/>
              </w:rPr>
              <w:t>本次</w:t>
            </w:r>
            <w:r>
              <w:rPr>
                <w:rFonts w:hint="eastAsia" w:ascii="Times New Roman" w:hAnsi="Times New Roman" w:cs="Times New Roman"/>
                <w:sz w:val="24"/>
              </w:rPr>
              <w:t>环保</w:t>
            </w:r>
            <w:r>
              <w:rPr>
                <w:rFonts w:ascii="Times New Roman" w:hAnsi="Times New Roman" w:cs="Times New Roman"/>
                <w:sz w:val="24"/>
              </w:rPr>
              <w:t>验收监测报告。</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1.2 本次验收监测范围</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中</w:t>
            </w:r>
            <w:r>
              <w:rPr>
                <w:rFonts w:hint="eastAsia" w:ascii="Times New Roman" w:hAnsi="Times New Roman" w:eastAsia="宋体" w:cs="Times New Roman"/>
                <w:sz w:val="24"/>
              </w:rPr>
              <w:t>海油贵州销售有限公司三荔高速荔波西</w:t>
            </w:r>
            <w:r>
              <w:rPr>
                <w:rFonts w:hint="eastAsia" w:ascii="Times New Roman" w:hAnsi="Times New Roman" w:cs="Times New Roman"/>
                <w:sz w:val="24"/>
              </w:rPr>
              <w:t>加油站建设项目</w:t>
            </w:r>
            <w:r>
              <w:rPr>
                <w:rFonts w:ascii="Times New Roman" w:hAnsi="Times New Roman" w:cs="Times New Roman"/>
                <w:sz w:val="24"/>
              </w:rPr>
              <w:t>的主体工程、辅助及公用工程、环保工程</w:t>
            </w:r>
            <w:r>
              <w:rPr>
                <w:rFonts w:hint="eastAsia" w:ascii="Times New Roman" w:hAnsi="Times New Roman" w:cs="Times New Roman"/>
                <w:sz w:val="24"/>
              </w:rPr>
              <w:t>、景观工程</w:t>
            </w:r>
            <w:r>
              <w:rPr>
                <w:rFonts w:ascii="Times New Roman" w:hAnsi="Times New Roman" w:cs="Times New Roman"/>
                <w:sz w:val="24"/>
              </w:rPr>
              <w:t>。</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1.3 本次验收监测主要内容</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废水排放；</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废气排放监测；</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厂界环境噪声排放监测；</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固体废弃物处置情况检查；</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风险事故防范与应急措施检查</w:t>
            </w:r>
            <w:r>
              <w:rPr>
                <w:rFonts w:hint="eastAsia" w:ascii="Times New Roman" w:hAnsi="Times New Roman" w:cs="Times New Roman"/>
                <w:bCs/>
                <w:sz w:val="24"/>
              </w:rPr>
              <w:t>。</w:t>
            </w:r>
          </w:p>
          <w:p>
            <w:pPr>
              <w:spacing w:line="360" w:lineRule="auto"/>
              <w:rPr>
                <w:rFonts w:ascii="Times New Roman" w:hAnsi="Times New Roman" w:cs="Times New Roman"/>
                <w:bCs/>
                <w:sz w:val="24"/>
              </w:rPr>
            </w:pPr>
            <w:r>
              <w:rPr>
                <w:rFonts w:ascii="Times New Roman" w:hAnsi="Times New Roman" w:cs="Times New Roman"/>
                <w:b/>
                <w:sz w:val="28"/>
                <w:szCs w:val="28"/>
              </w:rPr>
              <w:t>1.4 项目地理位置</w:t>
            </w:r>
          </w:p>
          <w:p>
            <w:pPr>
              <w:kinsoku w:val="0"/>
              <w:overflowPunct w:val="0"/>
              <w:topLinePunct/>
              <w:autoSpaceDE w:val="0"/>
              <w:autoSpaceDN w:val="0"/>
              <w:spacing w:line="360" w:lineRule="auto"/>
              <w:ind w:firstLine="480" w:firstLineChars="200"/>
              <w:rPr>
                <w:rFonts w:ascii="Times New Roman" w:hAnsi="Times New Roman" w:eastAsia="宋体" w:cs="Times New Roman"/>
                <w:sz w:val="24"/>
              </w:rPr>
            </w:pPr>
            <w:r>
              <w:rPr>
                <w:sz w:val="24"/>
              </w:rPr>
              <w:t>项目位于</w:t>
            </w:r>
            <w:r>
              <w:rPr>
                <w:rFonts w:hint="eastAsia"/>
                <w:sz w:val="24"/>
              </w:rPr>
              <w:t>贵州省黔南州荔波县</w:t>
            </w:r>
            <w:r>
              <w:rPr>
                <w:sz w:val="24"/>
              </w:rPr>
              <w:t>三荔高速</w:t>
            </w:r>
            <w:r>
              <w:rPr>
                <w:rFonts w:hint="eastAsia"/>
                <w:sz w:val="24"/>
              </w:rPr>
              <w:t>荔波</w:t>
            </w:r>
            <w:r>
              <w:rPr>
                <w:sz w:val="24"/>
              </w:rPr>
              <w:t>服务区</w:t>
            </w:r>
            <w:r>
              <w:rPr>
                <w:rFonts w:hint="eastAsia"/>
                <w:sz w:val="24"/>
              </w:rPr>
              <w:t>西区内</w:t>
            </w:r>
            <w:r>
              <w:rPr>
                <w:rFonts w:ascii="Times New Roman" w:hAnsi="Times New Roman" w:eastAsia="宋体" w:cs="Times New Roman"/>
                <w:sz w:val="24"/>
              </w:rPr>
              <w:t>，</w:t>
            </w:r>
            <w:r>
              <w:rPr>
                <w:sz w:val="24"/>
              </w:rPr>
              <w:t>服务于三荔高速，</w:t>
            </w:r>
            <w:r>
              <w:rPr>
                <w:rFonts w:hint="eastAsia"/>
                <w:sz w:val="24"/>
              </w:rPr>
              <w:t>东</w:t>
            </w:r>
            <w:r>
              <w:rPr>
                <w:sz w:val="24"/>
              </w:rPr>
              <w:t>侧为三荔高速公路；三荔高速路</w:t>
            </w:r>
            <w:r>
              <w:rPr>
                <w:rFonts w:hint="eastAsia"/>
                <w:sz w:val="24"/>
              </w:rPr>
              <w:t>东</w:t>
            </w:r>
            <w:r>
              <w:rPr>
                <w:sz w:val="24"/>
              </w:rPr>
              <w:t>侧为中海油贵州销售有限公司三荔高速荔波</w:t>
            </w:r>
            <w:r>
              <w:rPr>
                <w:rFonts w:hint="eastAsia"/>
                <w:sz w:val="24"/>
              </w:rPr>
              <w:t>东</w:t>
            </w:r>
            <w:r>
              <w:rPr>
                <w:sz w:val="24"/>
              </w:rPr>
              <w:t>加油站， 和本加油站的距离为 75m；北侧、</w:t>
            </w:r>
            <w:r>
              <w:rPr>
                <w:rFonts w:hint="eastAsia"/>
                <w:sz w:val="24"/>
              </w:rPr>
              <w:t>西</w:t>
            </w:r>
            <w:r>
              <w:rPr>
                <w:sz w:val="24"/>
              </w:rPr>
              <w:t>侧、南侧均为荒山</w:t>
            </w:r>
            <w:r>
              <w:rPr>
                <w:rFonts w:hint="eastAsia"/>
                <w:sz w:val="24"/>
              </w:rPr>
              <w:t>，</w:t>
            </w:r>
            <w:r>
              <w:rPr>
                <w:sz w:val="24"/>
              </w:rPr>
              <w:t>西北侧 270 米处为更楼居民点（11 户 65 人）</w:t>
            </w:r>
            <w:r>
              <w:t>。</w:t>
            </w:r>
            <w:r>
              <w:rPr>
                <w:rFonts w:hint="eastAsia"/>
              </w:rPr>
              <w:t>项目</w:t>
            </w:r>
            <w:r>
              <w:rPr>
                <w:rFonts w:hint="eastAsia"/>
                <w:sz w:val="24"/>
              </w:rPr>
              <w:t>地理位置为</w:t>
            </w:r>
            <w:r>
              <w:rPr>
                <w:rFonts w:ascii="Times New Roman" w:hAnsi="Times New Roman" w:eastAsia="宋体" w:cs="Times New Roman"/>
                <w:sz w:val="24"/>
              </w:rPr>
              <w:t>东经107°</w:t>
            </w:r>
            <w:r>
              <w:rPr>
                <w:rFonts w:hint="eastAsia" w:ascii="Times New Roman" w:hAnsi="Times New Roman" w:eastAsia="宋体" w:cs="Times New Roman"/>
                <w:sz w:val="24"/>
              </w:rPr>
              <w:t>57</w:t>
            </w:r>
            <w:r>
              <w:rPr>
                <w:rFonts w:ascii="Times New Roman" w:hAnsi="Times New Roman" w:eastAsia="宋体" w:cs="Times New Roman"/>
                <w:sz w:val="24"/>
              </w:rPr>
              <w:t>′</w:t>
            </w:r>
            <w:r>
              <w:rPr>
                <w:rFonts w:hint="eastAsia" w:ascii="Times New Roman" w:hAnsi="Times New Roman" w:eastAsia="宋体" w:cs="Times New Roman"/>
                <w:sz w:val="24"/>
              </w:rPr>
              <w:t>19.34</w:t>
            </w:r>
            <w:r>
              <w:rPr>
                <w:sz w:val="24"/>
              </w:rPr>
              <w:t>"</w:t>
            </w:r>
            <w:r>
              <w:rPr>
                <w:rFonts w:ascii="Times New Roman" w:hAnsi="Times New Roman" w:eastAsia="宋体" w:cs="Times New Roman"/>
                <w:sz w:val="24"/>
              </w:rPr>
              <w:t>，北纬25°</w:t>
            </w:r>
            <w:r>
              <w:rPr>
                <w:rFonts w:hint="eastAsia" w:ascii="Times New Roman" w:hAnsi="Times New Roman" w:eastAsia="宋体" w:cs="Times New Roman"/>
                <w:sz w:val="24"/>
              </w:rPr>
              <w:t>27</w:t>
            </w:r>
            <w:r>
              <w:rPr>
                <w:rFonts w:ascii="Times New Roman" w:hAnsi="Times New Roman" w:eastAsia="宋体" w:cs="Times New Roman"/>
                <w:sz w:val="24"/>
              </w:rPr>
              <w:t>′</w:t>
            </w:r>
            <w:r>
              <w:rPr>
                <w:rFonts w:hint="eastAsia"/>
                <w:sz w:val="24"/>
              </w:rPr>
              <w:t>59.45</w:t>
            </w:r>
            <w:r>
              <w:rPr>
                <w:sz w:val="24"/>
              </w:rPr>
              <w:t>"</w:t>
            </w:r>
            <w:r>
              <w:rPr>
                <w:rFonts w:hint="eastAsia" w:ascii="Times New Roman" w:hAnsi="Times New Roman" w:eastAsia="宋体" w:cs="Times New Roman"/>
                <w:sz w:val="24"/>
              </w:rPr>
              <w:t>；</w:t>
            </w:r>
            <w:r>
              <w:rPr>
                <w:rFonts w:ascii="Times New Roman" w:hAnsi="Times New Roman" w:eastAsia="宋体" w:cs="Times New Roman"/>
                <w:sz w:val="24"/>
              </w:rPr>
              <w:t>项目所在地详见附图1。</w:t>
            </w:r>
          </w:p>
          <w:p>
            <w:pPr>
              <w:kinsoku w:val="0"/>
              <w:overflowPunct w:val="0"/>
              <w:topLinePunct/>
              <w:autoSpaceDE w:val="0"/>
              <w:autoSpaceDN w:val="0"/>
              <w:spacing w:line="36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1.5 项目基本情况</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项目名称：</w:t>
            </w:r>
            <w:r>
              <w:rPr>
                <w:rFonts w:hint="eastAsia" w:ascii="Times New Roman" w:hAnsi="Times New Roman" w:eastAsia="宋体" w:cs="Times New Roman"/>
                <w:sz w:val="24"/>
              </w:rPr>
              <w:t>中海油贵州销售有限公司三荔高速荔波西加油站建设项目</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项目性质：新建</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建设地点：</w:t>
            </w:r>
            <w:r>
              <w:rPr>
                <w:rFonts w:hint="eastAsia" w:ascii="Times New Roman" w:hAnsi="Times New Roman" w:eastAsia="宋体" w:cs="Times New Roman"/>
                <w:sz w:val="24"/>
              </w:rPr>
              <w:t>贵州省黔南州荔波县三荔高速荔波服务区西侧（桩点K62</w:t>
            </w:r>
            <w:r>
              <w:rPr>
                <w:rFonts w:ascii="Times New Roman" w:hAnsi="Times New Roman" w:eastAsia="宋体" w:cs="Times New Roman"/>
                <w:sz w:val="24"/>
              </w:rPr>
              <w:t>+</w:t>
            </w:r>
            <w:r>
              <w:rPr>
                <w:rFonts w:hint="eastAsia" w:ascii="Times New Roman" w:hAnsi="Times New Roman" w:eastAsia="宋体" w:cs="Times New Roman"/>
                <w:sz w:val="24"/>
              </w:rPr>
              <w:t>950）</w:t>
            </w:r>
          </w:p>
          <w:p>
            <w:pPr>
              <w:spacing w:line="360" w:lineRule="auto"/>
              <w:ind w:firstLine="480" w:firstLineChars="200"/>
              <w:rPr>
                <w:rFonts w:ascii="Times New Roman" w:hAnsi="Times New Roman" w:cs="Times New Roman"/>
                <w:sz w:val="24"/>
              </w:rPr>
            </w:pPr>
            <w:r>
              <w:rPr>
                <w:rFonts w:ascii="Times New Roman" w:hAnsi="Times New Roman" w:cs="Times New Roman"/>
                <w:color w:val="000000"/>
                <w:sz w:val="24"/>
              </w:rPr>
              <w:t>建设规模：</w:t>
            </w:r>
            <w:r>
              <w:rPr>
                <w:sz w:val="24"/>
              </w:rPr>
              <w:t>项目规模为 40m</w:t>
            </w:r>
            <w:r>
              <w:rPr>
                <w:sz w:val="22"/>
                <w:szCs w:val="22"/>
                <w:vertAlign w:val="superscript"/>
              </w:rPr>
              <w:t>3</w:t>
            </w:r>
            <w:r>
              <w:rPr>
                <w:sz w:val="24"/>
              </w:rPr>
              <w:t xml:space="preserve"> 柴油储罐 1 个，50m</w:t>
            </w:r>
            <w:r>
              <w:rPr>
                <w:sz w:val="24"/>
                <w:vertAlign w:val="superscript"/>
              </w:rPr>
              <w:t>3</w:t>
            </w:r>
            <w:r>
              <w:rPr>
                <w:sz w:val="24"/>
              </w:rPr>
              <w:t xml:space="preserve"> 汽油储罐 2 个(92 #汽油 罐 1 个、95 #汽油罐 1 个)，30m</w:t>
            </w:r>
            <w:r>
              <w:rPr>
                <w:sz w:val="24"/>
                <w:vertAlign w:val="superscript"/>
              </w:rPr>
              <w:t>3</w:t>
            </w:r>
            <w:r>
              <w:rPr>
                <w:sz w:val="24"/>
              </w:rPr>
              <w:t xml:space="preserve"> 汽油储罐 1 个（92 #汽油罐）。加油机 4 台(16 枪)。 油罐总容积 150m</w:t>
            </w:r>
            <w:r>
              <w:rPr>
                <w:sz w:val="24"/>
                <w:vertAlign w:val="superscript"/>
              </w:rPr>
              <w:t>3</w:t>
            </w:r>
            <w:r>
              <w:rPr>
                <w:sz w:val="24"/>
              </w:rPr>
              <w:t xml:space="preserve"> (柴油罐容积折半计入油罐总容积)，单罐容积小于或等于 50m</w:t>
            </w:r>
            <w:r>
              <w:rPr>
                <w:sz w:val="24"/>
                <w:vertAlign w:val="superscript"/>
              </w:rPr>
              <w:t>3</w:t>
            </w:r>
            <w:r>
              <w:rPr>
                <w:sz w:val="24"/>
              </w:rPr>
              <w:t>，根据《汽车加油加气站设计与施工规范》(GB50156-2012)2014 版，属二级加油站。</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建设单位：</w:t>
            </w:r>
            <w:r>
              <w:rPr>
                <w:rFonts w:hint="eastAsia" w:ascii="Times New Roman" w:hAnsi="Times New Roman" w:eastAsia="宋体" w:cs="Times New Roman"/>
                <w:sz w:val="24"/>
              </w:rPr>
              <w:t>中海油贵州销售有限公司</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项目总投资：总投资额</w:t>
            </w:r>
            <w:r>
              <w:rPr>
                <w:rFonts w:hint="eastAsia" w:ascii="Times New Roman" w:hAnsi="Times New Roman" w:cs="Times New Roman"/>
                <w:color w:val="000000"/>
                <w:sz w:val="24"/>
              </w:rPr>
              <w:t>4700</w:t>
            </w:r>
            <w:r>
              <w:rPr>
                <w:rFonts w:ascii="Times New Roman" w:hAnsi="Times New Roman" w:cs="Times New Roman"/>
                <w:color w:val="000000"/>
                <w:sz w:val="24"/>
              </w:rPr>
              <w:t>万元</w:t>
            </w:r>
          </w:p>
          <w:p>
            <w:pPr>
              <w:pStyle w:val="37"/>
              <w:numPr>
                <w:ilvl w:val="0"/>
                <w:numId w:val="2"/>
              </w:numPr>
              <w:spacing w:line="360" w:lineRule="auto"/>
              <w:ind w:firstLineChars="0"/>
              <w:rPr>
                <w:rFonts w:cs="Times New Roman" w:asciiTheme="minorEastAsia" w:hAnsiTheme="minorEastAsia"/>
                <w:color w:val="000000"/>
                <w:sz w:val="24"/>
              </w:rPr>
            </w:pPr>
            <w:r>
              <w:rPr>
                <w:rFonts w:cs="Times New Roman" w:asciiTheme="minorEastAsia" w:hAnsiTheme="minorEastAsia"/>
                <w:color w:val="000000"/>
                <w:sz w:val="24"/>
              </w:rPr>
              <w:t xml:space="preserve"> </w:t>
            </w:r>
            <w:r>
              <w:t>占地面积：6670m</w:t>
            </w:r>
            <w:r>
              <w:rPr>
                <w:vertAlign w:val="superscript"/>
              </w:rPr>
              <w:t>2</w:t>
            </w:r>
          </w:p>
          <w:p>
            <w:pPr>
              <w:spacing w:line="360" w:lineRule="auto"/>
              <w:ind w:firstLine="1200" w:firstLineChars="500"/>
              <w:rPr>
                <w:rFonts w:ascii="Times New Roman" w:hAnsi="Times New Roman" w:cs="Times New Roman"/>
                <w:color w:val="000000" w:themeColor="text1"/>
                <w:sz w:val="24"/>
              </w:rPr>
            </w:pPr>
            <w:r>
              <w:rPr>
                <w:rFonts w:hint="eastAsia" w:ascii="宋体" w:hAnsi="宋体" w:eastAsia="宋体" w:cs="Times New Roman"/>
                <w:color w:val="000000" w:themeColor="text1"/>
                <w:sz w:val="24"/>
              </w:rPr>
              <w:t>⑦</w:t>
            </w:r>
            <w:r>
              <w:rPr>
                <w:rFonts w:ascii="Times New Roman" w:hAnsi="Times New Roman" w:cs="Times New Roman"/>
                <w:color w:val="000000" w:themeColor="text1"/>
                <w:sz w:val="24"/>
              </w:rPr>
              <w:t>工作制度及劳动定员：每天</w:t>
            </w:r>
            <w:r>
              <w:rPr>
                <w:rFonts w:hint="eastAsia" w:ascii="Times New Roman" w:hAnsi="Times New Roman" w:cs="Times New Roman"/>
                <w:color w:val="000000" w:themeColor="text1"/>
                <w:sz w:val="24"/>
              </w:rPr>
              <w:t>2</w:t>
            </w:r>
            <w:r>
              <w:rPr>
                <w:rFonts w:ascii="Times New Roman" w:hAnsi="Times New Roman" w:cs="Times New Roman"/>
                <w:color w:val="000000" w:themeColor="text1"/>
                <w:sz w:val="24"/>
              </w:rPr>
              <w:t>班，每班</w:t>
            </w:r>
            <w:r>
              <w:rPr>
                <w:rFonts w:hint="eastAsia" w:ascii="Times New Roman" w:hAnsi="Times New Roman" w:cs="Times New Roman"/>
                <w:color w:val="000000" w:themeColor="text1"/>
                <w:sz w:val="24"/>
              </w:rPr>
              <w:t>12</w:t>
            </w:r>
            <w:r>
              <w:rPr>
                <w:rFonts w:ascii="Times New Roman" w:hAnsi="Times New Roman" w:cs="Times New Roman"/>
                <w:color w:val="000000" w:themeColor="text1"/>
                <w:sz w:val="24"/>
              </w:rPr>
              <w:t>小时，年工作365天；职工人数</w:t>
            </w:r>
            <w:r>
              <w:rPr>
                <w:rFonts w:hint="eastAsia" w:ascii="Times New Roman" w:hAnsi="Times New Roman" w:cs="Times New Roman"/>
                <w:color w:val="000000" w:themeColor="text1"/>
                <w:sz w:val="24"/>
              </w:rPr>
              <w:t>11</w:t>
            </w:r>
            <w:r>
              <w:rPr>
                <w:rFonts w:ascii="Times New Roman" w:hAnsi="Times New Roman" w:cs="Times New Roman"/>
                <w:color w:val="000000" w:themeColor="text1"/>
                <w:sz w:val="24"/>
              </w:rPr>
              <w:t>人。</w:t>
            </w:r>
          </w:p>
          <w:p>
            <w:pPr>
              <w:spacing w:line="360" w:lineRule="auto"/>
              <w:rPr>
                <w:rFonts w:ascii="Times New Roman" w:hAnsi="Times New Roman" w:cs="Times New Roman"/>
                <w:b/>
                <w:sz w:val="28"/>
                <w:szCs w:val="28"/>
              </w:rPr>
            </w:pPr>
            <w:r>
              <w:rPr>
                <w:rFonts w:ascii="Times New Roman" w:hAnsi="Times New Roman" w:cs="Times New Roman"/>
                <w:b/>
                <w:sz w:val="28"/>
                <w:szCs w:val="28"/>
              </w:rPr>
              <w:t>1.6 项目组成及建设规模</w:t>
            </w:r>
          </w:p>
          <w:p>
            <w:pPr>
              <w:spacing w:line="360" w:lineRule="auto"/>
              <w:ind w:firstLine="482" w:firstLineChars="200"/>
              <w:jc w:val="center"/>
              <w:rPr>
                <w:rFonts w:ascii="Times New Roman" w:hAnsi="Times New Roman" w:cs="Times New Roman"/>
                <w:b/>
                <w:color w:val="000000"/>
                <w:sz w:val="24"/>
              </w:rPr>
            </w:pPr>
            <w:r>
              <w:rPr>
                <w:rFonts w:ascii="Times New Roman" w:hAnsi="Times New Roman" w:cs="Times New Roman"/>
                <w:b/>
                <w:bCs/>
                <w:sz w:val="24"/>
              </w:rPr>
              <w:t xml:space="preserve">表1-1  </w:t>
            </w:r>
            <w:r>
              <w:rPr>
                <w:rFonts w:ascii="Times New Roman" w:hAnsi="Times New Roman" w:cs="Times New Roman"/>
                <w:b/>
                <w:color w:val="000000"/>
                <w:sz w:val="24"/>
              </w:rPr>
              <w:t>项目组成及规模一览表</w:t>
            </w:r>
          </w:p>
          <w:tbl>
            <w:tblPr>
              <w:tblStyle w:val="16"/>
              <w:tblW w:w="905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9"/>
              <w:gridCol w:w="2410"/>
              <w:gridCol w:w="2846"/>
              <w:gridCol w:w="30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类别</w:t>
                  </w:r>
                </w:p>
              </w:tc>
              <w:tc>
                <w:tcPr>
                  <w:tcW w:w="2410"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名称</w:t>
                  </w:r>
                </w:p>
              </w:tc>
              <w:tc>
                <w:tcPr>
                  <w:tcW w:w="2846"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建设内容</w:t>
                  </w:r>
                </w:p>
              </w:tc>
              <w:tc>
                <w:tcPr>
                  <w:tcW w:w="3092"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主体</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2410" w:type="dxa"/>
                </w:tcPr>
                <w:p>
                  <w:pPr>
                    <w:jc w:val="center"/>
                    <w:rPr>
                      <w:rFonts w:ascii="Times New Roman" w:hAnsi="Times New Roman" w:cs="Times New Roman"/>
                      <w:color w:val="000000"/>
                      <w:szCs w:val="21"/>
                    </w:rPr>
                  </w:pPr>
                </w:p>
                <w:p>
                  <w:pPr>
                    <w:jc w:val="center"/>
                    <w:rPr>
                      <w:rFonts w:ascii="Times New Roman" w:hAnsi="Times New Roman" w:cs="Times New Roman"/>
                      <w:color w:val="000000"/>
                      <w:szCs w:val="21"/>
                    </w:rPr>
                  </w:pPr>
                </w:p>
                <w:p>
                  <w:pPr>
                    <w:jc w:val="center"/>
                    <w:rPr>
                      <w:rFonts w:ascii="Times New Roman" w:hAnsi="Times New Roman" w:cs="Times New Roman"/>
                      <w:color w:val="000000"/>
                      <w:szCs w:val="21"/>
                    </w:rPr>
                  </w:pPr>
                  <w:r>
                    <w:rPr>
                      <w:rFonts w:hint="eastAsia" w:ascii="Times New Roman" w:hAnsi="Times New Roman" w:cs="Times New Roman"/>
                      <w:color w:val="000000"/>
                      <w:szCs w:val="21"/>
                    </w:rPr>
                    <w:t>油罐区</w:t>
                  </w:r>
                </w:p>
              </w:tc>
              <w:tc>
                <w:tcPr>
                  <w:tcW w:w="2846" w:type="dxa"/>
                </w:tcPr>
                <w:p>
                  <w:pPr>
                    <w:jc w:val="center"/>
                  </w:pPr>
                </w:p>
                <w:p>
                  <w:pPr>
                    <w:jc w:val="center"/>
                    <w:rPr>
                      <w:rFonts w:ascii="Times New Roman" w:hAnsi="Times New Roman" w:cs="Times New Roman"/>
                      <w:color w:val="000000"/>
                      <w:szCs w:val="21"/>
                    </w:rPr>
                  </w:pPr>
                  <w:r>
                    <w:t>40m</w:t>
                  </w:r>
                  <w:r>
                    <w:rPr>
                      <w:vertAlign w:val="superscript"/>
                    </w:rPr>
                    <w:t>3</w:t>
                  </w:r>
                  <w:r>
                    <w:t xml:space="preserve"> 柴油储罐 1 个，50m</w:t>
                  </w:r>
                  <w:r>
                    <w:rPr>
                      <w:vertAlign w:val="superscript"/>
                    </w:rPr>
                    <w:t>3</w:t>
                  </w:r>
                  <w:r>
                    <w:t xml:space="preserve"> 汽油储罐 </w:t>
                  </w:r>
                  <w:bookmarkStart w:id="83" w:name="_GoBack"/>
                  <w:r>
                    <w:rPr>
                      <w:rFonts w:hint="eastAsia"/>
                      <w:color w:val="auto"/>
                    </w:rPr>
                    <w:t>2</w:t>
                  </w:r>
                  <w:bookmarkEnd w:id="83"/>
                  <w:r>
                    <w:rPr>
                      <w:color w:val="C00000"/>
                    </w:rPr>
                    <w:t xml:space="preserve"> </w:t>
                  </w:r>
                  <w:r>
                    <w:t>个，</w:t>
                  </w:r>
                  <w:r>
                    <w:rPr>
                      <w:rFonts w:hint="eastAsia"/>
                    </w:rPr>
                    <w:t>3</w:t>
                  </w:r>
                  <w:r>
                    <w:t>0m</w:t>
                  </w:r>
                  <w:r>
                    <w:rPr>
                      <w:vertAlign w:val="superscript"/>
                    </w:rPr>
                    <w:t>3</w:t>
                  </w:r>
                  <w:r>
                    <w:t xml:space="preserve"> 汽油储罐 </w:t>
                  </w:r>
                  <w:r>
                    <w:rPr>
                      <w:rFonts w:hint="eastAsia"/>
                    </w:rPr>
                    <w:t>1</w:t>
                  </w:r>
                  <w:r>
                    <w:t xml:space="preserve"> 个</w:t>
                  </w:r>
                  <w:r>
                    <w:rPr>
                      <w:rFonts w:hint="eastAsia"/>
                    </w:rPr>
                    <w:t>，</w:t>
                  </w:r>
                  <w:r>
                    <w:t>占地面积 155.8m</w:t>
                  </w:r>
                  <w:r>
                    <w:rPr>
                      <w:rFonts w:hint="eastAsia"/>
                      <w:vertAlign w:val="superscript"/>
                    </w:rPr>
                    <w:t>2</w:t>
                  </w:r>
                </w:p>
              </w:tc>
              <w:tc>
                <w:tcPr>
                  <w:tcW w:w="3092" w:type="dxa"/>
                </w:tcPr>
                <w:p>
                  <w:pPr>
                    <w:jc w:val="center"/>
                    <w:rPr>
                      <w:rFonts w:ascii="Times New Roman" w:hAnsi="Times New Roman" w:cs="Times New Roman"/>
                      <w:color w:val="000000"/>
                      <w:szCs w:val="21"/>
                    </w:rPr>
                  </w:pPr>
                  <w:r>
                    <w:t>油罐为地埋卧式，布置在埋地油罐池内，为双层储 罐, 储罐位于加油区东面， 油罐采用地埋式方式安装 且罐顶上覆土厚度大于 0.5m。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vAlign w:val="center"/>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加油棚</w:t>
                  </w:r>
                </w:p>
              </w:tc>
              <w:tc>
                <w:tcPr>
                  <w:tcW w:w="2846" w:type="dxa"/>
                </w:tcPr>
                <w:p>
                  <w:pPr>
                    <w:jc w:val="center"/>
                  </w:pPr>
                  <w:r>
                    <w:t xml:space="preserve">单层螺栓球网架，投影面积 </w:t>
                  </w:r>
                  <w:r>
                    <w:rPr>
                      <w:rFonts w:hint="eastAsia"/>
                    </w:rPr>
                    <w:t>636</w:t>
                  </w:r>
                  <w:r>
                    <w:t>m</w:t>
                  </w:r>
                  <w:r>
                    <w:rPr>
                      <w:vertAlign w:val="superscript"/>
                    </w:rPr>
                    <w:t>2</w:t>
                  </w:r>
                </w:p>
                <w:p>
                  <w:pPr>
                    <w:pStyle w:val="19"/>
                    <w:ind w:firstLine="480"/>
                    <w:jc w:val="both"/>
                  </w:pPr>
                </w:p>
              </w:tc>
              <w:tc>
                <w:tcPr>
                  <w:tcW w:w="3092" w:type="dxa"/>
                </w:tcPr>
                <w:p>
                  <w:pPr>
                    <w:jc w:val="center"/>
                  </w:pPr>
                </w:p>
                <w:p>
                  <w:pPr>
                    <w:jc w:val="center"/>
                  </w:pPr>
                  <w:r>
                    <w:t>加油机 4 台，16 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tcPr>
                <w:p>
                  <w:pPr>
                    <w:jc w:val="center"/>
                    <w:rPr>
                      <w:rFonts w:ascii="Times New Roman" w:hAnsi="Times New Roman" w:cs="Times New Roman"/>
                      <w:color w:val="000000"/>
                      <w:szCs w:val="21"/>
                    </w:rPr>
                  </w:pPr>
                  <w:r>
                    <w:rPr>
                      <w:rFonts w:hint="eastAsia" w:ascii="Times New Roman" w:hAnsi="Times New Roman" w:cs="Times New Roman"/>
                      <w:color w:val="000000"/>
                      <w:szCs w:val="21"/>
                    </w:rPr>
                    <w:t>辅助工程</w:t>
                  </w:r>
                </w:p>
              </w:tc>
              <w:tc>
                <w:tcPr>
                  <w:tcW w:w="2410" w:type="dxa"/>
                </w:tcPr>
                <w:p>
                  <w:pPr>
                    <w:rPr>
                      <w:rFonts w:ascii="Times New Roman" w:hAnsi="Times New Roman" w:cs="Times New Roman"/>
                      <w:color w:val="000000"/>
                      <w:szCs w:val="21"/>
                    </w:rPr>
                  </w:pPr>
                </w:p>
                <w:p>
                  <w:pPr>
                    <w:ind w:firstLine="630" w:firstLineChars="300"/>
                    <w:rPr>
                      <w:rFonts w:ascii="Times New Roman" w:hAnsi="Times New Roman" w:cs="Times New Roman"/>
                      <w:color w:val="000000"/>
                      <w:szCs w:val="21"/>
                    </w:rPr>
                  </w:pPr>
                  <w:r>
                    <w:rPr>
                      <w:rFonts w:hint="eastAsia" w:ascii="Times New Roman" w:hAnsi="Times New Roman" w:cs="Times New Roman"/>
                      <w:color w:val="000000"/>
                      <w:szCs w:val="21"/>
                    </w:rPr>
                    <w:t>站房</w:t>
                  </w:r>
                </w:p>
              </w:tc>
              <w:tc>
                <w:tcPr>
                  <w:tcW w:w="2846" w:type="dxa"/>
                </w:tcPr>
                <w:p>
                  <w:pPr>
                    <w:rPr>
                      <w:rFonts w:ascii="Times New Roman" w:hAnsi="Times New Roman" w:cs="Times New Roman"/>
                      <w:color w:val="000000"/>
                      <w:szCs w:val="21"/>
                    </w:rPr>
                  </w:pPr>
                  <w:r>
                    <w:t>1 层，砖混结构，含柴油发电 机房、配电室、</w:t>
                  </w:r>
                  <w:r>
                    <w:rPr>
                      <w:rFonts w:hint="eastAsia"/>
                    </w:rPr>
                    <w:t>职工临时休息室、</w:t>
                  </w:r>
                  <w:r>
                    <w:t>便利店、储藏室、卫生间等。</w:t>
                  </w:r>
                </w:p>
              </w:tc>
              <w:tc>
                <w:tcPr>
                  <w:tcW w:w="3092" w:type="dxa"/>
                </w:tcPr>
                <w:p>
                  <w:pPr>
                    <w:rPr>
                      <w:rFonts w:ascii="Times New Roman" w:hAnsi="Times New Roman" w:cs="Times New Roman"/>
                      <w:color w:val="000000"/>
                      <w:szCs w:val="21"/>
                    </w:rPr>
                  </w:pPr>
                  <w:r>
                    <w:t xml:space="preserve">占地面积 </w:t>
                  </w:r>
                  <w:r>
                    <w:rPr>
                      <w:rFonts w:hint="eastAsia"/>
                    </w:rPr>
                    <w:t>149.31</w:t>
                  </w:r>
                  <w:r>
                    <w:t>m</w:t>
                  </w:r>
                  <w:r>
                    <w:rPr>
                      <w:vertAlign w:val="super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ind w:firstLine="630" w:firstLineChars="300"/>
                    <w:rPr>
                      <w:rFonts w:ascii="Times New Roman" w:hAnsi="Times New Roman" w:cs="Times New Roman"/>
                      <w:color w:val="000000"/>
                      <w:szCs w:val="21"/>
                    </w:rPr>
                  </w:pPr>
                  <w:r>
                    <w:t>宿舍楼</w:t>
                  </w:r>
                </w:p>
              </w:tc>
              <w:tc>
                <w:tcPr>
                  <w:tcW w:w="2846" w:type="dxa"/>
                </w:tcPr>
                <w:p>
                  <w:r>
                    <w:t>2 层，砖混结构，含员工休息 室、餐厅、活动室等。</w:t>
                  </w:r>
                </w:p>
              </w:tc>
              <w:tc>
                <w:tcPr>
                  <w:tcW w:w="3092" w:type="dxa"/>
                </w:tcPr>
                <w:p>
                  <w:r>
                    <w:t>占地面积 341.64m2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ind w:firstLine="630" w:firstLineChars="300"/>
                    <w:rPr>
                      <w:rFonts w:ascii="Times New Roman" w:hAnsi="Times New Roman" w:cs="Times New Roman"/>
                      <w:color w:val="000000"/>
                      <w:szCs w:val="21"/>
                    </w:rPr>
                  </w:pPr>
                  <w:r>
                    <w:rPr>
                      <w:rFonts w:hint="eastAsia" w:ascii="Times New Roman" w:hAnsi="Times New Roman" w:cs="Times New Roman"/>
                      <w:color w:val="000000"/>
                      <w:szCs w:val="21"/>
                    </w:rPr>
                    <w:t>停车位</w:t>
                  </w:r>
                </w:p>
              </w:tc>
              <w:tc>
                <w:tcPr>
                  <w:tcW w:w="2846" w:type="dxa"/>
                </w:tcPr>
                <w:p>
                  <w:pPr>
                    <w:rPr>
                      <w:rFonts w:ascii="Times New Roman" w:hAnsi="Times New Roman" w:cs="Times New Roman"/>
                      <w:color w:val="000000"/>
                      <w:szCs w:val="21"/>
                    </w:rPr>
                  </w:pPr>
                  <w:r>
                    <w:rPr>
                      <w:rFonts w:hint="eastAsia" w:ascii="Times New Roman" w:hAnsi="Times New Roman" w:cs="Times New Roman"/>
                      <w:color w:val="000000"/>
                      <w:szCs w:val="21"/>
                    </w:rPr>
                    <w:t>8个</w:t>
                  </w:r>
                </w:p>
              </w:tc>
              <w:tc>
                <w:tcPr>
                  <w:tcW w:w="3092" w:type="dxa"/>
                </w:tcPr>
                <w:p>
                  <w:pPr>
                    <w:rPr>
                      <w:rFonts w:ascii="Times New Roman" w:hAnsi="Times New Roman" w:cs="Times New Roman"/>
                      <w:color w:val="000000"/>
                      <w:szCs w:val="21"/>
                    </w:rPr>
                  </w:pPr>
                  <w:r>
                    <w:t>混凝土地坪(面层 250m2 )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公用</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2410"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水</w:t>
                  </w:r>
                </w:p>
              </w:tc>
              <w:tc>
                <w:tcPr>
                  <w:tcW w:w="2846" w:type="dxa"/>
                </w:tcPr>
                <w:p>
                  <w:pPr>
                    <w:rPr>
                      <w:rFonts w:ascii="Times New Roman" w:hAnsi="Times New Roman" w:cs="Times New Roman"/>
                      <w:color w:val="000000"/>
                      <w:szCs w:val="21"/>
                    </w:rPr>
                  </w:pPr>
                  <w:r>
                    <w:rPr>
                      <w:rFonts w:hint="eastAsia"/>
                    </w:rPr>
                    <w:t>3149.22</w:t>
                  </w:r>
                  <w:r>
                    <w:t xml:space="preserve">m³/a </w:t>
                  </w:r>
                </w:p>
              </w:tc>
              <w:tc>
                <w:tcPr>
                  <w:tcW w:w="3092" w:type="dxa"/>
                </w:tcPr>
                <w:p>
                  <w:pPr>
                    <w:rPr>
                      <w:rFonts w:ascii="Times New Roman" w:hAnsi="Times New Roman" w:cs="Times New Roman"/>
                      <w:color w:val="000000"/>
                      <w:sz w:val="18"/>
                      <w:szCs w:val="18"/>
                    </w:rPr>
                  </w:pPr>
                  <w:r>
                    <w:t>荔波县市政供水管网引入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电</w:t>
                  </w:r>
                </w:p>
              </w:tc>
              <w:tc>
                <w:tcPr>
                  <w:tcW w:w="2846" w:type="dxa"/>
                </w:tcPr>
                <w:p>
                  <w:pPr>
                    <w:rPr>
                      <w:rFonts w:ascii="Times New Roman" w:hAnsi="Times New Roman" w:cs="Times New Roman"/>
                      <w:color w:val="000000"/>
                      <w:szCs w:val="21"/>
                    </w:rPr>
                  </w:pPr>
                  <w:r>
                    <w:t xml:space="preserve">年耗电量约 </w:t>
                  </w:r>
                  <w:r>
                    <w:rPr>
                      <w:rFonts w:hint="eastAsia"/>
                    </w:rPr>
                    <w:t>213400</w:t>
                  </w:r>
                  <w:r>
                    <w:t xml:space="preserve">kw·h </w:t>
                  </w:r>
                </w:p>
              </w:tc>
              <w:tc>
                <w:tcPr>
                  <w:tcW w:w="3092" w:type="dxa"/>
                </w:tcPr>
                <w:p>
                  <w:pPr>
                    <w:rPr>
                      <w:rFonts w:ascii="Times New Roman" w:hAnsi="Times New Roman" w:cs="Times New Roman"/>
                      <w:color w:val="000000"/>
                      <w:sz w:val="18"/>
                      <w:szCs w:val="18"/>
                    </w:rPr>
                  </w:pPr>
                  <w:r>
                    <w:t>荔波县市政电网引入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消防沙地</w:t>
                  </w:r>
                </w:p>
              </w:tc>
              <w:tc>
                <w:tcPr>
                  <w:tcW w:w="2846" w:type="dxa"/>
                </w:tcPr>
                <w:p>
                  <w:r>
                    <w:rPr>
                      <w:rFonts w:hint="eastAsia"/>
                    </w:rPr>
                    <w:t>1个，</w:t>
                  </w:r>
                  <w:r>
                    <w:t>2m</w:t>
                  </w:r>
                  <w:r>
                    <w:rPr>
                      <w:vertAlign w:val="superscript"/>
                    </w:rPr>
                    <w:t>3</w:t>
                  </w:r>
                </w:p>
              </w:tc>
              <w:tc>
                <w:tcPr>
                  <w:tcW w:w="3092" w:type="dxa"/>
                </w:tcPr>
                <w:p>
                  <w:r>
                    <w:t>占地 2m</w:t>
                  </w:r>
                  <w:r>
                    <w:rPr>
                      <w:vertAlign w:val="superscript"/>
                    </w:rPr>
                    <w:t>2</w:t>
                  </w:r>
                  <w:r>
                    <w:t>，高 1m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环保</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2410" w:type="dxa"/>
                </w:tcPr>
                <w:p>
                  <w:pPr>
                    <w:jc w:val="center"/>
                    <w:rPr>
                      <w:rFonts w:ascii="Times New Roman" w:hAnsi="Times New Roman" w:cs="Times New Roman"/>
                      <w:color w:val="00B050"/>
                      <w:szCs w:val="21"/>
                    </w:rPr>
                  </w:pPr>
                  <w:r>
                    <w:t>隔油池</w:t>
                  </w:r>
                </w:p>
              </w:tc>
              <w:tc>
                <w:tcPr>
                  <w:tcW w:w="2846" w:type="dxa"/>
                </w:tcPr>
                <w:p>
                  <w:pPr>
                    <w:rPr>
                      <w:rFonts w:ascii="Times New Roman" w:hAnsi="Times New Roman" w:cs="Times New Roman"/>
                      <w:color w:val="00B050"/>
                      <w:szCs w:val="21"/>
                    </w:rPr>
                  </w:pPr>
                  <w:r>
                    <w:t>1 个，1m</w:t>
                  </w:r>
                  <w:r>
                    <w:rPr>
                      <w:vertAlign w:val="superscript"/>
                    </w:rPr>
                    <w:t>3</w:t>
                  </w:r>
                </w:p>
              </w:tc>
              <w:tc>
                <w:tcPr>
                  <w:tcW w:w="3092" w:type="dxa"/>
                </w:tcPr>
                <w:p>
                  <w:pPr>
                    <w:rPr>
                      <w:rFonts w:ascii="Times New Roman" w:hAnsi="Times New Roman" w:cs="Times New Roman"/>
                      <w:color w:val="00B050"/>
                      <w:szCs w:val="21"/>
                    </w:rPr>
                  </w:pPr>
                  <w:r>
                    <w:t>地埋式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B050"/>
                      <w:szCs w:val="21"/>
                    </w:rPr>
                  </w:pPr>
                  <w:r>
                    <w:t>三级化粪池</w:t>
                  </w:r>
                </w:p>
              </w:tc>
              <w:tc>
                <w:tcPr>
                  <w:tcW w:w="2846" w:type="dxa"/>
                </w:tcPr>
                <w:p>
                  <w:pPr>
                    <w:rPr>
                      <w:rFonts w:ascii="Times New Roman" w:hAnsi="Times New Roman" w:cs="Times New Roman"/>
                      <w:color w:val="00B050"/>
                      <w:szCs w:val="21"/>
                    </w:rPr>
                  </w:pPr>
                  <w:r>
                    <w:t>1 个，5m³</w:t>
                  </w:r>
                </w:p>
              </w:tc>
              <w:tc>
                <w:tcPr>
                  <w:tcW w:w="3092" w:type="dxa"/>
                </w:tcPr>
                <w:p>
                  <w:pPr>
                    <w:rPr>
                      <w:rFonts w:ascii="Times New Roman" w:hAnsi="Times New Roman" w:cs="Times New Roman"/>
                      <w:color w:val="00B050"/>
                      <w:szCs w:val="21"/>
                    </w:rPr>
                  </w:pPr>
                  <w:r>
                    <w:t>地埋式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B050"/>
                      <w:szCs w:val="21"/>
                    </w:rPr>
                  </w:pPr>
                  <w:r>
                    <w:rPr>
                      <w:rFonts w:hint="eastAsia"/>
                    </w:rPr>
                    <w:t>危废</w:t>
                  </w:r>
                  <w:r>
                    <w:t>暂存间</w:t>
                  </w:r>
                </w:p>
              </w:tc>
              <w:tc>
                <w:tcPr>
                  <w:tcW w:w="2846" w:type="dxa"/>
                </w:tcPr>
                <w:p>
                  <w:pPr>
                    <w:rPr>
                      <w:rFonts w:ascii="Times New Roman" w:hAnsi="Times New Roman" w:cs="Times New Roman"/>
                      <w:color w:val="00B050"/>
                      <w:szCs w:val="21"/>
                    </w:rPr>
                  </w:pPr>
                  <w:r>
                    <w:t>1 个，20m³</w:t>
                  </w:r>
                </w:p>
              </w:tc>
              <w:tc>
                <w:tcPr>
                  <w:tcW w:w="3092"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vAlign w:val="center"/>
                </w:tcPr>
                <w:p>
                  <w:pPr>
                    <w:jc w:val="center"/>
                    <w:rPr>
                      <w:rFonts w:ascii="Times New Roman" w:hAnsi="Times New Roman" w:cs="Times New Roman"/>
                      <w:color w:val="00B050"/>
                      <w:szCs w:val="21"/>
                    </w:rPr>
                  </w:pPr>
                  <w:r>
                    <w:t>油气回收系统</w:t>
                  </w:r>
                </w:p>
              </w:tc>
              <w:tc>
                <w:tcPr>
                  <w:tcW w:w="2846" w:type="dxa"/>
                </w:tcPr>
                <w:p>
                  <w:pPr>
                    <w:rPr>
                      <w:rFonts w:ascii="Times New Roman" w:hAnsi="Times New Roman" w:cs="Times New Roman"/>
                      <w:color w:val="00B050"/>
                      <w:szCs w:val="21"/>
                    </w:rPr>
                  </w:pPr>
                  <w:r>
                    <w:t>卸油油气回收系统(即一次油 气回收)、加油油气回收系统 (即二次油气回收)</w:t>
                  </w:r>
                </w:p>
              </w:tc>
              <w:tc>
                <w:tcPr>
                  <w:tcW w:w="3092" w:type="dxa"/>
                </w:tcPr>
                <w:p/>
                <w:p>
                  <w:pPr>
                    <w:rPr>
                      <w:rFonts w:ascii="Times New Roman" w:hAnsi="Times New Roman" w:cs="Times New Roman"/>
                      <w:color w:val="00B050"/>
                      <w:szCs w:val="21"/>
                    </w:rPr>
                  </w:pPr>
                  <w:r>
                    <w:t>油罐、加油机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709"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景观工程</w:t>
                  </w:r>
                </w:p>
              </w:tc>
              <w:tc>
                <w:tcPr>
                  <w:tcW w:w="2410" w:type="dxa"/>
                </w:tcPr>
                <w:p>
                  <w:pPr>
                    <w:ind w:firstLine="630" w:firstLineChars="300"/>
                    <w:rPr>
                      <w:rFonts w:ascii="Times New Roman" w:hAnsi="Times New Roman" w:cs="Times New Roman"/>
                      <w:szCs w:val="21"/>
                    </w:rPr>
                  </w:pPr>
                </w:p>
                <w:p>
                  <w:pPr>
                    <w:ind w:firstLine="630" w:firstLineChars="300"/>
                    <w:rPr>
                      <w:rFonts w:ascii="Times New Roman" w:hAnsi="Times New Roman" w:cs="Times New Roman"/>
                      <w:szCs w:val="21"/>
                    </w:rPr>
                  </w:pPr>
                  <w:r>
                    <w:rPr>
                      <w:rFonts w:hint="eastAsia" w:ascii="Times New Roman" w:hAnsi="Times New Roman" w:cs="Times New Roman"/>
                      <w:szCs w:val="21"/>
                    </w:rPr>
                    <w:t>绿化</w:t>
                  </w:r>
                </w:p>
              </w:tc>
              <w:tc>
                <w:tcPr>
                  <w:tcW w:w="2846" w:type="dxa"/>
                </w:tcPr>
                <w:p>
                  <w:pPr>
                    <w:rPr>
                      <w:rFonts w:ascii="Times New Roman" w:hAnsi="Times New Roman" w:cs="Times New Roman"/>
                      <w:color w:val="00B050"/>
                      <w:szCs w:val="21"/>
                    </w:rPr>
                  </w:pPr>
                  <w:r>
                    <w:t xml:space="preserve">绿化面积 </w:t>
                  </w:r>
                  <w:r>
                    <w:rPr>
                      <w:rFonts w:hint="eastAsia"/>
                    </w:rPr>
                    <w:t>1440</w:t>
                  </w:r>
                  <w:r>
                    <w:t>m</w:t>
                  </w:r>
                  <w:r>
                    <w:rPr>
                      <w:vertAlign w:val="superscript"/>
                    </w:rPr>
                    <w:t>2</w:t>
                  </w:r>
                </w:p>
              </w:tc>
              <w:tc>
                <w:tcPr>
                  <w:tcW w:w="3092" w:type="dxa"/>
                </w:tcPr>
                <w:p>
                  <w:pPr>
                    <w:rPr>
                      <w:rFonts w:ascii="Times New Roman" w:hAnsi="Times New Roman" w:cs="Times New Roman"/>
                      <w:color w:val="00B050"/>
                      <w:szCs w:val="21"/>
                    </w:rPr>
                  </w:pPr>
                  <w:r>
                    <w:t xml:space="preserve">绿化率 </w:t>
                  </w:r>
                  <w:r>
                    <w:rPr>
                      <w:rFonts w:hint="eastAsia"/>
                    </w:rPr>
                    <w:t>21.6</w:t>
                  </w:r>
                  <w:r>
                    <w:t>%</w:t>
                  </w:r>
                </w:p>
              </w:tc>
            </w:tr>
          </w:tbl>
          <w:p>
            <w:pPr>
              <w:ind w:firstLine="482" w:firstLineChars="200"/>
              <w:jc w:val="center"/>
              <w:rPr>
                <w:rFonts w:ascii="Times New Roman" w:hAnsi="Times New Roman" w:cs="Times New Roman"/>
                <w:b/>
                <w:color w:val="000000"/>
                <w:sz w:val="24"/>
              </w:rPr>
            </w:pPr>
          </w:p>
          <w:p>
            <w:pPr>
              <w:spacing w:line="440" w:lineRule="exact"/>
              <w:rPr>
                <w:rFonts w:ascii="Times New Roman" w:hAnsi="Times New Roman" w:cs="Times New Roman"/>
                <w:b/>
                <w:sz w:val="28"/>
                <w:szCs w:val="28"/>
              </w:rPr>
            </w:pPr>
            <w:r>
              <w:rPr>
                <w:rFonts w:ascii="Times New Roman" w:hAnsi="Times New Roman" w:cs="Times New Roman"/>
                <w:b/>
                <w:sz w:val="28"/>
                <w:szCs w:val="28"/>
              </w:rPr>
              <w:t>1.7 项目主要设备</w:t>
            </w:r>
          </w:p>
          <w:p>
            <w:pPr>
              <w:spacing w:line="360" w:lineRule="auto"/>
              <w:ind w:firstLine="482" w:firstLineChars="200"/>
              <w:jc w:val="center"/>
              <w:rPr>
                <w:rFonts w:ascii="Times New Roman" w:hAnsi="Times New Roman" w:cs="Times New Roman"/>
                <w:b/>
                <w:bCs/>
                <w:sz w:val="24"/>
              </w:rPr>
            </w:pPr>
            <w:r>
              <w:rPr>
                <w:rFonts w:ascii="Times New Roman" w:hAnsi="Times New Roman" w:cs="Times New Roman"/>
                <w:b/>
                <w:bCs/>
                <w:sz w:val="24"/>
              </w:rPr>
              <w:t>表1-2  主要设备一览表</w:t>
            </w:r>
          </w:p>
          <w:tbl>
            <w:tblPr>
              <w:tblStyle w:val="15"/>
              <w:tblW w:w="866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7"/>
              <w:gridCol w:w="3129"/>
              <w:gridCol w:w="2694"/>
              <w:gridCol w:w="21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序号</w:t>
                  </w:r>
                </w:p>
              </w:tc>
              <w:tc>
                <w:tcPr>
                  <w:tcW w:w="3129" w:type="dxa"/>
                  <w:tcBorders>
                    <w:tl2br w:val="nil"/>
                    <w:tr2bl w:val="nil"/>
                  </w:tcBorders>
                  <w:vAlign w:val="center"/>
                </w:tcPr>
                <w:p>
                  <w:pPr>
                    <w:adjustRightInd w:val="0"/>
                    <w:snapToGrid w:val="0"/>
                    <w:jc w:val="center"/>
                    <w:rPr>
                      <w:rFonts w:ascii="Times New Roman" w:hAnsi="Times New Roman" w:cs="Times New Roman"/>
                      <w:b/>
                      <w:bCs/>
                      <w:szCs w:val="21"/>
                    </w:rPr>
                  </w:pPr>
                  <w:r>
                    <w:rPr>
                      <w:rFonts w:hint="eastAsia" w:ascii="Times New Roman" w:hAnsi="Times New Roman" w:cs="Times New Roman"/>
                      <w:b/>
                      <w:bCs/>
                      <w:szCs w:val="21"/>
                    </w:rPr>
                    <w:t>设备</w:t>
                  </w:r>
                  <w:r>
                    <w:rPr>
                      <w:rFonts w:ascii="Times New Roman" w:hAnsi="Times New Roman" w:cs="Times New Roman"/>
                      <w:b/>
                      <w:bCs/>
                      <w:szCs w:val="21"/>
                    </w:rPr>
                    <w:t>名称</w:t>
                  </w:r>
                </w:p>
              </w:tc>
              <w:tc>
                <w:tcPr>
                  <w:tcW w:w="2694"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规格型号</w:t>
                  </w:r>
                </w:p>
              </w:tc>
              <w:tc>
                <w:tcPr>
                  <w:tcW w:w="2194" w:type="dxa"/>
                  <w:tcBorders>
                    <w:bottom w:val="single" w:color="auto" w:sz="4" w:space="0"/>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地埋柴油储油罐</w:t>
                  </w:r>
                </w:p>
              </w:tc>
              <w:tc>
                <w:tcPr>
                  <w:tcW w:w="2694" w:type="dxa"/>
                  <w:tcBorders>
                    <w:bottom w:val="single" w:color="auto" w:sz="4" w:space="0"/>
                    <w:tl2br w:val="nil"/>
                    <w:tr2bl w:val="nil"/>
                  </w:tcBorders>
                  <w:vAlign w:val="center"/>
                </w:tcPr>
                <w:p>
                  <w:pPr>
                    <w:adjustRightInd w:val="0"/>
                    <w:snapToGrid w:val="0"/>
                    <w:jc w:val="center"/>
                    <w:rPr>
                      <w:rFonts w:ascii="宋体" w:hAnsi="宋体" w:eastAsia="宋体" w:cs="宋体"/>
                      <w:szCs w:val="21"/>
                    </w:rPr>
                  </w:pPr>
                  <w:r>
                    <w:rPr>
                      <w:rFonts w:hint="eastAsia" w:ascii="Times New Roman" w:hAnsi="Times New Roman" w:cs="Times New Roman"/>
                      <w:szCs w:val="21"/>
                    </w:rPr>
                    <w:t>SF双层罐，40m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地埋汽油储油罐</w:t>
                  </w:r>
                </w:p>
              </w:tc>
              <w:tc>
                <w:tcPr>
                  <w:tcW w:w="2694" w:type="dxa"/>
                  <w:tcBorders>
                    <w:top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SF双层罐，30m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ind w:firstLine="840" w:firstLineChars="400"/>
                    <w:rPr>
                      <w:rFonts w:ascii="Times New Roman" w:hAnsi="Times New Roman" w:cs="Times New Roman"/>
                      <w:szCs w:val="21"/>
                    </w:rPr>
                  </w:pPr>
                  <w:r>
                    <w:rPr>
                      <w:rFonts w:hint="eastAsia" w:ascii="Times New Roman" w:hAnsi="Times New Roman" w:cs="Times New Roman"/>
                      <w:szCs w:val="21"/>
                    </w:rPr>
                    <w:t>1座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地埋汽油储油罐</w:t>
                  </w:r>
                </w:p>
              </w:tc>
              <w:tc>
                <w:tcPr>
                  <w:tcW w:w="2694" w:type="dxa"/>
                  <w:tcBorders>
                    <w:top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SF双层罐，</w:t>
                  </w:r>
                  <w:r>
                    <w:rPr>
                      <w:rFonts w:ascii="Times New Roman" w:hAnsi="Times New Roman" w:cs="Times New Roman"/>
                      <w:szCs w:val="21"/>
                    </w:rPr>
                    <w:t>50</w:t>
                  </w:r>
                  <w:r>
                    <w:rPr>
                      <w:rFonts w:hint="eastAsia" w:ascii="Times New Roman" w:hAnsi="Times New Roman" w:cs="Times New Roman"/>
                      <w:szCs w:val="21"/>
                    </w:rPr>
                    <w:t xml:space="preserve"> 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8"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4</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加油机</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潜泵工艺</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4 机 16 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5</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油气回收系统</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一次、二次</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各一套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w:t>
                  </w:r>
                </w:p>
              </w:tc>
              <w:tc>
                <w:tcPr>
                  <w:tcW w:w="3129" w:type="dxa"/>
                  <w:tcBorders>
                    <w:tl2br w:val="nil"/>
                    <w:tr2bl w:val="nil"/>
                  </w:tcBorders>
                  <w:vAlign w:val="center"/>
                </w:tcPr>
                <w:p>
                  <w:pPr>
                    <w:adjustRightInd w:val="0"/>
                    <w:snapToGrid w:val="0"/>
                    <w:ind w:firstLine="840" w:firstLineChars="400"/>
                    <w:rPr>
                      <w:rFonts w:ascii="Times New Roman" w:hAnsi="Times New Roman" w:cs="Times New Roman"/>
                      <w:szCs w:val="21"/>
                    </w:rPr>
                  </w:pPr>
                  <w:r>
                    <w:t>消防沙池</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2m</w:t>
                  </w:r>
                  <w:r>
                    <w:rPr>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6"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7</w:t>
                  </w:r>
                </w:p>
              </w:tc>
              <w:tc>
                <w:tcPr>
                  <w:tcW w:w="3129" w:type="dxa"/>
                  <w:vMerge w:val="restart"/>
                  <w:tcBorders>
                    <w:tl2br w:val="nil"/>
                    <w:tr2bl w:val="nil"/>
                  </w:tcBorders>
                  <w:vAlign w:val="center"/>
                </w:tcPr>
                <w:p>
                  <w:pPr>
                    <w:adjustRightInd w:val="0"/>
                    <w:snapToGrid w:val="0"/>
                    <w:jc w:val="center"/>
                    <w:rPr>
                      <w:kern w:val="0"/>
                    </w:rPr>
                  </w:pPr>
                  <w:r>
                    <w:t>干粉灭火器</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手提(4kg)</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12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5"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8</w:t>
                  </w:r>
                </w:p>
              </w:tc>
              <w:tc>
                <w:tcPr>
                  <w:tcW w:w="3129" w:type="dxa"/>
                  <w:vMerge w:val="continue"/>
                  <w:tcBorders>
                    <w:tl2br w:val="nil"/>
                    <w:tr2bl w:val="nil"/>
                  </w:tcBorders>
                  <w:vAlign w:val="center"/>
                </w:tcPr>
                <w:p>
                  <w:pPr>
                    <w:adjustRightInd w:val="0"/>
                    <w:snapToGrid w:val="0"/>
                    <w:jc w:val="center"/>
                  </w:pP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推车(35kg)</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2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9</w:t>
                  </w:r>
                </w:p>
              </w:tc>
              <w:tc>
                <w:tcPr>
                  <w:tcW w:w="3129" w:type="dxa"/>
                  <w:tcBorders>
                    <w:tl2br w:val="nil"/>
                    <w:tr2bl w:val="nil"/>
                  </w:tcBorders>
                  <w:vAlign w:val="center"/>
                </w:tcPr>
                <w:p>
                  <w:pPr>
                    <w:adjustRightInd w:val="0"/>
                    <w:snapToGrid w:val="0"/>
                    <w:jc w:val="center"/>
                    <w:rPr>
                      <w:kern w:val="0"/>
                    </w:rPr>
                  </w:pPr>
                  <w:r>
                    <w:t>灭火毯</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6 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10</w:t>
                  </w:r>
                </w:p>
              </w:tc>
              <w:tc>
                <w:tcPr>
                  <w:tcW w:w="3129" w:type="dxa"/>
                  <w:tcBorders>
                    <w:tl2br w:val="nil"/>
                    <w:tr2bl w:val="nil"/>
                  </w:tcBorders>
                  <w:vAlign w:val="center"/>
                </w:tcPr>
                <w:p>
                  <w:pPr>
                    <w:adjustRightInd w:val="0"/>
                    <w:snapToGrid w:val="0"/>
                    <w:jc w:val="center"/>
                    <w:rPr>
                      <w:kern w:val="0"/>
                    </w:rPr>
                  </w:pPr>
                  <w:r>
                    <w:t>柴油发电机</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XG-500GF</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 台</w:t>
                  </w:r>
                </w:p>
              </w:tc>
            </w:tr>
          </w:tbl>
          <w:p>
            <w:pPr>
              <w:tabs>
                <w:tab w:val="left" w:leader="dot" w:pos="0"/>
              </w:tabs>
              <w:spacing w:line="360" w:lineRule="auto"/>
              <w:rPr>
                <w:rFonts w:ascii="Times New Roman" w:hAnsi="Times New Roman" w:cs="Times New Roman"/>
                <w:b/>
                <w:sz w:val="28"/>
                <w:szCs w:val="28"/>
              </w:rPr>
            </w:pPr>
            <w:r>
              <w:rPr>
                <w:rFonts w:hint="eastAsia" w:ascii="Times New Roman" w:hAnsi="Times New Roman" w:cs="Times New Roman"/>
                <w:b/>
                <w:sz w:val="28"/>
                <w:szCs w:val="28"/>
              </w:rPr>
              <w:t>1</w:t>
            </w:r>
            <w:r>
              <w:rPr>
                <w:rFonts w:ascii="Times New Roman" w:hAnsi="Times New Roman" w:cs="Times New Roman"/>
                <w:b/>
                <w:sz w:val="28"/>
                <w:szCs w:val="28"/>
              </w:rPr>
              <w:t>.8 主要原辅材料</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本项目主要从事机动车燃料的零售，包括柴油和汽油，</w:t>
            </w:r>
            <w:r>
              <w:rPr>
                <w:sz w:val="24"/>
              </w:rPr>
              <w:t>是从中海油贵州销售有限公司（湖南）经专用油罐车公路运输运至本站。</w:t>
            </w:r>
            <w:r>
              <w:rPr>
                <w:rFonts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本项目主要原辅材料详见表1-3。</w:t>
            </w:r>
          </w:p>
          <w:p>
            <w:pPr>
              <w:widowControl/>
              <w:spacing w:line="460" w:lineRule="exact"/>
              <w:jc w:val="center"/>
              <w:rPr>
                <w:rFonts w:ascii="Times New Roman" w:hAnsi="Times New Roman" w:cs="Times New Roman"/>
                <w:sz w:val="24"/>
              </w:rPr>
            </w:pPr>
            <w:r>
              <w:rPr>
                <w:rFonts w:ascii="Times New Roman" w:hAnsi="Times New Roman" w:cs="Times New Roman"/>
                <w:b/>
                <w:kern w:val="0"/>
                <w:sz w:val="24"/>
              </w:rPr>
              <w:t>表1-3  本项目原辅材料及能源消耗一览表</w:t>
            </w:r>
          </w:p>
          <w:tbl>
            <w:tblPr>
              <w:tblStyle w:val="15"/>
              <w:tblW w:w="855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10"/>
              <w:gridCol w:w="868"/>
              <w:gridCol w:w="1034"/>
              <w:gridCol w:w="1140"/>
              <w:gridCol w:w="1659"/>
              <w:gridCol w:w="1471"/>
              <w:gridCol w:w="1110"/>
              <w:gridCol w:w="66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86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危险化学品序号</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规格</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最大储存量</w:t>
                  </w:r>
                  <w:r>
                    <w:rPr>
                      <w:rFonts w:hint="eastAsia" w:ascii="Times New Roman" w:hAnsi="Times New Roman" w:cs="Times New Roman"/>
                      <w:szCs w:val="21"/>
                    </w:rPr>
                    <w:t>（m</w:t>
                  </w:r>
                  <w:r>
                    <w:rPr>
                      <w:rFonts w:hint="eastAsia" w:ascii="Times New Roman" w:hAnsi="Times New Roman" w:cs="Times New Roman"/>
                      <w:szCs w:val="21"/>
                      <w:vertAlign w:val="superscript"/>
                    </w:rPr>
                    <w:t>3</w:t>
                  </w:r>
                  <w:r>
                    <w:rPr>
                      <w:rFonts w:hint="eastAsia" w:ascii="Times New Roman" w:hAnsi="Times New Roman" w:cs="Times New Roman"/>
                      <w:szCs w:val="21"/>
                    </w:rPr>
                    <w:t>）</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储存方式</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运输方式</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868" w:type="dxa"/>
                  <w:tcBorders>
                    <w:tl2br w:val="nil"/>
                    <w:tr2bl w:val="nil"/>
                  </w:tcBorders>
                  <w:vAlign w:val="center"/>
                </w:tcPr>
                <w:p>
                  <w:pPr>
                    <w:adjustRightInd w:val="0"/>
                    <w:snapToGrid w:val="0"/>
                    <w:jc w:val="center"/>
                    <w:rPr>
                      <w:rFonts w:ascii="Times New Roman" w:hAnsi="Times New Roman" w:cs="Times New Roman"/>
                      <w:color w:val="FF0000"/>
                      <w:szCs w:val="21"/>
                    </w:rPr>
                  </w:pPr>
                  <w:r>
                    <w:rPr>
                      <w:rFonts w:ascii="Times New Roman" w:hAnsi="Times New Roman" w:cs="Times New Roman"/>
                      <w:color w:val="FF0000"/>
                      <w:szCs w:val="21"/>
                    </w:rPr>
                    <w:t>1674</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柴油</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30</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SF双层地埋储油罐</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柴油槽车</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868" w:type="dxa"/>
                  <w:tcBorders>
                    <w:tl2br w:val="nil"/>
                    <w:tr2bl w:val="nil"/>
                  </w:tcBorders>
                  <w:vAlign w:val="center"/>
                </w:tcPr>
                <w:p>
                  <w:pPr>
                    <w:adjustRightInd w:val="0"/>
                    <w:snapToGrid w:val="0"/>
                    <w:jc w:val="center"/>
                    <w:rPr>
                      <w:rFonts w:ascii="Times New Roman" w:hAnsi="Times New Roman" w:cs="Times New Roman"/>
                      <w:color w:val="FF0000"/>
                      <w:szCs w:val="21"/>
                    </w:rPr>
                  </w:pPr>
                  <w:r>
                    <w:rPr>
                      <w:rFonts w:ascii="Times New Roman" w:hAnsi="Times New Roman" w:cs="Times New Roman"/>
                      <w:color w:val="FF0000"/>
                      <w:szCs w:val="21"/>
                    </w:rPr>
                    <w:t>1630</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汽油</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120</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SF双层地埋储油罐</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汽油槽车</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bl>
          <w:p>
            <w:pPr>
              <w:snapToGrid w:val="0"/>
              <w:spacing w:line="360" w:lineRule="auto"/>
              <w:rPr>
                <w:rFonts w:ascii="Times New Roman" w:hAnsi="Times New Roman" w:cs="Times New Roman"/>
                <w:b/>
                <w:sz w:val="28"/>
                <w:szCs w:val="28"/>
              </w:rPr>
            </w:pPr>
            <w:r>
              <w:rPr>
                <w:rFonts w:ascii="Times New Roman" w:hAnsi="Times New Roman" w:cs="Times New Roman"/>
                <w:b/>
                <w:sz w:val="28"/>
                <w:szCs w:val="28"/>
              </w:rPr>
              <w:t>1.9 公用工程</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（1）供水</w:t>
            </w:r>
          </w:p>
          <w:p>
            <w:pPr>
              <w:tabs>
                <w:tab w:val="left" w:pos="1350"/>
              </w:tabs>
              <w:spacing w:line="360" w:lineRule="auto"/>
              <w:ind w:firstLine="480" w:firstLineChars="200"/>
              <w:rPr>
                <w:rFonts w:ascii="Times New Roman" w:hAnsi="Times New Roman" w:cs="Times New Roman"/>
                <w:sz w:val="24"/>
              </w:rPr>
            </w:pPr>
            <w:bookmarkStart w:id="9" w:name="_Toc479078401"/>
            <w:bookmarkStart w:id="10" w:name="_Toc478807402"/>
            <w:bookmarkStart w:id="11" w:name="_Toc478807683"/>
            <w:r>
              <w:rPr>
                <w:rFonts w:hint="eastAsia" w:ascii="Times New Roman" w:hAnsi="Times New Roman" w:cs="Times New Roman"/>
                <w:sz w:val="24"/>
              </w:rPr>
              <w:t>新</w:t>
            </w:r>
            <w:r>
              <w:rPr>
                <w:rFonts w:ascii="Times New Roman" w:hAnsi="Times New Roman" w:cs="Times New Roman"/>
                <w:sz w:val="24"/>
              </w:rPr>
              <w:t>建项目共有职工</w:t>
            </w:r>
            <w:r>
              <w:rPr>
                <w:rFonts w:hint="eastAsia" w:ascii="Times New Roman" w:hAnsi="Times New Roman" w:cs="Times New Roman"/>
                <w:sz w:val="24"/>
              </w:rPr>
              <w:t>11</w:t>
            </w:r>
            <w:r>
              <w:rPr>
                <w:rFonts w:ascii="Times New Roman" w:hAnsi="Times New Roman" w:cs="Times New Roman"/>
                <w:sz w:val="24"/>
              </w:rPr>
              <w:t>人，</w:t>
            </w:r>
            <w:r>
              <w:rPr>
                <w:rFonts w:hint="eastAsia" w:ascii="Times New Roman" w:hAnsi="Times New Roman" w:cs="Times New Roman"/>
                <w:sz w:val="24"/>
              </w:rPr>
              <w:t>生产用水和</w:t>
            </w:r>
            <w:r>
              <w:rPr>
                <w:rFonts w:ascii="Times New Roman" w:hAnsi="Times New Roman" w:cs="Times New Roman"/>
                <w:sz w:val="24"/>
              </w:rPr>
              <w:t>生活用水</w:t>
            </w:r>
            <w:r>
              <w:rPr>
                <w:rFonts w:hint="eastAsia" w:ascii="Times New Roman" w:hAnsi="Times New Roman" w:cs="Times New Roman"/>
                <w:sz w:val="24"/>
              </w:rPr>
              <w:t>由</w:t>
            </w:r>
            <w:r>
              <w:rPr>
                <w:sz w:val="24"/>
              </w:rPr>
              <w:t>贵州省黔南州</w:t>
            </w:r>
            <w:r>
              <w:rPr>
                <w:rFonts w:hint="eastAsia"/>
                <w:sz w:val="24"/>
              </w:rPr>
              <w:t>荔波县</w:t>
            </w:r>
            <w:r>
              <w:rPr>
                <w:sz w:val="24"/>
              </w:rPr>
              <w:t>市政供水管网供给</w:t>
            </w:r>
            <w:r>
              <w:rPr>
                <w:rFonts w:ascii="Times New Roman" w:hAnsi="Times New Roman" w:cs="Times New Roman"/>
                <w:sz w:val="24"/>
              </w:rPr>
              <w:t>，项目用水主要为生活用水、场地清洗水、绿化用水等。</w:t>
            </w:r>
          </w:p>
          <w:p>
            <w:pPr>
              <w:spacing w:line="360" w:lineRule="auto"/>
              <w:ind w:firstLine="480" w:firstLineChars="200"/>
              <w:outlineLvl w:val="0"/>
              <w:rPr>
                <w:rFonts w:ascii="Times New Roman" w:hAnsi="Times New Roman" w:cs="Times New Roman"/>
                <w:sz w:val="24"/>
              </w:rPr>
            </w:pPr>
            <w:r>
              <w:rPr>
                <w:rFonts w:ascii="Times New Roman" w:hAnsi="Times New Roman" w:cs="Times New Roman"/>
                <w:sz w:val="24"/>
              </w:rPr>
              <w:t>（2）排水</w:t>
            </w:r>
            <w:bookmarkEnd w:id="9"/>
            <w:bookmarkEnd w:id="10"/>
            <w:bookmarkEnd w:id="11"/>
          </w:p>
          <w:p>
            <w:pPr>
              <w:tabs>
                <w:tab w:val="left" w:pos="1350"/>
              </w:tabs>
              <w:spacing w:line="360" w:lineRule="auto"/>
              <w:ind w:firstLine="420" w:firstLineChars="200"/>
              <w:rPr>
                <w:rFonts w:ascii="Times New Roman" w:hAnsi="Times New Roman" w:cs="Times New Roman"/>
                <w:sz w:val="24"/>
              </w:rPr>
            </w:pPr>
            <w:r>
              <w:drawing>
                <wp:anchor distT="0" distB="0" distL="114300" distR="114300" simplePos="0" relativeHeight="251658240" behindDoc="0" locked="0" layoutInCell="1" allowOverlap="1">
                  <wp:simplePos x="0" y="0"/>
                  <wp:positionH relativeFrom="column">
                    <wp:posOffset>790575</wp:posOffset>
                  </wp:positionH>
                  <wp:positionV relativeFrom="paragraph">
                    <wp:posOffset>1956435</wp:posOffset>
                  </wp:positionV>
                  <wp:extent cx="4030980" cy="263652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rcRect l="46658" t="40515" r="16837" b="20123"/>
                          <a:stretch>
                            <a:fillRect/>
                          </a:stretch>
                        </pic:blipFill>
                        <pic:spPr>
                          <a:xfrm>
                            <a:off x="0" y="0"/>
                            <a:ext cx="4030980" cy="2636520"/>
                          </a:xfrm>
                          <a:prstGeom prst="rect">
                            <a:avLst/>
                          </a:prstGeom>
                          <a:ln>
                            <a:noFill/>
                          </a:ln>
                        </pic:spPr>
                      </pic:pic>
                    </a:graphicData>
                  </a:graphic>
                </wp:anchor>
              </w:drawing>
            </w:r>
            <w:r>
              <w:rPr>
                <w:sz w:val="24"/>
              </w:rPr>
              <w:t>项目采取雨污分流，屋面雨水经落水管流至地面，与地面雨水汇集到排雨水管沟(400mm*200mm，地面坡度为0.4%)，排出站外；项目废水场地冲洗水经隔油池预处理与其他生活</w:t>
            </w:r>
            <w:r>
              <w:rPr>
                <w:rFonts w:hint="eastAsia"/>
                <w:sz w:val="24"/>
              </w:rPr>
              <w:t>废水</w:t>
            </w:r>
            <w:r>
              <w:rPr>
                <w:sz w:val="24"/>
              </w:rPr>
              <w:t>一并</w:t>
            </w:r>
            <w:r>
              <w:rPr>
                <w:rFonts w:hint="eastAsia"/>
                <w:sz w:val="24"/>
              </w:rPr>
              <w:t>收集，</w:t>
            </w:r>
            <w:r>
              <w:rPr>
                <w:rFonts w:hint="eastAsia"/>
                <w:color w:val="auto"/>
                <w:sz w:val="24"/>
              </w:rPr>
              <w:t>达到一定量后联系相关污水处理单位送至相关场所处理，未在加油站区进行排放。</w:t>
            </w:r>
            <w:r>
              <w:rPr>
                <w:rFonts w:hint="eastAsia"/>
                <w:sz w:val="24"/>
              </w:rPr>
              <w:t>（环评要求：</w:t>
            </w:r>
            <w:r>
              <w:rPr>
                <w:sz w:val="24"/>
              </w:rPr>
              <w:t>项目废水场地冲洗水经隔油池预处理与其他生活</w:t>
            </w:r>
            <w:r>
              <w:rPr>
                <w:rFonts w:hint="eastAsia"/>
                <w:sz w:val="24"/>
              </w:rPr>
              <w:t>废水</w:t>
            </w:r>
            <w:r>
              <w:rPr>
                <w:sz w:val="24"/>
              </w:rPr>
              <w:t>一并进入三级生化池处理达《污水综合排放标准标准》(GB8978-1996) 中三级标准后，依托三都水族自治县三荔高速三洞服务</w:t>
            </w:r>
            <w:r>
              <w:rPr>
                <w:rFonts w:hint="eastAsia"/>
                <w:sz w:val="24"/>
              </w:rPr>
              <w:t>西</w:t>
            </w:r>
            <w:r>
              <w:rPr>
                <w:sz w:val="24"/>
              </w:rPr>
              <w:t>区污水处理站处理达到 《城镇污水处理厂污染物排放标准》(GB18918-2002)一级B标准后，回用于绿化或农灌，不外排</w:t>
            </w:r>
            <w:r>
              <w:rPr>
                <w:rFonts w:hint="eastAsia"/>
                <w:sz w:val="24"/>
              </w:rPr>
              <w:t>）</w:t>
            </w:r>
            <w:r>
              <w:rPr>
                <w:rFonts w:hint="eastAsia" w:ascii="Times New Roman" w:hAnsi="Times New Roman" w:cs="Times New Roman"/>
                <w:sz w:val="24"/>
              </w:rPr>
              <w:t>。</w:t>
            </w:r>
            <w:r>
              <w:rPr>
                <w:rFonts w:ascii="Times New Roman" w:hAnsi="Times New Roman" w:cs="Times New Roman"/>
                <w:sz w:val="24"/>
              </w:rPr>
              <w:t>详情水平衡图见图1-2。</w:t>
            </w:r>
          </w:p>
          <w:p>
            <w:pPr>
              <w:tabs>
                <w:tab w:val="left" w:pos="1350"/>
              </w:tabs>
              <w:spacing w:line="360" w:lineRule="auto"/>
              <w:ind w:firstLine="480" w:firstLineChars="200"/>
              <w:rPr>
                <w:rFonts w:ascii="Times New Roman" w:hAnsi="Times New Roman" w:cs="Times New Roman"/>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hint="eastAsia" w:ascii="宋体" w:hAnsi="宋体" w:eastAsia="宋体" w:cs="宋体"/>
                <w:kern w:val="0"/>
                <w:sz w:val="24"/>
              </w:rPr>
            </w:pPr>
          </w:p>
          <w:p>
            <w:pPr>
              <w:adjustRightInd w:val="0"/>
              <w:snapToGrid w:val="0"/>
              <w:ind w:firstLine="3132" w:firstLineChars="1300"/>
              <w:rPr>
                <w:rFonts w:ascii="Times New Roman" w:hAnsi="Times New Roman" w:cs="Times New Roman"/>
                <w:b/>
                <w:bCs/>
                <w:sz w:val="24"/>
              </w:rPr>
            </w:pPr>
            <w:r>
              <w:rPr>
                <w:rFonts w:ascii="Times New Roman" w:hAnsi="Times New Roman" w:cs="Times New Roman"/>
                <w:b/>
                <w:bCs/>
                <w:sz w:val="24"/>
              </w:rPr>
              <w:t>图1-2 项目水平衡图</w:t>
            </w:r>
            <w:r>
              <w:rPr>
                <w:rFonts w:hint="eastAsia" w:ascii="Times New Roman" w:hAnsi="Times New Roman" w:cs="Times New Roman"/>
                <w:b/>
                <w:bCs/>
                <w:sz w:val="24"/>
              </w:rPr>
              <w:t>（m</w:t>
            </w:r>
            <w:r>
              <w:rPr>
                <w:rFonts w:hint="eastAsia" w:ascii="Times New Roman" w:hAnsi="Times New Roman" w:cs="Times New Roman"/>
                <w:b/>
                <w:bCs/>
                <w:sz w:val="24"/>
                <w:vertAlign w:val="superscript"/>
              </w:rPr>
              <w:t>3</w:t>
            </w:r>
            <w:r>
              <w:rPr>
                <w:rFonts w:hint="eastAsia" w:ascii="Times New Roman" w:hAnsi="Times New Roman" w:cs="Times New Roman"/>
                <w:b/>
                <w:bCs/>
                <w:sz w:val="24"/>
              </w:rPr>
              <w:t>/d）</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（3）供电</w:t>
            </w:r>
          </w:p>
          <w:p>
            <w:pPr>
              <w:spacing w:line="360" w:lineRule="auto"/>
              <w:ind w:firstLine="560"/>
              <w:rPr>
                <w:rFonts w:ascii="Times New Roman" w:hAnsi="Times New Roman" w:cs="Times New Roman"/>
                <w:sz w:val="24"/>
              </w:rPr>
            </w:pPr>
            <w:r>
              <w:rPr>
                <w:rFonts w:hint="eastAsia" w:ascii="Times New Roman" w:hAnsi="Times New Roman" w:cs="Times New Roman"/>
                <w:sz w:val="24"/>
              </w:rPr>
              <w:t>本项目</w:t>
            </w:r>
            <w:r>
              <w:rPr>
                <w:sz w:val="24"/>
              </w:rPr>
              <w:t>由由荔波县市政供电电网引入。供电电源采用交流三相 380/220V。为确保工作电源故障时加油加气站仍能继续营业，由柴油发电机作为备用电源。</w:t>
            </w:r>
          </w:p>
          <w:p>
            <w:pPr>
              <w:pStyle w:val="3"/>
              <w:outlineLvl w:val="1"/>
              <w:rPr>
                <w:rFonts w:ascii="Times New Roman" w:hAnsi="Times New Roman" w:eastAsia="宋体"/>
              </w:rPr>
            </w:pPr>
            <w:r>
              <w:rPr>
                <w:rFonts w:ascii="Times New Roman" w:hAnsi="Times New Roman" w:eastAsia="宋体"/>
              </w:rPr>
              <w:t>1.10 生产制度及劳动定员</w:t>
            </w:r>
          </w:p>
          <w:p>
            <w:pPr>
              <w:pStyle w:val="3"/>
              <w:ind w:firstLine="480" w:firstLineChars="200"/>
              <w:outlineLvl w:val="1"/>
              <w:rPr>
                <w:rFonts w:ascii="Times New Roman" w:hAnsi="Times New Roman" w:eastAsia="宋体"/>
                <w:b w:val="0"/>
                <w:bCs/>
              </w:rPr>
            </w:pPr>
            <w:r>
              <w:rPr>
                <w:rFonts w:ascii="Times New Roman" w:hAnsi="Times New Roman"/>
                <w:b w:val="0"/>
                <w:bCs/>
                <w:sz w:val="24"/>
              </w:rPr>
              <w:t>本项目劳动定员</w:t>
            </w:r>
            <w:r>
              <w:rPr>
                <w:rFonts w:hint="eastAsia" w:ascii="Times New Roman" w:hAnsi="Times New Roman"/>
                <w:b w:val="0"/>
                <w:bCs/>
                <w:sz w:val="24"/>
              </w:rPr>
              <w:t>11</w:t>
            </w:r>
            <w:r>
              <w:rPr>
                <w:rFonts w:ascii="Times New Roman" w:hAnsi="Times New Roman"/>
                <w:b w:val="0"/>
                <w:bCs/>
                <w:sz w:val="24"/>
              </w:rPr>
              <w:t>人，采用三班</w:t>
            </w:r>
            <w:r>
              <w:rPr>
                <w:rFonts w:hint="eastAsia" w:ascii="Times New Roman" w:hAnsi="Times New Roman"/>
                <w:b w:val="0"/>
                <w:bCs/>
                <w:sz w:val="24"/>
              </w:rPr>
              <w:t>二运转工作</w:t>
            </w:r>
            <w:r>
              <w:rPr>
                <w:rFonts w:ascii="Times New Roman" w:hAnsi="Times New Roman"/>
                <w:b w:val="0"/>
                <w:bCs/>
                <w:sz w:val="24"/>
              </w:rPr>
              <w:t>制，每班</w:t>
            </w:r>
            <w:r>
              <w:rPr>
                <w:rFonts w:hint="eastAsia" w:ascii="Times New Roman" w:hAnsi="Times New Roman"/>
                <w:b w:val="0"/>
                <w:bCs/>
                <w:sz w:val="24"/>
              </w:rPr>
              <w:t>12</w:t>
            </w:r>
            <w:r>
              <w:rPr>
                <w:rFonts w:ascii="Times New Roman" w:hAnsi="Times New Roman"/>
                <w:b w:val="0"/>
                <w:bCs/>
                <w:sz w:val="24"/>
              </w:rPr>
              <w:t>小时，年工作365天。</w:t>
            </w:r>
          </w:p>
          <w:p>
            <w:pPr>
              <w:pStyle w:val="3"/>
              <w:outlineLvl w:val="1"/>
              <w:rPr>
                <w:rFonts w:ascii="Times New Roman" w:hAnsi="Times New Roman" w:eastAsia="宋体"/>
              </w:rPr>
            </w:pPr>
            <w:r>
              <w:rPr>
                <w:rFonts w:ascii="Times New Roman" w:hAnsi="Times New Roman" w:eastAsia="宋体"/>
              </w:rPr>
              <w:t>1.1</w:t>
            </w:r>
            <w:r>
              <w:rPr>
                <w:rFonts w:ascii="Times New Roman" w:hAnsi="Times New Roman"/>
              </w:rPr>
              <w:t>1</w:t>
            </w:r>
            <w:r>
              <w:rPr>
                <w:rFonts w:ascii="Times New Roman" w:hAnsi="Times New Roman" w:eastAsia="宋体"/>
              </w:rPr>
              <w:t xml:space="preserve"> 产业政策符合性分析</w:t>
            </w:r>
          </w:p>
          <w:p>
            <w:pPr>
              <w:autoSpaceDE w:val="0"/>
              <w:autoSpaceDN w:val="0"/>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建设项目属于机动车燃料零售新建项目，不属于《产业结构调整指导目录（201</w:t>
            </w:r>
            <w:r>
              <w:rPr>
                <w:rFonts w:hint="eastAsia" w:ascii="Times New Roman" w:hAnsi="Times New Roman" w:cs="Times New Roman"/>
                <w:sz w:val="24"/>
              </w:rPr>
              <w:t>9</w:t>
            </w:r>
            <w:r>
              <w:rPr>
                <w:rFonts w:ascii="Times New Roman" w:hAnsi="Times New Roman" w:cs="Times New Roman"/>
                <w:sz w:val="24"/>
              </w:rPr>
              <w:t>年本）》（</w:t>
            </w:r>
            <w:r>
              <w:rPr>
                <w:rFonts w:hint="eastAsia" w:ascii="Times New Roman" w:hAnsi="Times New Roman" w:cs="Times New Roman"/>
                <w:sz w:val="24"/>
              </w:rPr>
              <w:t>征求意见稿</w:t>
            </w:r>
            <w:r>
              <w:rPr>
                <w:rFonts w:ascii="Times New Roman" w:hAnsi="Times New Roman" w:cs="Times New Roman"/>
                <w:sz w:val="24"/>
              </w:rPr>
              <w:t>）中禁止和限制</w:t>
            </w:r>
            <w:r>
              <w:rPr>
                <w:rFonts w:hint="eastAsia" w:ascii="Times New Roman" w:hAnsi="Times New Roman" w:cs="Times New Roman"/>
                <w:sz w:val="24"/>
              </w:rPr>
              <w:t>类</w:t>
            </w:r>
            <w:r>
              <w:rPr>
                <w:rFonts w:ascii="Times New Roman" w:hAnsi="Times New Roman" w:cs="Times New Roman"/>
                <w:sz w:val="24"/>
              </w:rPr>
              <w:t>，</w:t>
            </w:r>
            <w:r>
              <w:rPr>
                <w:rFonts w:hint="eastAsia" w:ascii="Times New Roman" w:hAnsi="Times New Roman" w:cs="Times New Roman"/>
                <w:sz w:val="24"/>
              </w:rPr>
              <w:t>也</w:t>
            </w:r>
            <w:r>
              <w:rPr>
                <w:rFonts w:ascii="Times New Roman" w:hAnsi="Times New Roman" w:cs="Times New Roman"/>
                <w:sz w:val="24"/>
              </w:rPr>
              <w:t>不属于淘汰</w:t>
            </w:r>
            <w:r>
              <w:rPr>
                <w:rFonts w:hint="eastAsia" w:ascii="Times New Roman" w:hAnsi="Times New Roman" w:cs="Times New Roman"/>
                <w:sz w:val="24"/>
              </w:rPr>
              <w:t>类</w:t>
            </w:r>
            <w:r>
              <w:rPr>
                <w:rFonts w:ascii="Times New Roman" w:hAnsi="Times New Roman" w:cs="Times New Roman"/>
                <w:sz w:val="24"/>
              </w:rPr>
              <w:t>，</w:t>
            </w:r>
            <w:r>
              <w:rPr>
                <w:rFonts w:hint="eastAsia" w:ascii="Times New Roman" w:hAnsi="Times New Roman" w:cs="Times New Roman"/>
                <w:sz w:val="24"/>
              </w:rPr>
              <w:t>为允许类项目，</w:t>
            </w:r>
            <w:r>
              <w:rPr>
                <w:rFonts w:ascii="Times New Roman" w:hAnsi="Times New Roman" w:cs="Times New Roman"/>
                <w:sz w:val="24"/>
              </w:rPr>
              <w:t>符合</w:t>
            </w:r>
            <w:r>
              <w:rPr>
                <w:rFonts w:hint="eastAsia" w:ascii="Times New Roman" w:hAnsi="Times New Roman" w:cs="Times New Roman"/>
                <w:sz w:val="24"/>
              </w:rPr>
              <w:t>国家产业政策要求</w:t>
            </w:r>
            <w:r>
              <w:rPr>
                <w:rFonts w:ascii="Times New Roman" w:hAnsi="Times New Roman" w:cs="Times New Roman"/>
                <w:sz w:val="24"/>
              </w:rPr>
              <w:t>。</w:t>
            </w:r>
          </w:p>
          <w:p>
            <w:pPr>
              <w:kinsoku w:val="0"/>
              <w:overflowPunct w:val="0"/>
              <w:topLinePunct/>
              <w:autoSpaceDE w:val="0"/>
              <w:autoSpaceDN w:val="0"/>
              <w:spacing w:line="360" w:lineRule="auto"/>
              <w:jc w:val="left"/>
              <w:rPr>
                <w:rFonts w:ascii="Times New Roman" w:hAnsi="Times New Roman" w:cs="Times New Roman"/>
                <w:b/>
                <w:sz w:val="28"/>
                <w:szCs w:val="28"/>
              </w:rPr>
            </w:pPr>
            <w:r>
              <w:rPr>
                <w:rFonts w:ascii="Times New Roman" w:hAnsi="Times New Roman" w:cs="Times New Roman"/>
                <w:b/>
                <w:sz w:val="28"/>
                <w:szCs w:val="28"/>
              </w:rPr>
              <w:t>1.12 主要工艺流程及产污环节图</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（1）加油工艺</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本项目加油站设地下SF双层地埋储罐。其工艺流程为：</w:t>
            </w:r>
            <w:r>
              <w:rPr>
                <w:sz w:val="24"/>
              </w:rPr>
              <w:t>油类采用罐车运输至加油站，卸油过程是油泵将槽罐车内的油类注入地下卧式储油罐内，在此过程中停留在罐内的烃类气体被液体置换，大部分经进油口的油气回收装置从储油罐进入槽罐车，小部分通过呼吸口进入大气。加油过程是通过站内的双枪加油机把油类充入汽车的油箱内，达到给汽车加油的目的，该过程中油箱内的大部分非甲烷总烃经加油枪的油气回收装置回收入储油罐内，少部分烃类气体被液体置换排入大气</w:t>
            </w:r>
            <w:r>
              <w:rPr>
                <w:rFonts w:hint="eastAsia" w:ascii="Times New Roman" w:hAnsi="Times New Roman" w:cs="Times New Roman"/>
                <w:sz w:val="24"/>
              </w:rPr>
              <w:t>。加油站工艺流程</w:t>
            </w:r>
            <w:r>
              <w:rPr>
                <w:rFonts w:ascii="Times New Roman" w:hAnsi="Times New Roman" w:cs="Times New Roman"/>
                <w:sz w:val="24"/>
              </w:rPr>
              <w:t>及排污节点见图1-3。</w:t>
            </w:r>
          </w:p>
          <w:p>
            <w:pPr>
              <w:tabs>
                <w:tab w:val="left" w:pos="4320"/>
                <w:tab w:val="center" w:pos="4361"/>
              </w:tabs>
              <w:jc w:val="center"/>
            </w:pPr>
          </w:p>
          <w:p>
            <w:pPr>
              <w:tabs>
                <w:tab w:val="left" w:pos="4320"/>
                <w:tab w:val="center" w:pos="4361"/>
              </w:tabs>
              <w:jc w:val="center"/>
              <w:rPr>
                <w:rFonts w:ascii="Times New Roman" w:hAnsi="Times New Roman" w:cs="Times New Roman"/>
                <w:b/>
                <w:sz w:val="28"/>
                <w:szCs w:val="28"/>
              </w:rPr>
            </w:pPr>
            <w:r>
              <w:drawing>
                <wp:inline distT="0" distB="0" distL="0" distR="0">
                  <wp:extent cx="5024120" cy="21875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cstate="print"/>
                          <a:srcRect l="23693" t="27911" r="16591" b="25856"/>
                          <a:stretch>
                            <a:fillRect/>
                          </a:stretch>
                        </pic:blipFill>
                        <pic:spPr>
                          <a:xfrm>
                            <a:off x="0" y="0"/>
                            <a:ext cx="5094593" cy="2218613"/>
                          </a:xfrm>
                          <a:prstGeom prst="rect">
                            <a:avLst/>
                          </a:prstGeom>
                          <a:ln>
                            <a:noFill/>
                          </a:ln>
                        </pic:spPr>
                      </pic:pic>
                    </a:graphicData>
                  </a:graphic>
                </wp:inline>
              </w:drawing>
            </w:r>
          </w:p>
          <w:p>
            <w:pPr>
              <w:spacing w:line="360" w:lineRule="auto"/>
              <w:jc w:val="center"/>
              <w:rPr>
                <w:rFonts w:ascii="Times New Roman" w:hAnsi="Times New Roman" w:cs="Times New Roman"/>
                <w:b/>
                <w:bCs/>
                <w:color w:val="000000"/>
                <w:sz w:val="24"/>
              </w:rPr>
            </w:pPr>
            <w:r>
              <w:rPr>
                <w:rFonts w:ascii="Times New Roman" w:hAnsi="Times New Roman" w:cs="Times New Roman"/>
                <w:b/>
                <w:bCs/>
                <w:color w:val="000000"/>
                <w:sz w:val="24"/>
              </w:rPr>
              <w:t>图1-3  加油</w:t>
            </w:r>
            <w:r>
              <w:rPr>
                <w:rFonts w:hint="eastAsia" w:ascii="Times New Roman" w:hAnsi="Times New Roman" w:cs="Times New Roman"/>
                <w:b/>
                <w:bCs/>
                <w:color w:val="000000"/>
                <w:sz w:val="24"/>
              </w:rPr>
              <w:t>站加油</w:t>
            </w:r>
            <w:r>
              <w:rPr>
                <w:rFonts w:ascii="Times New Roman" w:hAnsi="Times New Roman" w:cs="Times New Roman"/>
                <w:b/>
                <w:bCs/>
                <w:color w:val="000000"/>
                <w:sz w:val="24"/>
              </w:rPr>
              <w:t>工艺及污染工序产生流程图</w:t>
            </w:r>
          </w:p>
          <w:p>
            <w:pPr>
              <w:spacing w:line="360" w:lineRule="auto"/>
              <w:ind w:firstLine="480" w:firstLineChars="200"/>
              <w:rPr>
                <w:rFonts w:ascii="Times New Roman" w:cs="Times New Roman"/>
                <w:sz w:val="24"/>
              </w:rPr>
            </w:pPr>
          </w:p>
          <w:p>
            <w:pPr>
              <w:spacing w:line="360" w:lineRule="auto"/>
              <w:ind w:firstLine="480" w:firstLineChars="200"/>
              <w:rPr>
                <w:rFonts w:ascii="Times New Roman" w:hAnsi="Times New Roman" w:cs="Times New Roman"/>
                <w:sz w:val="24"/>
              </w:rPr>
            </w:pPr>
            <w:r>
              <w:rPr>
                <w:rFonts w:ascii="Times New Roman" w:cs="Times New Roman"/>
                <w:sz w:val="24"/>
              </w:rPr>
              <w:t>（</w:t>
            </w:r>
            <w:r>
              <w:rPr>
                <w:rFonts w:ascii="Times New Roman" w:hAnsi="Times New Roman" w:cs="Times New Roman"/>
                <w:sz w:val="24"/>
              </w:rPr>
              <w:t>2</w:t>
            </w:r>
            <w:r>
              <w:rPr>
                <w:rFonts w:ascii="Times New Roman" w:cs="Times New Roman"/>
                <w:sz w:val="24"/>
              </w:rPr>
              <w:t>）</w:t>
            </w:r>
            <w:r>
              <w:rPr>
                <w:rFonts w:hint="eastAsia" w:ascii="Times New Roman" w:cs="Times New Roman"/>
                <w:sz w:val="24"/>
              </w:rPr>
              <w:t>产物环节</w:t>
            </w:r>
          </w:p>
          <w:p>
            <w:pPr>
              <w:spacing w:line="360" w:lineRule="auto"/>
              <w:ind w:firstLine="480" w:firstLineChars="200"/>
              <w:rPr>
                <w:sz w:val="24"/>
              </w:rPr>
            </w:pPr>
            <w:r>
              <w:rPr>
                <w:rFonts w:hint="eastAsia"/>
                <w:sz w:val="24"/>
              </w:rPr>
              <w:t>储油、加油工艺较为简单，可能引起环境污染的环节分别为卸油、储存及车辆加油。</w:t>
            </w:r>
          </w:p>
          <w:p>
            <w:pPr>
              <w:spacing w:line="360" w:lineRule="auto"/>
              <w:ind w:firstLine="480" w:firstLineChars="200"/>
              <w:jc w:val="left"/>
              <w:rPr>
                <w:sz w:val="24"/>
              </w:rPr>
            </w:pPr>
            <w:r>
              <w:rPr>
                <w:rFonts w:hint="eastAsia" w:asciiTheme="minorEastAsia" w:hAnsiTheme="minorEastAsia"/>
                <w:sz w:val="24"/>
              </w:rPr>
              <w:t>①</w:t>
            </w:r>
            <w:r>
              <w:rPr>
                <w:rFonts w:hint="eastAsia"/>
                <w:sz w:val="24"/>
              </w:rPr>
              <w:t>油料的卸油、储存、加油过程中会有一定量的烃类有机废气，汽车尾气、扬尘，备用发电机废气对周围大气环境产生影响；</w:t>
            </w:r>
          </w:p>
          <w:p>
            <w:pPr>
              <w:spacing w:line="360" w:lineRule="auto"/>
              <w:ind w:firstLine="480" w:firstLineChars="200"/>
              <w:rPr>
                <w:sz w:val="24"/>
              </w:rPr>
            </w:pPr>
            <w:r>
              <w:rPr>
                <w:rFonts w:hint="eastAsia"/>
                <w:sz w:val="24"/>
              </w:rPr>
              <w:t>②油类支料的溢漏和地下储油罐泄漏及加油过程的遗洒可能造成水污染；</w:t>
            </w:r>
          </w:p>
          <w:p>
            <w:pPr>
              <w:pStyle w:val="37"/>
              <w:numPr>
                <w:ilvl w:val="0"/>
                <w:numId w:val="3"/>
              </w:numPr>
              <w:spacing w:line="360" w:lineRule="auto"/>
              <w:ind w:firstLineChars="0"/>
              <w:rPr>
                <w:sz w:val="24"/>
              </w:rPr>
            </w:pPr>
            <w:r>
              <w:rPr>
                <w:rFonts w:hint="eastAsia"/>
                <w:sz w:val="24"/>
              </w:rPr>
              <w:t>油罐的事故泄漏、着火或爆炸是引起大气及水污染的风险性因素；</w:t>
            </w:r>
          </w:p>
          <w:p>
            <w:pPr>
              <w:pStyle w:val="37"/>
              <w:numPr>
                <w:ilvl w:val="0"/>
                <w:numId w:val="3"/>
              </w:numPr>
              <w:spacing w:line="360" w:lineRule="auto"/>
              <w:ind w:firstLineChars="0"/>
              <w:rPr>
                <w:sz w:val="24"/>
              </w:rPr>
            </w:pPr>
            <w:r>
              <w:rPr>
                <w:rFonts w:hint="eastAsia"/>
                <w:sz w:val="24"/>
              </w:rPr>
              <w:t>地面冲洗会产生含油废水；</w:t>
            </w:r>
          </w:p>
          <w:p>
            <w:pPr>
              <w:pStyle w:val="37"/>
              <w:numPr>
                <w:ilvl w:val="0"/>
                <w:numId w:val="3"/>
              </w:numPr>
              <w:spacing w:line="360" w:lineRule="auto"/>
              <w:ind w:firstLineChars="0"/>
              <w:rPr>
                <w:sz w:val="24"/>
              </w:rPr>
            </w:pPr>
            <w:r>
              <w:rPr>
                <w:rFonts w:hint="eastAsia"/>
                <w:sz w:val="24"/>
              </w:rPr>
              <w:t>加油机、备用发电机组等机器设备运转将产生噪声，以及进出汽车产生的噪声；</w:t>
            </w:r>
          </w:p>
          <w:p>
            <w:pPr>
              <w:pStyle w:val="37"/>
              <w:numPr>
                <w:ilvl w:val="0"/>
                <w:numId w:val="3"/>
              </w:numPr>
              <w:spacing w:line="360" w:lineRule="auto"/>
              <w:ind w:firstLineChars="0"/>
              <w:rPr>
                <w:sz w:val="24"/>
              </w:rPr>
            </w:pPr>
            <w:r>
              <w:rPr>
                <w:rFonts w:hint="eastAsia"/>
                <w:sz w:val="24"/>
              </w:rPr>
              <w:t>加油站大概</w:t>
            </w:r>
            <w:r>
              <w:rPr>
                <w:rFonts w:ascii="Times New Roman" w:cs="Times New Roman"/>
                <w:sz w:val="24"/>
              </w:rPr>
              <w:t>每</w:t>
            </w:r>
            <w:r>
              <w:rPr>
                <w:rFonts w:ascii="Times New Roman" w:hAnsi="Times New Roman" w:cs="Times New Roman"/>
                <w:sz w:val="24"/>
              </w:rPr>
              <w:t>3~5</w:t>
            </w:r>
            <w:r>
              <w:rPr>
                <w:rFonts w:ascii="Times New Roman" w:cs="Times New Roman"/>
                <w:sz w:val="24"/>
              </w:rPr>
              <w:t>年</w:t>
            </w:r>
            <w:r>
              <w:rPr>
                <w:rFonts w:hint="eastAsia"/>
                <w:sz w:val="24"/>
              </w:rPr>
              <w:t>需进行一次油罐清洗作业，由专业公司清洗，清罐时将产生清罐废物，主要由清罐油渣和清罐废水组成（统称为清罐废物）；隔油池及生化池会产生污泥；另外还有生活垃圾；</w:t>
            </w:r>
          </w:p>
          <w:p>
            <w:pPr>
              <w:adjustRightInd w:val="0"/>
              <w:snapToGrid w:val="0"/>
              <w:spacing w:before="120" w:line="360" w:lineRule="auto"/>
              <w:rPr>
                <w:rFonts w:ascii="Times New Roman" w:hAnsi="Times New Roman" w:cs="Times New Roman"/>
                <w:sz w:val="24"/>
              </w:rPr>
            </w:pPr>
            <w:r>
              <w:rPr>
                <w:rFonts w:ascii="Times New Roman" w:hAnsi="Times New Roman" w:cs="Times New Roman"/>
                <w:sz w:val="24"/>
              </w:rPr>
              <w:t>主要污染工序：</w:t>
            </w:r>
          </w:p>
          <w:p>
            <w:pPr>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运营期主要产生</w:t>
            </w:r>
            <w:r>
              <w:rPr>
                <w:rFonts w:hint="eastAsia" w:ascii="Times New Roman" w:hAnsi="Times New Roman" w:cs="Times New Roman"/>
                <w:sz w:val="24"/>
              </w:rPr>
              <w:t>废气、</w:t>
            </w:r>
            <w:r>
              <w:rPr>
                <w:rFonts w:ascii="Times New Roman" w:hAnsi="Times New Roman" w:cs="Times New Roman"/>
                <w:sz w:val="24"/>
              </w:rPr>
              <w:t>废水、固废和噪声等。</w:t>
            </w:r>
          </w:p>
          <w:p>
            <w:pPr>
              <w:kinsoku w:val="0"/>
              <w:overflowPunct w:val="0"/>
              <w:topLinePunct/>
              <w:autoSpaceDE w:val="0"/>
              <w:autoSpaceDN w:val="0"/>
              <w:spacing w:line="360" w:lineRule="auto"/>
              <w:jc w:val="left"/>
              <w:rPr>
                <w:rFonts w:ascii="Times New Roman" w:hAnsi="Times New Roman" w:cs="Times New Roman"/>
                <w:b/>
                <w:sz w:val="28"/>
                <w:szCs w:val="28"/>
              </w:rPr>
            </w:pPr>
            <w:r>
              <w:rPr>
                <w:rFonts w:ascii="Times New Roman" w:hAnsi="Times New Roman" w:cs="Times New Roman"/>
                <w:b/>
                <w:sz w:val="28"/>
                <w:szCs w:val="28"/>
              </w:rPr>
              <w:t>1.12 项目变动</w:t>
            </w:r>
          </w:p>
          <w:p>
            <w:pPr>
              <w:pStyle w:val="5"/>
              <w:spacing w:line="360" w:lineRule="auto"/>
              <w:ind w:firstLine="480" w:firstLineChars="200"/>
              <w:outlineLvl w:val="3"/>
              <w:rPr>
                <w:rFonts w:cs="Times New Roman" w:asciiTheme="minorEastAsia" w:hAnsiTheme="minorEastAsia" w:eastAsiaTheme="minorEastAsia"/>
                <w:szCs w:val="28"/>
              </w:rPr>
            </w:pPr>
            <w:r>
              <w:rPr>
                <w:rFonts w:hint="eastAsia" w:cs="Times New Roman" w:asciiTheme="minorEastAsia" w:hAnsiTheme="minorEastAsia" w:eastAsiaTheme="minorEastAsia"/>
                <w:b w:val="0"/>
                <w:sz w:val="24"/>
              </w:rPr>
              <w:t>本</w:t>
            </w:r>
            <w:r>
              <w:rPr>
                <w:rFonts w:cs="Times New Roman" w:asciiTheme="minorEastAsia" w:hAnsiTheme="minorEastAsia" w:eastAsiaTheme="minorEastAsia"/>
                <w:b w:val="0"/>
                <w:sz w:val="24"/>
              </w:rPr>
              <w:t>项目建设的性质、规模、地点、采取污染防治措施等与环评及其批复</w:t>
            </w:r>
            <w:r>
              <w:rPr>
                <w:rFonts w:hint="eastAsia" w:cs="Times New Roman" w:asciiTheme="minorEastAsia" w:hAnsiTheme="minorEastAsia" w:eastAsiaTheme="minorEastAsia"/>
                <w:b w:val="0"/>
                <w:sz w:val="24"/>
              </w:rPr>
              <w:t>基本</w:t>
            </w:r>
            <w:r>
              <w:rPr>
                <w:rFonts w:cs="Times New Roman" w:asciiTheme="minorEastAsia" w:hAnsiTheme="minorEastAsia" w:eastAsiaTheme="minorEastAsia"/>
                <w:b w:val="0"/>
                <w:sz w:val="24"/>
              </w:rPr>
              <w:t>一致，无重大变化</w:t>
            </w:r>
            <w:r>
              <w:rPr>
                <w:rFonts w:cs="Times New Roman" w:asciiTheme="minorEastAsia" w:hAnsiTheme="minorEastAsia" w:eastAsiaTheme="minorEastAsia"/>
                <w:b w:val="0"/>
                <w:bCs/>
                <w:sz w:val="24"/>
              </w:rPr>
              <w:t>。</w:t>
            </w:r>
          </w:p>
        </w:tc>
      </w:tr>
    </w:tbl>
    <w:p>
      <w:pPr>
        <w:spacing w:line="360" w:lineRule="auto"/>
        <w:outlineLvl w:val="0"/>
        <w:rPr>
          <w:rFonts w:ascii="Times New Roman" w:hAnsi="Times New Roman" w:eastAsia="宋体" w:cs="Times New Roman"/>
          <w:b/>
          <w:sz w:val="28"/>
          <w:szCs w:val="28"/>
        </w:rPr>
      </w:pPr>
      <w:bookmarkStart w:id="12" w:name="_Toc19974"/>
      <w:r>
        <w:rPr>
          <w:rFonts w:ascii="Times New Roman" w:hAnsi="Times New Roman" w:cs="Times New Roman"/>
          <w:b/>
          <w:sz w:val="28"/>
          <w:szCs w:val="28"/>
        </w:rPr>
        <w:t xml:space="preserve">表二  </w:t>
      </w:r>
      <w:bookmarkEnd w:id="3"/>
      <w:bookmarkEnd w:id="8"/>
      <w:r>
        <w:rPr>
          <w:rFonts w:ascii="Times New Roman" w:hAnsi="Times New Roman" w:cs="Times New Roman"/>
          <w:b/>
          <w:sz w:val="28"/>
          <w:szCs w:val="28"/>
        </w:rPr>
        <w:t>主要污染物的产生、治理措施</w:t>
      </w:r>
      <w:bookmarkEnd w:id="12"/>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4" w:hRule="atLeast"/>
          <w:jc w:val="center"/>
        </w:trPr>
        <w:tc>
          <w:tcPr>
            <w:tcW w:w="9288" w:type="dxa"/>
          </w:tcPr>
          <w:p>
            <w:pPr>
              <w:spacing w:line="360" w:lineRule="auto"/>
              <w:rPr>
                <w:rFonts w:ascii="Times New Roman" w:hAnsi="Times New Roman" w:cs="Times New Roman"/>
                <w:b/>
                <w:bCs/>
                <w:sz w:val="28"/>
                <w:szCs w:val="28"/>
              </w:rPr>
            </w:pPr>
            <w:r>
              <w:rPr>
                <w:rFonts w:ascii="Times New Roman" w:hAnsi="Times New Roman" w:cs="Times New Roman"/>
                <w:b/>
                <w:bCs/>
                <w:sz w:val="28"/>
                <w:szCs w:val="28"/>
              </w:rPr>
              <w:t>2.1 废水排放及治理</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本项目产生的废水主要为</w:t>
            </w:r>
            <w:r>
              <w:rPr>
                <w:rFonts w:ascii="Times New Roman" w:hAnsi="Times New Roman" w:cs="Times New Roman"/>
                <w:kern w:val="0"/>
                <w:sz w:val="24"/>
              </w:rPr>
              <w:t>地面冲洗产生的生产废水和职工</w:t>
            </w:r>
            <w:r>
              <w:rPr>
                <w:rFonts w:hint="eastAsia" w:ascii="Times New Roman" w:hAnsi="Times New Roman" w:cs="Times New Roman"/>
                <w:kern w:val="0"/>
                <w:sz w:val="24"/>
              </w:rPr>
              <w:t>产生的</w:t>
            </w:r>
            <w:r>
              <w:rPr>
                <w:rFonts w:ascii="Times New Roman" w:hAnsi="Times New Roman" w:cs="Times New Roman"/>
                <w:sz w:val="24"/>
              </w:rPr>
              <w:t>生活污水。</w:t>
            </w:r>
          </w:p>
          <w:p>
            <w:pPr>
              <w:widowControl/>
              <w:spacing w:line="360" w:lineRule="auto"/>
              <w:ind w:firstLine="482" w:firstLineChars="200"/>
              <w:rPr>
                <w:rFonts w:ascii="Times New Roman" w:hAnsi="Times New Roman" w:cs="Times New Roman"/>
                <w:sz w:val="24"/>
              </w:rPr>
            </w:pPr>
            <w:r>
              <w:rPr>
                <w:rFonts w:ascii="Times New Roman" w:hAnsi="Times New Roman" w:cs="Times New Roman"/>
                <w:b/>
                <w:bCs/>
                <w:sz w:val="24"/>
              </w:rPr>
              <w:t>治理措施：</w:t>
            </w:r>
            <w:r>
              <w:rPr>
                <w:rFonts w:ascii="Times New Roman" w:hAnsi="Times New Roman" w:cs="Times New Roman"/>
                <w:sz w:val="24"/>
              </w:rPr>
              <w:t>项目区内排水采用雨污分流。</w:t>
            </w:r>
          </w:p>
          <w:p>
            <w:pPr>
              <w:tabs>
                <w:tab w:val="left" w:pos="1350"/>
              </w:tabs>
              <w:spacing w:line="360" w:lineRule="auto"/>
              <w:ind w:firstLine="480" w:firstLineChars="200"/>
              <w:rPr>
                <w:rFonts w:ascii="Times New Roman" w:hAnsi="Times New Roman" w:cs="Times New Roman"/>
                <w:sz w:val="24"/>
              </w:rPr>
            </w:pPr>
            <w:r>
              <w:rPr>
                <w:sz w:val="24"/>
              </w:rPr>
              <w:t>项目采取雨污分流，屋面雨水经落水管流至地面，与地面雨水汇集到排雨水管沟排</w:t>
            </w:r>
            <w:r>
              <w:rPr>
                <w:rFonts w:hint="eastAsia"/>
                <w:sz w:val="24"/>
              </w:rPr>
              <w:t>入附近地表水</w:t>
            </w:r>
            <w:r>
              <w:rPr>
                <w:sz w:val="24"/>
              </w:rPr>
              <w:t>；项目废水场地冲洗水经隔油池预处理与其他生活</w:t>
            </w:r>
            <w:r>
              <w:rPr>
                <w:rFonts w:hint="eastAsia"/>
                <w:sz w:val="24"/>
              </w:rPr>
              <w:t>废水</w:t>
            </w:r>
            <w:r>
              <w:rPr>
                <w:sz w:val="24"/>
              </w:rPr>
              <w:t>一并进</w:t>
            </w:r>
            <w:r>
              <w:rPr>
                <w:rFonts w:hint="eastAsia"/>
                <w:sz w:val="24"/>
              </w:rPr>
              <w:t>收集，</w:t>
            </w:r>
            <w:r>
              <w:rPr>
                <w:rFonts w:hint="eastAsia"/>
                <w:color w:val="auto"/>
                <w:sz w:val="24"/>
              </w:rPr>
              <w:t>达到一定量后联系相关污水处理单位送至相关场所处理，未在加油站区进行排放。</w:t>
            </w:r>
            <w:r>
              <w:rPr>
                <w:rFonts w:hint="eastAsia"/>
                <w:sz w:val="24"/>
              </w:rPr>
              <w:t>（环评要求：</w:t>
            </w:r>
            <w:r>
              <w:rPr>
                <w:sz w:val="24"/>
              </w:rPr>
              <w:t>项目废水场地冲洗水经隔油池预处理与其他生活</w:t>
            </w:r>
            <w:r>
              <w:rPr>
                <w:rFonts w:hint="eastAsia"/>
                <w:sz w:val="24"/>
              </w:rPr>
              <w:t>废水</w:t>
            </w:r>
            <w:r>
              <w:rPr>
                <w:sz w:val="24"/>
              </w:rPr>
              <w:t>一并进入三级生化池处理达《污水综合排放标准标准》(GB8978-1996) 中三级标准后，依托</w:t>
            </w:r>
            <w:r>
              <w:rPr>
                <w:rFonts w:hint="eastAsia"/>
                <w:sz w:val="24"/>
              </w:rPr>
              <w:t>荔波</w:t>
            </w:r>
            <w:r>
              <w:rPr>
                <w:sz w:val="24"/>
              </w:rPr>
              <w:t>县三荔高速</w:t>
            </w:r>
            <w:r>
              <w:rPr>
                <w:rFonts w:hint="eastAsia"/>
                <w:sz w:val="24"/>
              </w:rPr>
              <w:t>荔波</w:t>
            </w:r>
            <w:r>
              <w:rPr>
                <w:sz w:val="24"/>
              </w:rPr>
              <w:t>服务</w:t>
            </w:r>
            <w:r>
              <w:rPr>
                <w:rFonts w:hint="eastAsia"/>
                <w:sz w:val="24"/>
              </w:rPr>
              <w:t>区</w:t>
            </w:r>
            <w:r>
              <w:rPr>
                <w:sz w:val="24"/>
              </w:rPr>
              <w:t>污水处理站处理达到 《城镇污水处理厂污染物排放标准》(GB18918-2002)一级B标准后，回用于绿化或农灌，不外排</w:t>
            </w:r>
            <w:r>
              <w:rPr>
                <w:rFonts w:hint="eastAsia"/>
                <w:sz w:val="24"/>
              </w:rPr>
              <w:t>）</w:t>
            </w:r>
            <w:r>
              <w:rPr>
                <w:rFonts w:hint="eastAsia" w:ascii="Times New Roman" w:hAnsi="Times New Roman" w:cs="Times New Roman"/>
                <w:sz w:val="24"/>
              </w:rPr>
              <w:t>。</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2.2 废气排放及治理</w:t>
            </w:r>
          </w:p>
          <w:p>
            <w:pPr>
              <w:spacing w:line="360" w:lineRule="auto"/>
              <w:ind w:firstLine="480" w:firstLineChars="200"/>
              <w:rPr>
                <w:rFonts w:ascii="Times New Roman" w:hAnsi="Times New Roman" w:cs="Times New Roman"/>
                <w:kern w:val="0"/>
                <w:sz w:val="24"/>
              </w:rPr>
            </w:pPr>
            <w:r>
              <w:rPr>
                <w:rFonts w:ascii="Times New Roman" w:hAnsi="Times New Roman" w:cs="Times New Roman"/>
                <w:sz w:val="24"/>
              </w:rPr>
              <w:t>建设项目废气主要来自加油站作业过程中产生的</w:t>
            </w:r>
            <w:r>
              <w:rPr>
                <w:rFonts w:ascii="Times New Roman" w:hAnsi="Times New Roman" w:cs="Times New Roman"/>
                <w:spacing w:val="6"/>
                <w:sz w:val="24"/>
              </w:rPr>
              <w:t>非甲烷总烃类</w:t>
            </w:r>
            <w:r>
              <w:rPr>
                <w:rFonts w:ascii="Times New Roman" w:hAnsi="Times New Roman" w:cs="Times New Roman"/>
                <w:sz w:val="24"/>
              </w:rPr>
              <w:t>废气、汽车进出时的尾气和扬尘。</w:t>
            </w:r>
          </w:p>
          <w:p>
            <w:pPr>
              <w:spacing w:line="360" w:lineRule="auto"/>
              <w:ind w:firstLine="482" w:firstLineChars="200"/>
              <w:rPr>
                <w:rFonts w:ascii="Times New Roman" w:hAnsi="Times New Roman" w:cs="Times New Roman"/>
                <w:sz w:val="24"/>
              </w:rPr>
            </w:pPr>
            <w:r>
              <w:rPr>
                <w:rFonts w:ascii="Times New Roman" w:hAnsi="Times New Roman" w:cs="Times New Roman"/>
                <w:b/>
                <w:bCs/>
                <w:kern w:val="0"/>
                <w:sz w:val="24"/>
              </w:rPr>
              <w:t>治理措施：</w:t>
            </w:r>
            <w:r>
              <w:rPr>
                <w:rFonts w:ascii="Times New Roman" w:hAnsi="Times New Roman" w:cs="Times New Roman"/>
                <w:sz w:val="24"/>
              </w:rPr>
              <w:t>本项目设置油气回收系统，包括卸油油气回收系统和加油油气回收系统。</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pacing w:val="6"/>
                <w:sz w:val="24"/>
              </w:rPr>
              <w:t>非甲烷总烃类</w:t>
            </w:r>
            <w:r>
              <w:rPr>
                <w:rFonts w:ascii="Times New Roman" w:hAnsi="Times New Roman" w:cs="Times New Roman"/>
                <w:sz w:val="24"/>
              </w:rPr>
              <w:t>废气：加油站在汽油系统设密闭卸油油气回收系统、加油油气回收系统及油罐</w:t>
            </w:r>
            <w:r>
              <w:rPr>
                <w:rFonts w:hint="eastAsia" w:ascii="Times New Roman" w:hAnsi="Times New Roman" w:cs="Times New Roman"/>
                <w:sz w:val="24"/>
              </w:rPr>
              <w:t>大</w:t>
            </w:r>
            <w:r>
              <w:rPr>
                <w:rFonts w:ascii="Times New Roman" w:hAnsi="Times New Roman" w:cs="Times New Roman"/>
                <w:sz w:val="24"/>
              </w:rPr>
              <w:t>小呼吸油气后处理装置，并在通气管管口加装阻火器，对柴油系统设置卸油回气管。这样可以一定程度上减少非甲烷总烃的排放。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建设项目采用</w:t>
            </w:r>
            <w:r>
              <w:rPr>
                <w:rFonts w:hint="eastAsia" w:ascii="Times New Roman" w:hAnsi="Times New Roman" w:cs="Times New Roman"/>
                <w:sz w:val="24"/>
              </w:rPr>
              <w:t>SF双层地埋储罐</w:t>
            </w:r>
            <w:r>
              <w:rPr>
                <w:rFonts w:ascii="Times New Roman" w:hAnsi="Times New Roman" w:cs="Times New Roman"/>
                <w:sz w:val="24"/>
              </w:rPr>
              <w:t>，由于该罐密闭型较好，因此储油罐罐室内气温比较稳定，受大气环境稳定影响较小，可减少油罐小呼吸蒸发损耗，延缓油品变质。另外，汽油系统设密闭卸油</w:t>
            </w:r>
            <w:r>
              <w:rPr>
                <w:rFonts w:hint="eastAsia" w:ascii="Times New Roman" w:hAnsi="Times New Roman" w:cs="Times New Roman"/>
                <w:sz w:val="24"/>
              </w:rPr>
              <w:t>，</w:t>
            </w:r>
            <w:r>
              <w:rPr>
                <w:rFonts w:ascii="Times New Roman" w:hAnsi="Times New Roman" w:cs="Times New Roman"/>
                <w:sz w:val="24"/>
              </w:rPr>
              <w:t>油气回收系统、加油油气回收系统及油罐小呼吸油气后处理装置，并在通气管管口加装阻火器，对柴油系统设置卸油回气管，这样可以一定程度上减少非甲烷总烃的排放。而且本加油站毗临道路，站址较开阔，空气流动良好，排放的烃类有害物质量较少，经大气扩散后，虽会对周围空气造成轻微污染，但对人体健康造成影响较小。</w:t>
            </w:r>
          </w:p>
          <w:p>
            <w:pPr>
              <w:pStyle w:val="8"/>
              <w:spacing w:line="360" w:lineRule="auto"/>
              <w:ind w:firstLine="480" w:firstLineChars="200"/>
              <w:rPr>
                <w:rFonts w:ascii="Times New Roman" w:hAnsi="Times New Roman" w:cs="Times New Roman"/>
              </w:rPr>
            </w:pPr>
            <w:r>
              <w:rPr>
                <w:rFonts w:ascii="Times New Roman" w:hAnsi="Times New Roman" w:cs="Times New Roman"/>
              </w:rPr>
              <w:t>（2）对于汽车尾气：本项目通过加强绿化、加油车辆的管理及自然扩散，汽车尾气对环境影响较小。</w:t>
            </w:r>
          </w:p>
          <w:p>
            <w:pPr>
              <w:pStyle w:val="8"/>
              <w:tabs>
                <w:tab w:val="left" w:pos="2841"/>
              </w:tabs>
              <w:spacing w:line="360" w:lineRule="auto"/>
              <w:ind w:firstLine="480" w:firstLineChars="200"/>
              <w:rPr>
                <w:rFonts w:ascii="Times New Roman" w:hAnsi="Times New Roman" w:cs="Times New Roman"/>
                <w:b/>
                <w:bCs/>
                <w:szCs w:val="28"/>
              </w:rPr>
            </w:pPr>
            <w:r>
              <w:rPr>
                <w:rFonts w:ascii="Times New Roman" w:hAnsi="Times New Roman" w:cs="Times New Roman"/>
              </w:rPr>
              <w:t>本项目通过设置油气回收系统、自然扩散、加强绿化及加油车辆管理，项目产生的非甲烷总烃及汽车尾气对环境的影响较小。</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2.3 噪声产生及治理</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营运期噪声主要为</w:t>
            </w:r>
            <w:r>
              <w:rPr>
                <w:sz w:val="24"/>
              </w:rPr>
              <w:t>来往的机动车产生的噪声和加油泵、备用柴油发电机等设备运行时产生的噪声及加油车辆</w:t>
            </w:r>
            <w:r>
              <w:rPr>
                <w:rFonts w:ascii="Times New Roman" w:hAnsi="Times New Roman" w:cs="Times New Roman"/>
                <w:sz w:val="24"/>
              </w:rPr>
              <w:t>产生的噪声。</w:t>
            </w:r>
          </w:p>
          <w:p>
            <w:pPr>
              <w:spacing w:line="360" w:lineRule="auto"/>
              <w:ind w:firstLine="482" w:firstLineChars="200"/>
              <w:rPr>
                <w:rFonts w:ascii="Times New Roman" w:hAnsi="Times New Roman" w:cs="Times New Roman"/>
                <w:sz w:val="24"/>
              </w:rPr>
            </w:pPr>
            <w:r>
              <w:rPr>
                <w:rFonts w:ascii="Times New Roman" w:hAnsi="Times New Roman" w:cs="Times New Roman"/>
                <w:b/>
                <w:bCs/>
                <w:sz w:val="24"/>
              </w:rPr>
              <w:t>治理措施：</w:t>
            </w:r>
            <w:r>
              <w:rPr>
                <w:rFonts w:ascii="Times New Roman" w:hAnsi="Times New Roman" w:cs="Times New Roman"/>
                <w:sz w:val="24"/>
              </w:rPr>
              <w:t>采用低噪声设备，</w:t>
            </w:r>
            <w:r>
              <w:rPr>
                <w:sz w:val="24"/>
              </w:rPr>
              <w:t>机泵地埋式安装，隔声、消声等</w:t>
            </w:r>
            <w:r>
              <w:rPr>
                <w:rFonts w:ascii="Times New Roman" w:hAnsi="Times New Roman" w:cs="Times New Roman"/>
                <w:sz w:val="24"/>
              </w:rPr>
              <w:t>；在项目区域内加强交通管理，做好交通疏导，限制进入区域内车辆的车速，同时，禁止在区域内鸣喇叭；备用发电机噪声通过优选低噪声设备、建筑隔声、防振、消声措施控制，主机房墙面贴吸声材料，站区内、外加强绿化等措施，减小项目产生的噪声对周边环境的影响。</w:t>
            </w:r>
          </w:p>
          <w:p>
            <w:pPr>
              <w:pStyle w:val="8"/>
              <w:spacing w:line="360" w:lineRule="auto"/>
              <w:rPr>
                <w:rFonts w:ascii="Times New Roman" w:hAnsi="Times New Roman" w:cs="Times New Roman"/>
                <w:b/>
                <w:bCs/>
                <w:sz w:val="28"/>
                <w:szCs w:val="28"/>
              </w:rPr>
            </w:pPr>
            <w:r>
              <w:rPr>
                <w:rFonts w:ascii="Times New Roman" w:hAnsi="Times New Roman" w:cs="Times New Roman"/>
                <w:b/>
                <w:bCs/>
                <w:sz w:val="28"/>
                <w:szCs w:val="28"/>
              </w:rPr>
              <w:t>2.4 固体废物的产生及治理</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加油站运营后产生的生活垃圾，经垃圾桶集中收集后，由当地环卫部门统一收集集中处理</w:t>
            </w:r>
            <w:r>
              <w:rPr>
                <w:rFonts w:ascii="Times New Roman" w:hAnsi="Times New Roman" w:cs="Times New Roman"/>
                <w:sz w:val="24"/>
              </w:rPr>
              <w:t>。</w:t>
            </w:r>
          </w:p>
          <w:p>
            <w:pPr>
              <w:pStyle w:val="8"/>
              <w:spacing w:line="360" w:lineRule="auto"/>
              <w:ind w:firstLine="480" w:firstLineChars="200"/>
              <w:rPr>
                <w:rFonts w:ascii="Times New Roman" w:hAnsi="Times New Roman" w:cs="Times New Roman"/>
              </w:rPr>
            </w:pPr>
            <w:r>
              <w:rPr>
                <w:rFonts w:hint="eastAsia" w:ascii="Times New Roman" w:hAnsi="Times New Roman" w:cs="Times New Roman"/>
              </w:rPr>
              <w:t>油泥、废机油、含油棉纱等危险废物收集于铁桶，由加油站委托有资质单位对产生的危废进行处理处置，不在加油站场区内贮存。</w:t>
            </w:r>
          </w:p>
          <w:p>
            <w:pPr>
              <w:pStyle w:val="8"/>
              <w:spacing w:line="360" w:lineRule="auto"/>
              <w:ind w:firstLine="480" w:firstLineChars="200"/>
              <w:rPr>
                <w:rFonts w:ascii="Times New Roman" w:hAnsi="Times New Roman" w:cs="Times New Roman"/>
              </w:rPr>
            </w:pPr>
            <w:r>
              <w:rPr>
                <w:rFonts w:hint="eastAsia" w:ascii="Times New Roman" w:hAnsi="Times New Roman" w:cs="Times New Roman"/>
              </w:rPr>
              <w:t>采取上述措施后，固体废弃物对环境影响很小</w:t>
            </w:r>
            <w:r>
              <w:rPr>
                <w:rFonts w:ascii="Times New Roman" w:hAnsi="Times New Roman" w:cs="Times New Roman"/>
                <w:color w:val="000000" w:themeColor="text1"/>
              </w:rPr>
              <w:t>。</w:t>
            </w:r>
          </w:p>
          <w:p>
            <w:pPr>
              <w:pStyle w:val="8"/>
              <w:spacing w:line="360" w:lineRule="auto"/>
              <w:rPr>
                <w:rFonts w:ascii="Times New Roman" w:hAnsi="Times New Roman" w:cs="Times New Roman"/>
                <w:b/>
                <w:bCs/>
                <w:sz w:val="28"/>
                <w:szCs w:val="28"/>
              </w:rPr>
            </w:pPr>
            <w:r>
              <w:rPr>
                <w:rFonts w:ascii="Times New Roman" w:hAnsi="Times New Roman" w:cs="Times New Roman"/>
                <w:b/>
                <w:bCs/>
                <w:sz w:val="28"/>
                <w:szCs w:val="28"/>
              </w:rPr>
              <w:t>2.5 主要污染源及处理设施</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该项目污染源及处理设施对照表2-1。</w:t>
            </w:r>
          </w:p>
          <w:p>
            <w:pPr>
              <w:spacing w:line="360" w:lineRule="auto"/>
              <w:jc w:val="center"/>
              <w:rPr>
                <w:rFonts w:ascii="Times New Roman" w:hAnsi="Times New Roman" w:eastAsia="宋体" w:cs="Times New Roman"/>
                <w:sz w:val="28"/>
                <w:szCs w:val="28"/>
              </w:rPr>
            </w:pPr>
            <w:r>
              <w:rPr>
                <w:rFonts w:ascii="Times New Roman" w:hAnsi="Times New Roman" w:cs="Times New Roman"/>
                <w:b/>
                <w:bCs/>
                <w:sz w:val="24"/>
              </w:rPr>
              <w:t>表2-1 主要污染物及处理设施对照表</w:t>
            </w:r>
          </w:p>
          <w:tbl>
            <w:tblPr>
              <w:tblStyle w:val="15"/>
              <w:tblW w:w="87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127"/>
              <w:gridCol w:w="1270"/>
              <w:gridCol w:w="2330"/>
              <w:gridCol w:w="1378"/>
              <w:gridCol w:w="992"/>
              <w:gridCol w:w="7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1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内容</w:t>
                  </w:r>
                </w:p>
                <w:p>
                  <w:pPr>
                    <w:adjustRightInd w:val="0"/>
                    <w:snapToGrid w:val="0"/>
                    <w:jc w:val="center"/>
                    <w:rPr>
                      <w:rFonts w:ascii="Times New Roman" w:hAnsi="Times New Roman" w:cs="Times New Roman"/>
                      <w:szCs w:val="21"/>
                    </w:rPr>
                  </w:pPr>
                  <w:r>
                    <w:rPr>
                      <w:rFonts w:ascii="Times New Roman" w:hAnsi="Times New Roman" w:cs="Times New Roman"/>
                      <w:szCs w:val="21"/>
                    </w:rPr>
                    <w:t>类型</w:t>
                  </w:r>
                </w:p>
              </w:tc>
              <w:tc>
                <w:tcPr>
                  <w:tcW w:w="1127"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污染源</w:t>
                  </w:r>
                </w:p>
              </w:tc>
              <w:tc>
                <w:tcPr>
                  <w:tcW w:w="127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污染物</w:t>
                  </w:r>
                </w:p>
                <w:p>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2330"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环评要求处理设施</w:t>
                  </w:r>
                </w:p>
              </w:tc>
              <w:tc>
                <w:tcPr>
                  <w:tcW w:w="137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实际建设处理设施</w:t>
                  </w:r>
                </w:p>
              </w:tc>
              <w:tc>
                <w:tcPr>
                  <w:tcW w:w="992"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排放口</w:t>
                  </w:r>
                </w:p>
              </w:tc>
              <w:tc>
                <w:tcPr>
                  <w:tcW w:w="7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918"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大气污染物</w:t>
                  </w:r>
                </w:p>
              </w:tc>
              <w:tc>
                <w:tcPr>
                  <w:tcW w:w="1127"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储油罐、加油机</w:t>
                  </w:r>
                  <w:r>
                    <w:rPr>
                      <w:rFonts w:hint="eastAsia" w:ascii="Times New Roman" w:hAnsi="Times New Roman" w:cs="Times New Roman"/>
                      <w:szCs w:val="21"/>
                    </w:rPr>
                    <w:t>、</w:t>
                  </w:r>
                  <w:r>
                    <w:rPr>
                      <w:rFonts w:ascii="Times New Roman" w:hAnsi="Times New Roman" w:cs="Times New Roman"/>
                      <w:szCs w:val="21"/>
                    </w:rPr>
                    <w:t>油罐车</w:t>
                  </w:r>
                </w:p>
              </w:tc>
              <w:tc>
                <w:tcPr>
                  <w:tcW w:w="127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非甲烷总烃</w:t>
                  </w:r>
                </w:p>
              </w:tc>
              <w:tc>
                <w:tcPr>
                  <w:tcW w:w="2330" w:type="dxa"/>
                  <w:tcBorders>
                    <w:tl2br w:val="nil"/>
                    <w:tr2bl w:val="nil"/>
                  </w:tcBorders>
                  <w:vAlign w:val="center"/>
                </w:tcPr>
                <w:p>
                  <w:pPr>
                    <w:rPr>
                      <w:rFonts w:ascii="Times New Roman" w:hAnsi="Times New Roman" w:cs="Times New Roman"/>
                      <w:bCs/>
                      <w:szCs w:val="21"/>
                    </w:rPr>
                  </w:pPr>
                  <w:r>
                    <w:rPr>
                      <w:rFonts w:ascii="Times New Roman" w:hAnsi="Times New Roman" w:cs="Times New Roman"/>
                      <w:szCs w:val="21"/>
                    </w:rPr>
                    <w:t>采用密闭加油、卸油设备，加强密封性，减少废气泄漏</w:t>
                  </w:r>
                  <w:r>
                    <w:rPr>
                      <w:rFonts w:hint="eastAsia" w:ascii="Times New Roman" w:hAnsi="Times New Roman" w:cs="Times New Roman"/>
                      <w:szCs w:val="21"/>
                    </w:rPr>
                    <w:t>。</w:t>
                  </w:r>
                  <w:r>
                    <w:t>设置油气回收装置，严格管理， 提高设备的自动化控制水平</w:t>
                  </w:r>
                </w:p>
              </w:tc>
              <w:tc>
                <w:tcPr>
                  <w:tcW w:w="1378" w:type="dxa"/>
                  <w:vMerge w:val="restart"/>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ascii="Times New Roman" w:hAnsi="Times New Roman" w:eastAsia="宋体" w:cs="Times New Roman"/>
                      <w:szCs w:val="21"/>
                    </w:rPr>
                    <w:t>与环评</w:t>
                  </w:r>
                  <w:r>
                    <w:rPr>
                      <w:rFonts w:hint="eastAsia" w:ascii="Times New Roman" w:hAnsi="Times New Roman" w:eastAsia="宋体" w:cs="Times New Roman"/>
                      <w:szCs w:val="21"/>
                    </w:rPr>
                    <w:t>基本</w:t>
                  </w:r>
                  <w:r>
                    <w:rPr>
                      <w:rFonts w:ascii="Times New Roman" w:hAnsi="Times New Roman" w:eastAsia="宋体" w:cs="Times New Roman"/>
                      <w:szCs w:val="21"/>
                    </w:rPr>
                    <w:t>一致</w:t>
                  </w:r>
                </w:p>
              </w:tc>
              <w:tc>
                <w:tcPr>
                  <w:tcW w:w="992" w:type="dxa"/>
                  <w:vMerge w:val="restar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无组织</w:t>
                  </w:r>
                </w:p>
              </w:tc>
              <w:tc>
                <w:tcPr>
                  <w:tcW w:w="734" w:type="dxa"/>
                  <w:vMerge w:val="restar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85"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1127" w:type="dxa"/>
                  <w:tcBorders>
                    <w:tl2br w:val="nil"/>
                    <w:tr2bl w:val="nil"/>
                  </w:tcBorders>
                  <w:vAlign w:val="center"/>
                </w:tcPr>
                <w:p>
                  <w:pPr>
                    <w:jc w:val="center"/>
                    <w:rPr>
                      <w:rFonts w:ascii="Times New Roman" w:hAnsi="Times New Roman" w:cs="Times New Roman"/>
                      <w:szCs w:val="21"/>
                    </w:rPr>
                  </w:pPr>
                  <w:r>
                    <w:t>过往加油车 辆</w:t>
                  </w:r>
                </w:p>
              </w:tc>
              <w:tc>
                <w:tcPr>
                  <w:tcW w:w="1270" w:type="dxa"/>
                  <w:tcBorders>
                    <w:tl2br w:val="nil"/>
                    <w:tr2bl w:val="nil"/>
                  </w:tcBorders>
                  <w:vAlign w:val="center"/>
                </w:tcPr>
                <w:p>
                  <w:pPr>
                    <w:jc w:val="center"/>
                    <w:rPr>
                      <w:rFonts w:ascii="Times New Roman" w:hAnsi="Times New Roman" w:cs="Times New Roman"/>
                      <w:szCs w:val="21"/>
                    </w:rPr>
                  </w:pPr>
                  <w:r>
                    <w:t>汽车尾气</w:t>
                  </w:r>
                </w:p>
              </w:tc>
              <w:tc>
                <w:tcPr>
                  <w:tcW w:w="2330" w:type="dxa"/>
                  <w:tcBorders>
                    <w:tl2br w:val="nil"/>
                    <w:tr2bl w:val="nil"/>
                  </w:tcBorders>
                  <w:vAlign w:val="center"/>
                </w:tcPr>
                <w:p>
                  <w:pPr>
                    <w:rPr>
                      <w:rFonts w:ascii="Times New Roman" w:hAnsi="Times New Roman" w:cs="Times New Roman"/>
                      <w:szCs w:val="21"/>
                    </w:rPr>
                  </w:pPr>
                  <w:r>
                    <w:t>通过加强管理，减少汽车滞留 时间，从而减少尾气排放量</w:t>
                  </w:r>
                </w:p>
              </w:tc>
              <w:tc>
                <w:tcPr>
                  <w:tcW w:w="1378" w:type="dxa"/>
                  <w:vMerge w:val="continue"/>
                  <w:tcBorders>
                    <w:tl2br w:val="nil"/>
                    <w:tr2bl w:val="nil"/>
                  </w:tcBorders>
                  <w:vAlign w:val="center"/>
                </w:tcPr>
                <w:p>
                  <w:pPr>
                    <w:ind w:left="105" w:leftChars="50" w:right="105" w:rightChars="50"/>
                    <w:jc w:val="center"/>
                    <w:rPr>
                      <w:rFonts w:ascii="Times New Roman" w:hAnsi="Times New Roman" w:eastAsia="宋体" w:cs="Times New Roman"/>
                      <w:szCs w:val="21"/>
                    </w:rPr>
                  </w:pPr>
                </w:p>
              </w:tc>
              <w:tc>
                <w:tcPr>
                  <w:tcW w:w="992"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734" w:type="dxa"/>
                  <w:vMerge w:val="continue"/>
                  <w:tcBorders>
                    <w:tl2br w:val="nil"/>
                    <w:tr2bl w:val="nil"/>
                  </w:tcBorders>
                  <w:vAlign w:val="center"/>
                </w:tcPr>
                <w:p>
                  <w:pPr>
                    <w:adjustRightInd w:val="0"/>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88" w:hRule="atLeast"/>
                <w:jc w:val="center"/>
              </w:trPr>
              <w:tc>
                <w:tcPr>
                  <w:tcW w:w="918" w:type="dxa"/>
                  <w:tcBorders>
                    <w:tl2br w:val="nil"/>
                    <w:tr2bl w:val="nil"/>
                  </w:tcBorders>
                  <w:textDirection w:val="tbRlV"/>
                  <w:vAlign w:val="center"/>
                </w:tcPr>
                <w:p>
                  <w:pPr>
                    <w:adjustRightInd w:val="0"/>
                    <w:snapToGrid w:val="0"/>
                    <w:jc w:val="center"/>
                    <w:rPr>
                      <w:rFonts w:ascii="Times New Roman" w:hAnsi="Times New Roman" w:cs="Times New Roman"/>
                      <w:bCs/>
                      <w:szCs w:val="21"/>
                    </w:rPr>
                  </w:pPr>
                  <w:r>
                    <w:rPr>
                      <w:rFonts w:ascii="Times New Roman" w:hAnsi="Times New Roman" w:cs="Times New Roman"/>
                      <w:bCs/>
                      <w:szCs w:val="21"/>
                    </w:rPr>
                    <w:t>水污染物</w:t>
                  </w:r>
                </w:p>
              </w:tc>
              <w:tc>
                <w:tcPr>
                  <w:tcW w:w="1127" w:type="dxa"/>
                  <w:tcBorders>
                    <w:tl2br w:val="nil"/>
                    <w:tr2bl w:val="nil"/>
                  </w:tcBorders>
                  <w:vAlign w:val="center"/>
                </w:tcPr>
                <w:p>
                  <w:pPr>
                    <w:rPr>
                      <w:rFonts w:ascii="Times New Roman" w:hAnsi="Times New Roman" w:eastAsia="宋体" w:cs="Times New Roman"/>
                      <w:bCs/>
                      <w:szCs w:val="21"/>
                    </w:rPr>
                  </w:pPr>
                  <w:r>
                    <w:t>办公</w:t>
                  </w:r>
                  <w:r>
                    <w:rPr>
                      <w:rFonts w:hint="eastAsia"/>
                    </w:rPr>
                    <w:t>废水</w:t>
                  </w:r>
                  <w:r>
                    <w:t>、 外来人员入 厕用水</w:t>
                  </w:r>
                  <w:r>
                    <w:rPr>
                      <w:rFonts w:hint="eastAsia"/>
                    </w:rPr>
                    <w:t>、</w:t>
                  </w:r>
                  <w:r>
                    <w:t>食堂的含油污水及地坪冲洗水</w:t>
                  </w:r>
                </w:p>
              </w:tc>
              <w:tc>
                <w:tcPr>
                  <w:tcW w:w="127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SS、COD、BOD</w:t>
                  </w:r>
                  <w:r>
                    <w:rPr>
                      <w:rFonts w:ascii="Times New Roman" w:hAnsi="Times New Roman" w:cs="Times New Roman"/>
                      <w:szCs w:val="21"/>
                      <w:vertAlign w:val="subscript"/>
                    </w:rPr>
                    <w:t>5</w:t>
                  </w:r>
                  <w:r>
                    <w:rPr>
                      <w:rFonts w:ascii="Times New Roman" w:hAnsi="Times New Roman" w:cs="Times New Roman"/>
                      <w:szCs w:val="21"/>
                    </w:rPr>
                    <w:t xml:space="preserve"> 、</w:t>
                  </w:r>
                  <w:r>
                    <w:rPr>
                      <w:rFonts w:hint="eastAsia" w:ascii="Times New Roman" w:hAnsi="Times New Roman" w:cs="Times New Roman"/>
                      <w:szCs w:val="21"/>
                    </w:rPr>
                    <w:t>p</w:t>
                  </w:r>
                  <w:r>
                    <w:rPr>
                      <w:rFonts w:ascii="Times New Roman" w:hAnsi="Times New Roman" w:cs="Times New Roman"/>
                      <w:szCs w:val="21"/>
                    </w:rPr>
                    <w:t>H</w:t>
                  </w:r>
                </w:p>
                <w:p>
                  <w:pPr>
                    <w:jc w:val="center"/>
                    <w:rPr>
                      <w:rFonts w:ascii="Times New Roman" w:hAnsi="Times New Roman" w:eastAsia="宋体" w:cs="Times New Roman"/>
                      <w:bCs/>
                      <w:szCs w:val="21"/>
                    </w:rPr>
                  </w:pPr>
                  <w:r>
                    <w:rPr>
                      <w:rFonts w:hint="eastAsia" w:ascii="Times New Roman" w:hAnsi="Times New Roman" w:cs="Times New Roman"/>
                      <w:szCs w:val="21"/>
                    </w:rPr>
                    <w:t>、</w:t>
                  </w: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p>
                  <w:pPr>
                    <w:jc w:val="center"/>
                    <w:rPr>
                      <w:rFonts w:ascii="Times New Roman" w:hAnsi="Times New Roman" w:eastAsia="宋体" w:cs="Times New Roman"/>
                      <w:bCs/>
                      <w:szCs w:val="21"/>
                    </w:rPr>
                  </w:pPr>
                  <w:r>
                    <w:rPr>
                      <w:rFonts w:ascii="Times New Roman" w:hAnsi="Times New Roman" w:cs="Times New Roman"/>
                      <w:szCs w:val="21"/>
                    </w:rPr>
                    <w:t>石油类</w:t>
                  </w:r>
                </w:p>
              </w:tc>
              <w:tc>
                <w:tcPr>
                  <w:tcW w:w="2330" w:type="dxa"/>
                  <w:tcBorders>
                    <w:tl2br w:val="nil"/>
                    <w:tr2bl w:val="nil"/>
                  </w:tcBorders>
                  <w:vAlign w:val="center"/>
                </w:tcPr>
                <w:p>
                  <w:pPr>
                    <w:rPr>
                      <w:rFonts w:ascii="Times New Roman" w:hAnsi="Times New Roman" w:cs="Times New Roman"/>
                      <w:bCs/>
                      <w:szCs w:val="21"/>
                    </w:rPr>
                  </w:pPr>
                  <w:r>
                    <w:t>场地冲洗水经隔油池预处理与其 他生活污水一并进入三级化粪池 处理达《污水综合排放标准标准》 (GB8978-1996)中三级标准后，依 托</w:t>
                  </w:r>
                  <w:r>
                    <w:rPr>
                      <w:rFonts w:hint="eastAsia"/>
                    </w:rPr>
                    <w:t>荔波县</w:t>
                  </w:r>
                  <w:r>
                    <w:t>三荔高速</w:t>
                  </w:r>
                  <w:r>
                    <w:rPr>
                      <w:rFonts w:hint="eastAsia"/>
                    </w:rPr>
                    <w:t>荔波</w:t>
                  </w:r>
                  <w:r>
                    <w:t>服务区污水处理站处理达到《城 镇污水处理厂污染物排放标准》 (GB18918-2002)一级 B 标准后，回 用于绿化或农灌，不外排</w:t>
                  </w:r>
                </w:p>
              </w:tc>
              <w:tc>
                <w:tcPr>
                  <w:tcW w:w="1378" w:type="dxa"/>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szCs w:val="21"/>
                    </w:rPr>
                    <w:t>与环评</w:t>
                  </w:r>
                  <w:r>
                    <w:rPr>
                      <w:rFonts w:hint="eastAsia" w:ascii="Times New Roman" w:hAnsi="Times New Roman" w:eastAsia="宋体" w:cs="Times New Roman"/>
                      <w:szCs w:val="21"/>
                    </w:rPr>
                    <w:t>基本</w:t>
                  </w:r>
                  <w:r>
                    <w:rPr>
                      <w:rFonts w:ascii="Times New Roman" w:hAnsi="Times New Roman" w:eastAsia="宋体" w:cs="Times New Roman"/>
                      <w:szCs w:val="21"/>
                    </w:rPr>
                    <w:t>一致</w:t>
                  </w:r>
                </w:p>
              </w:tc>
              <w:tc>
                <w:tcPr>
                  <w:tcW w:w="992" w:type="dxa"/>
                  <w:tcBorders>
                    <w:tl2br w:val="nil"/>
                    <w:tr2bl w:val="nil"/>
                  </w:tcBorders>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cs="Times New Roman"/>
                      <w:bCs/>
                      <w:szCs w:val="21"/>
                    </w:rPr>
                    <w:t>/</w:t>
                  </w:r>
                </w:p>
                <w:p>
                  <w:pPr>
                    <w:adjustRightInd w:val="0"/>
                    <w:snapToGrid w:val="0"/>
                    <w:jc w:val="center"/>
                    <w:rPr>
                      <w:rFonts w:ascii="Times New Roman" w:hAnsi="Times New Roman" w:eastAsia="宋体" w:cs="Times New Roman"/>
                      <w:bCs/>
                      <w:szCs w:val="21"/>
                    </w:rPr>
                  </w:pPr>
                </w:p>
              </w:tc>
              <w:tc>
                <w:tcPr>
                  <w:tcW w:w="734" w:type="dxa"/>
                  <w:tcBorders>
                    <w:tl2br w:val="nil"/>
                    <w:tr2bl w:val="nil"/>
                  </w:tcBorders>
                  <w:vAlign w:val="center"/>
                </w:tcPr>
                <w:p>
                  <w:pPr>
                    <w:adjustRightInd w:val="0"/>
                    <w:snapToGrid w:val="0"/>
                    <w:jc w:val="center"/>
                    <w:rPr>
                      <w:rFonts w:ascii="Times New Roman" w:hAnsi="Times New Roman" w:cs="Times New Roman"/>
                      <w:bCs/>
                      <w:szCs w:val="21"/>
                    </w:rPr>
                  </w:pPr>
                  <w:r>
                    <w:rPr>
                      <w:rFonts w:hint="eastAsia" w:ascii="Times New Roman" w:hAnsi="Times New Roman" w:cs="Times New Roman"/>
                      <w:bCs/>
                      <w:szCs w:val="21"/>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918" w:type="dxa"/>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固体污染物</w:t>
                  </w:r>
                </w:p>
              </w:tc>
              <w:tc>
                <w:tcPr>
                  <w:tcW w:w="1127" w:type="dxa"/>
                  <w:tcBorders>
                    <w:tl2br w:val="nil"/>
                    <w:tr2bl w:val="nil"/>
                  </w:tcBorders>
                  <w:vAlign w:val="center"/>
                </w:tcPr>
                <w:p>
                  <w:pPr>
                    <w:rPr>
                      <w:rFonts w:ascii="Times New Roman" w:hAnsi="Times New Roman" w:eastAsia="宋体" w:cs="Times New Roman"/>
                      <w:bCs/>
                      <w:szCs w:val="21"/>
                    </w:rPr>
                  </w:pPr>
                  <w:r>
                    <w:rPr>
                      <w:rFonts w:ascii="Times New Roman" w:hAnsi="Times New Roman" w:cs="Times New Roman"/>
                      <w:szCs w:val="21"/>
                    </w:rPr>
                    <w:t>生活垃圾</w:t>
                  </w:r>
                </w:p>
              </w:tc>
              <w:tc>
                <w:tcPr>
                  <w:tcW w:w="1270" w:type="dxa"/>
                  <w:tcBorders>
                    <w:tl2br w:val="nil"/>
                    <w:tr2bl w:val="nil"/>
                  </w:tcBorders>
                  <w:vAlign w:val="center"/>
                </w:tcPr>
                <w:p>
                  <w:pPr>
                    <w:rPr>
                      <w:rFonts w:ascii="Times New Roman" w:hAnsi="Times New Roman" w:cs="Times New Roman"/>
                      <w:szCs w:val="21"/>
                    </w:rPr>
                  </w:pPr>
                  <w:r>
                    <w:rPr>
                      <w:rFonts w:ascii="Times New Roman" w:hAnsi="Times New Roman" w:cs="Times New Roman"/>
                      <w:szCs w:val="21"/>
                    </w:rPr>
                    <w:t>生活垃圾</w:t>
                  </w:r>
                </w:p>
              </w:tc>
              <w:tc>
                <w:tcPr>
                  <w:tcW w:w="2330" w:type="dxa"/>
                  <w:tcBorders>
                    <w:tl2br w:val="nil"/>
                    <w:tr2bl w:val="nil"/>
                  </w:tcBorders>
                  <w:vAlign w:val="center"/>
                </w:tcPr>
                <w:p>
                  <w:pPr>
                    <w:rPr>
                      <w:rFonts w:ascii="Times New Roman" w:hAnsi="Times New Roman" w:eastAsia="宋体" w:cs="Times New Roman"/>
                      <w:bCs/>
                      <w:szCs w:val="21"/>
                    </w:rPr>
                  </w:pPr>
                  <w:r>
                    <w:rPr>
                      <w:rFonts w:ascii="Times New Roman" w:hAnsi="Times New Roman" w:cs="Times New Roman"/>
                      <w:szCs w:val="21"/>
                    </w:rPr>
                    <w:t>设置垃圾桶，定期由</w:t>
                  </w:r>
                  <w:r>
                    <w:rPr>
                      <w:rFonts w:hint="eastAsia" w:ascii="Times New Roman" w:hAnsi="Times New Roman" w:cs="Times New Roman"/>
                      <w:szCs w:val="21"/>
                    </w:rPr>
                    <w:t>当地</w:t>
                  </w:r>
                  <w:r>
                    <w:rPr>
                      <w:rFonts w:ascii="Times New Roman" w:hAnsi="Times New Roman" w:cs="Times New Roman"/>
                      <w:szCs w:val="21"/>
                    </w:rPr>
                    <w:t>环卫部门清运</w:t>
                  </w:r>
                </w:p>
              </w:tc>
              <w:tc>
                <w:tcPr>
                  <w:tcW w:w="3104" w:type="dxa"/>
                  <w:gridSpan w:val="3"/>
                  <w:tcBorders>
                    <w:tl2br w:val="nil"/>
                    <w:tr2bl w:val="nil"/>
                  </w:tcBorders>
                  <w:vAlign w:val="center"/>
                </w:tcPr>
                <w:p>
                  <w:pPr>
                    <w:spacing w:line="360" w:lineRule="auto"/>
                    <w:jc w:val="center"/>
                    <w:rPr>
                      <w:rFonts w:ascii="Times New Roman" w:hAnsi="Times New Roman" w:eastAsia="宋体" w:cs="Times New Roman"/>
                      <w:bCs/>
                      <w:szCs w:val="21"/>
                    </w:rPr>
                  </w:pPr>
                  <w:r>
                    <w:rPr>
                      <w:rFonts w:ascii="Times New Roman" w:hAnsi="Times New Roman" w:eastAsia="宋体" w:cs="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szCs w:val="21"/>
                    </w:rPr>
                    <w:t>隔油池</w:t>
                  </w:r>
                  <w:r>
                    <w:rPr>
                      <w:rFonts w:hint="eastAsia" w:ascii="Times New Roman" w:hAnsi="Times New Roman" w:cs="Times New Roman"/>
                      <w:szCs w:val="21"/>
                    </w:rPr>
                    <w:t>、生化池</w:t>
                  </w:r>
                </w:p>
              </w:tc>
              <w:tc>
                <w:tcPr>
                  <w:tcW w:w="12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污泥</w:t>
                  </w:r>
                </w:p>
              </w:tc>
              <w:tc>
                <w:tcPr>
                  <w:tcW w:w="2330" w:type="dxa"/>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hint="eastAsia" w:ascii="Times New Roman" w:hAnsi="Times New Roman" w:cs="Times New Roman"/>
                      <w:szCs w:val="21"/>
                    </w:rPr>
                    <w:t>由环卫收集送至垃圾填埋场</w:t>
                  </w:r>
                </w:p>
              </w:tc>
              <w:tc>
                <w:tcPr>
                  <w:tcW w:w="3104" w:type="dxa"/>
                  <w:gridSpan w:val="3"/>
                  <w:vMerge w:val="restart"/>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ascii="Times New Roman" w:hAnsi="Times New Roman" w:eastAsia="宋体" w:cs="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cs="Times New Roman"/>
                      <w:szCs w:val="21"/>
                    </w:rPr>
                  </w:pPr>
                  <w:r>
                    <w:t>隔油池、生 化池</w:t>
                  </w:r>
                </w:p>
              </w:tc>
              <w:tc>
                <w:tcPr>
                  <w:tcW w:w="1270" w:type="dxa"/>
                  <w:tcBorders>
                    <w:tl2br w:val="nil"/>
                    <w:tr2bl w:val="nil"/>
                  </w:tcBorders>
                  <w:vAlign w:val="center"/>
                </w:tcPr>
                <w:p>
                  <w:pPr>
                    <w:rPr>
                      <w:rFonts w:ascii="Times New Roman" w:hAnsi="Times New Roman" w:eastAsia="宋体" w:cs="Times New Roman"/>
                      <w:szCs w:val="21"/>
                    </w:rPr>
                  </w:pPr>
                  <w:r>
                    <w:t>隔油沉淀池 废油</w:t>
                  </w:r>
                </w:p>
              </w:tc>
              <w:tc>
                <w:tcPr>
                  <w:tcW w:w="2330" w:type="dxa"/>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t>配备容积不小于100L的防腐铁桶，将隔油池的含水废油、油罐污泥定期打捞后装入铁桶 内，定期交由单位处理</w:t>
                  </w:r>
                </w:p>
              </w:tc>
              <w:tc>
                <w:tcPr>
                  <w:tcW w:w="3104" w:type="dxa"/>
                  <w:gridSpan w:val="3"/>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cs="Times New Roman"/>
                      <w:szCs w:val="21"/>
                    </w:rPr>
                  </w:pPr>
                  <w:r>
                    <w:t>设备维修</w:t>
                  </w:r>
                </w:p>
              </w:tc>
              <w:tc>
                <w:tcPr>
                  <w:tcW w:w="1270" w:type="dxa"/>
                  <w:tcBorders>
                    <w:tl2br w:val="nil"/>
                    <w:tr2bl w:val="nil"/>
                  </w:tcBorders>
                  <w:vAlign w:val="center"/>
                </w:tcPr>
                <w:p>
                  <w:pPr>
                    <w:jc w:val="center"/>
                    <w:rPr>
                      <w:rFonts w:ascii="Times New Roman" w:hAnsi="Times New Roman" w:cs="Times New Roman"/>
                      <w:szCs w:val="21"/>
                    </w:rPr>
                  </w:pPr>
                  <w:r>
                    <w:t>废机油、含 油棉纱等</w:t>
                  </w:r>
                </w:p>
              </w:tc>
              <w:tc>
                <w:tcPr>
                  <w:tcW w:w="2330"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3104" w:type="dxa"/>
                  <w:gridSpan w:val="3"/>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center"/>
              </w:trPr>
              <w:tc>
                <w:tcPr>
                  <w:tcW w:w="918" w:type="dxa"/>
                  <w:tcBorders>
                    <w:tl2br w:val="nil"/>
                    <w:tr2bl w:val="nil"/>
                  </w:tcBorders>
                  <w:textDirection w:val="tbRlV"/>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噪声</w:t>
                  </w:r>
                </w:p>
              </w:tc>
              <w:tc>
                <w:tcPr>
                  <w:tcW w:w="1127" w:type="dxa"/>
                  <w:tcBorders>
                    <w:tl2br w:val="nil"/>
                    <w:tr2bl w:val="nil"/>
                  </w:tcBorders>
                  <w:vAlign w:val="center"/>
                </w:tcPr>
                <w:p>
                  <w:pPr>
                    <w:jc w:val="center"/>
                    <w:rPr>
                      <w:rFonts w:ascii="Times New Roman" w:hAnsi="Times New Roman" w:cs="Times New Roman"/>
                      <w:szCs w:val="21"/>
                      <w:highlight w:val="yellow"/>
                    </w:rPr>
                  </w:pPr>
                  <w:r>
                    <w:rPr>
                      <w:rFonts w:ascii="Times New Roman" w:hAnsi="Times New Roman" w:cs="Times New Roman"/>
                      <w:szCs w:val="21"/>
                    </w:rPr>
                    <w:t>设备、车辆</w:t>
                  </w:r>
                </w:p>
              </w:tc>
              <w:tc>
                <w:tcPr>
                  <w:tcW w:w="127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噪声</w:t>
                  </w:r>
                </w:p>
              </w:tc>
              <w:tc>
                <w:tcPr>
                  <w:tcW w:w="5434" w:type="dxa"/>
                  <w:gridSpan w:val="4"/>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通过采购低噪声设备，对泵体等高噪声设备采取隔音降噪；在项目区域内加强交通管理，做好交通疏导，限制进入区域内车辆的车速，同时，禁止在区域内鸣喇叭；备用发电机噪声通过优选低噪声设备、建筑隔声、防振、消声措施控制，主机房墙面贴吸声材料，站区内、外加强绿化等措施，尽量减小项目营运期噪声对周边环境的影响。</w:t>
                  </w:r>
                </w:p>
              </w:tc>
            </w:tr>
          </w:tbl>
          <w:p>
            <w:pPr>
              <w:rPr>
                <w:rFonts w:ascii="Times New Roman" w:hAnsi="Times New Roman" w:cs="Times New Roman"/>
                <w:b/>
                <w:bCs/>
                <w:sz w:val="28"/>
                <w:szCs w:val="28"/>
              </w:rPr>
            </w:pPr>
            <w:r>
              <w:rPr>
                <w:rFonts w:ascii="Times New Roman" w:hAnsi="Times New Roman" w:cs="Times New Roman"/>
                <w:b/>
                <w:bCs/>
                <w:sz w:val="28"/>
                <w:szCs w:val="28"/>
              </w:rPr>
              <w:t>2.6 主要环保投资</w:t>
            </w:r>
          </w:p>
          <w:p>
            <w:pPr>
              <w:spacing w:line="360" w:lineRule="auto"/>
              <w:ind w:firstLine="480" w:firstLineChars="200"/>
              <w:rPr>
                <w:rFonts w:ascii="Times New Roman" w:hAnsi="Times New Roman" w:cs="Times New Roman"/>
                <w:sz w:val="28"/>
                <w:szCs w:val="28"/>
              </w:rPr>
            </w:pPr>
            <w:r>
              <w:rPr>
                <w:rFonts w:ascii="Times New Roman" w:hAnsi="Times New Roman" w:cs="Times New Roman"/>
                <w:sz w:val="24"/>
              </w:rPr>
              <w:t>本项目实际总投资</w:t>
            </w:r>
            <w:r>
              <w:rPr>
                <w:rFonts w:hint="eastAsia" w:ascii="Times New Roman" w:hAnsi="Times New Roman" w:cs="Times New Roman"/>
                <w:sz w:val="24"/>
              </w:rPr>
              <w:t>4700</w:t>
            </w:r>
            <w:r>
              <w:rPr>
                <w:rFonts w:ascii="Times New Roman" w:hAnsi="Times New Roman" w:cs="Times New Roman"/>
                <w:sz w:val="24"/>
              </w:rPr>
              <w:t>万元，环保投资</w:t>
            </w:r>
            <w:r>
              <w:rPr>
                <w:rFonts w:hint="eastAsia" w:ascii="Times New Roman" w:hAnsi="Times New Roman" w:cs="Times New Roman"/>
                <w:sz w:val="24"/>
              </w:rPr>
              <w:t>52.3</w:t>
            </w:r>
            <w:r>
              <w:rPr>
                <w:rFonts w:ascii="Times New Roman" w:hAnsi="Times New Roman" w:cs="Times New Roman"/>
                <w:sz w:val="24"/>
              </w:rPr>
              <w:t>万元，占总投资</w:t>
            </w:r>
            <w:r>
              <w:rPr>
                <w:rFonts w:hint="eastAsia" w:ascii="Times New Roman" w:hAnsi="Times New Roman" w:cs="Times New Roman"/>
                <w:sz w:val="24"/>
              </w:rPr>
              <w:t>1.11</w:t>
            </w:r>
            <w:r>
              <w:rPr>
                <w:rFonts w:ascii="Times New Roman" w:hAnsi="Times New Roman" w:cs="Times New Roman"/>
                <w:sz w:val="24"/>
              </w:rPr>
              <w:t>%。项目实际投资情况见下表2-2。</w:t>
            </w:r>
          </w:p>
          <w:p>
            <w:pPr>
              <w:rPr>
                <w:rFonts w:ascii="Times New Roman" w:hAnsi="Times New Roman" w:cs="Times New Roman"/>
                <w:b/>
                <w:bCs/>
                <w:sz w:val="24"/>
              </w:rPr>
            </w:pPr>
          </w:p>
          <w:p>
            <w:pPr>
              <w:ind w:firstLine="482" w:firstLineChars="200"/>
              <w:jc w:val="center"/>
              <w:rPr>
                <w:rFonts w:ascii="Times New Roman" w:hAnsi="Times New Roman" w:cs="Times New Roman"/>
                <w:b/>
                <w:bCs/>
                <w:sz w:val="24"/>
              </w:rPr>
            </w:pPr>
            <w:r>
              <w:rPr>
                <w:rFonts w:ascii="Times New Roman" w:hAnsi="Times New Roman" w:cs="Times New Roman"/>
                <w:b/>
                <w:bCs/>
                <w:sz w:val="24"/>
              </w:rPr>
              <w:t>表2-2 项目实际投资情况</w:t>
            </w:r>
          </w:p>
          <w:tbl>
            <w:tblPr>
              <w:tblStyle w:val="15"/>
              <w:tblW w:w="86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978"/>
              <w:gridCol w:w="3852"/>
              <w:gridCol w:w="19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序号</w:t>
                  </w:r>
                </w:p>
              </w:tc>
              <w:tc>
                <w:tcPr>
                  <w:tcW w:w="1978"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类型</w:t>
                  </w:r>
                </w:p>
              </w:tc>
              <w:tc>
                <w:tcPr>
                  <w:tcW w:w="3852"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hint="eastAsia" w:ascii="Times New Roman" w:hAnsi="Times New Roman" w:cs="Times New Roman"/>
                      <w:b/>
                      <w:szCs w:val="21"/>
                    </w:rPr>
                    <w:t>内容</w:t>
                  </w:r>
                </w:p>
              </w:tc>
              <w:tc>
                <w:tcPr>
                  <w:tcW w:w="1997" w:type="dxa"/>
                  <w:tcBorders>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价格（万元）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废气治理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油气回收装置</w:t>
                  </w:r>
                  <w:r>
                    <w:rPr>
                      <w:rFonts w:hint="eastAsia" w:ascii="Times New Roman" w:hAnsi="Times New Roman" w:cs="Times New Roman"/>
                      <w:szCs w:val="21"/>
                    </w:rPr>
                    <w:t>（一次、二次）</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978"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废水治理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szCs w:val="21"/>
                    </w:rPr>
                    <w:t>三级化粪池</w:t>
                  </w:r>
                  <w:r>
                    <w:rPr>
                      <w:rFonts w:ascii="Times New Roman" w:hAnsi="Times New Roman" w:cs="Times New Roman"/>
                      <w:szCs w:val="21"/>
                    </w:rPr>
                    <w:t>（</w:t>
                  </w:r>
                  <w:r>
                    <w:rPr>
                      <w:rFonts w:hint="eastAsia" w:ascii="Times New Roman" w:hAnsi="Times New Roman" w:cs="Times New Roman"/>
                      <w:szCs w:val="21"/>
                    </w:rPr>
                    <w:t>1个，5</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978"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隔油</w:t>
                  </w:r>
                  <w:r>
                    <w:rPr>
                      <w:rFonts w:hint="eastAsia" w:ascii="Times New Roman" w:hAnsi="Times New Roman" w:cs="Times New Roman"/>
                      <w:szCs w:val="21"/>
                    </w:rPr>
                    <w:t>池</w:t>
                  </w:r>
                  <w:r>
                    <w:rPr>
                      <w:rFonts w:ascii="Times New Roman" w:hAnsi="Times New Roman" w:cs="Times New Roman"/>
                      <w:szCs w:val="21"/>
                    </w:rPr>
                    <w:t>（</w:t>
                  </w:r>
                  <w:r>
                    <w:rPr>
                      <w:rFonts w:hint="eastAsia" w:ascii="Times New Roman" w:hAnsi="Times New Roman" w:cs="Times New Roman"/>
                      <w:szCs w:val="21"/>
                    </w:rPr>
                    <w:t>1个，1</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噪声治理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t>减震安装，消声、吸声、隔声措施</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978"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固废治理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垃圾桶</w:t>
                  </w:r>
                  <w:r>
                    <w:rPr>
                      <w:rFonts w:hint="eastAsia" w:ascii="Times New Roman" w:hAnsi="Times New Roman" w:cs="Times New Roman"/>
                      <w:szCs w:val="21"/>
                    </w:rPr>
                    <w:t>2</w:t>
                  </w:r>
                  <w:r>
                    <w:rPr>
                      <w:rFonts w:ascii="Times New Roman" w:hAnsi="Times New Roman" w:cs="Times New Roman"/>
                      <w:szCs w:val="21"/>
                    </w:rPr>
                    <w:t>个</w:t>
                  </w:r>
                  <w:r>
                    <w:rPr>
                      <w:rFonts w:hint="eastAsia" w:ascii="Times New Roman" w:hAnsi="Times New Roman" w:cs="Times New Roman"/>
                      <w:szCs w:val="21"/>
                    </w:rPr>
                    <w:t>，铁通</w:t>
                  </w:r>
                  <w:r>
                    <w:t xml:space="preserve">100L(1 个)，用于收集隔油沉砂池废油； </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978"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危废暂存间（</w:t>
                  </w:r>
                  <w:r>
                    <w:rPr>
                      <w:rFonts w:hint="eastAsia" w:ascii="Times New Roman" w:hAnsi="Times New Roman" w:cs="Times New Roman"/>
                      <w:szCs w:val="21"/>
                    </w:rPr>
                    <w:t>1个，20</w:t>
                  </w:r>
                  <w:r>
                    <w:rPr>
                      <w:rFonts w:ascii="Times New Roman" w:hAnsi="Times New Roman" w:cs="Times New Roman"/>
                      <w:szCs w:val="21"/>
                    </w:rPr>
                    <w:t>m</w:t>
                  </w:r>
                  <w:r>
                    <w:rPr>
                      <w:rFonts w:hint="eastAsia" w:ascii="Times New Roman" w:hAnsi="Times New Roman" w:cs="Times New Roman"/>
                      <w:szCs w:val="21"/>
                      <w:vertAlign w:val="superscript"/>
                    </w:rPr>
                    <w:t>3</w:t>
                  </w:r>
                  <w:r>
                    <w:rPr>
                      <w:rFonts w:ascii="Times New Roman" w:hAnsi="Times New Roman" w:cs="Times New Roman"/>
                      <w:szCs w:val="21"/>
                    </w:rPr>
                    <w:t>）</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绿化</w:t>
                  </w:r>
                </w:p>
              </w:tc>
              <w:tc>
                <w:tcPr>
                  <w:tcW w:w="38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绿化</w:t>
                  </w:r>
                  <w:r>
                    <w:rPr>
                      <w:rFonts w:hint="eastAsia" w:ascii="Times New Roman" w:hAnsi="Times New Roman" w:cs="Times New Roman"/>
                      <w:szCs w:val="21"/>
                    </w:rPr>
                    <w:t>面积1440</w:t>
                  </w:r>
                  <w:r>
                    <w:rPr>
                      <w:rFonts w:ascii="Times New Roman" w:hAnsi="Times New Roman" w:cs="Times New Roman"/>
                      <w:szCs w:val="21"/>
                    </w:rPr>
                    <w:t>m</w:t>
                  </w:r>
                  <w:r>
                    <w:rPr>
                      <w:rFonts w:ascii="Times New Roman" w:hAnsi="Times New Roman" w:cs="Times New Roman"/>
                      <w:szCs w:val="21"/>
                      <w:vertAlign w:val="superscript"/>
                    </w:rPr>
                    <w:t>2</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t>地下水污染防治</w:t>
                  </w:r>
                </w:p>
              </w:tc>
              <w:tc>
                <w:tcPr>
                  <w:tcW w:w="3852" w:type="dxa"/>
                  <w:tcBorders>
                    <w:tl2br w:val="nil"/>
                    <w:tr2bl w:val="nil"/>
                  </w:tcBorders>
                  <w:vAlign w:val="center"/>
                </w:tcPr>
                <w:p>
                  <w:pPr>
                    <w:spacing w:line="360" w:lineRule="auto"/>
                    <w:jc w:val="center"/>
                    <w:rPr>
                      <w:rFonts w:ascii="Times New Roman" w:hAnsi="Times New Roman" w:cs="Times New Roman"/>
                      <w:szCs w:val="21"/>
                    </w:rPr>
                  </w:pPr>
                  <w:r>
                    <w:t>厂区、罐区的防渗、污水管道、污水处理设施的防渗处理</w:t>
                  </w:r>
                </w:p>
              </w:tc>
              <w:tc>
                <w:tcPr>
                  <w:tcW w:w="1997" w:type="dxa"/>
                  <w:tcBorders>
                    <w:tl2br w:val="nil"/>
                    <w:tr2bl w:val="nil"/>
                  </w:tcBorders>
                  <w:vAlign w:val="center"/>
                </w:tcPr>
                <w:p>
                  <w:pPr>
                    <w:spacing w:line="360" w:lineRule="auto"/>
                    <w:jc w:val="center"/>
                    <w:rPr>
                      <w:rFonts w:ascii="Times New Roman" w:hAnsi="Times New Roman" w:eastAsia="宋体" w:cs="Times New Roman"/>
                    </w:rPr>
                  </w:pPr>
                  <w:r>
                    <w:rPr>
                      <w:rFonts w:hint="eastAsia" w:ascii="Times New Roman" w:hAnsi="Times New Roman" w:eastAsia="宋体" w:cs="Times New Roma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环保管理</w:t>
                  </w:r>
                </w:p>
              </w:tc>
              <w:tc>
                <w:tcPr>
                  <w:tcW w:w="3852" w:type="dxa"/>
                  <w:tcBorders>
                    <w:tl2br w:val="nil"/>
                    <w:tr2bl w:val="nil"/>
                  </w:tcBorders>
                  <w:vAlign w:val="center"/>
                </w:tcPr>
                <w:p>
                  <w:pPr>
                    <w:spacing w:line="360" w:lineRule="auto"/>
                    <w:jc w:val="center"/>
                    <w:rPr>
                      <w:rFonts w:ascii="Times New Roman" w:hAnsi="Times New Roman" w:cs="Times New Roman"/>
                      <w:szCs w:val="21"/>
                    </w:rPr>
                  </w:pPr>
                  <w:r>
                    <w:t>环评、应急预案、油气回收监测、验收监测等</w:t>
                  </w:r>
                </w:p>
              </w:tc>
              <w:tc>
                <w:tcPr>
                  <w:tcW w:w="1997" w:type="dxa"/>
                  <w:tcBorders>
                    <w:tl2br w:val="nil"/>
                    <w:tr2bl w:val="nil"/>
                  </w:tcBorders>
                  <w:vAlign w:val="center"/>
                </w:tcPr>
                <w:p>
                  <w:pPr>
                    <w:spacing w:line="360" w:lineRule="auto"/>
                    <w:jc w:val="center"/>
                    <w:rPr>
                      <w:rFonts w:ascii="Times New Roman" w:hAnsi="Times New Roman" w:eastAsia="宋体" w:cs="Times New Roman"/>
                    </w:rPr>
                  </w:pPr>
                  <w:r>
                    <w:rPr>
                      <w:rFonts w:hint="eastAsia" w:ascii="Times New Roman" w:hAnsi="Times New Roman" w:eastAsia="宋体" w:cs="Times New Roma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7" w:type="dxa"/>
                  <w:gridSpan w:val="3"/>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合计</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52.3</w:t>
                  </w:r>
                </w:p>
              </w:tc>
            </w:tr>
          </w:tbl>
          <w:p>
            <w:pPr>
              <w:spacing w:line="360" w:lineRule="auto"/>
              <w:rPr>
                <w:rFonts w:ascii="Times New Roman" w:hAnsi="Times New Roman" w:eastAsia="宋体" w:cs="Times New Roman"/>
                <w:sz w:val="28"/>
                <w:szCs w:val="28"/>
              </w:rPr>
            </w:pPr>
          </w:p>
        </w:tc>
      </w:tr>
    </w:tbl>
    <w:p>
      <w:pPr>
        <w:pageBreakBefore/>
        <w:spacing w:line="360" w:lineRule="auto"/>
        <w:outlineLvl w:val="0"/>
        <w:rPr>
          <w:rFonts w:ascii="Times New Roman" w:hAnsi="Times New Roman" w:cs="Times New Roman"/>
          <w:b/>
          <w:sz w:val="28"/>
          <w:szCs w:val="28"/>
        </w:rPr>
      </w:pPr>
      <w:bookmarkStart w:id="13" w:name="_Toc21219"/>
      <w:bookmarkStart w:id="14" w:name="_Toc10223"/>
      <w:r>
        <w:rPr>
          <w:rFonts w:ascii="Times New Roman" w:hAnsi="Times New Roman" w:cs="Times New Roman"/>
          <w:b/>
          <w:sz w:val="28"/>
          <w:szCs w:val="28"/>
        </w:rPr>
        <w:t>表三</w:t>
      </w:r>
      <w:bookmarkEnd w:id="13"/>
      <w:r>
        <w:rPr>
          <w:rFonts w:ascii="Times New Roman" w:hAnsi="Times New Roman" w:cs="Times New Roman"/>
          <w:b/>
          <w:sz w:val="28"/>
          <w:szCs w:val="28"/>
        </w:rPr>
        <w:t xml:space="preserve">  环境影响评价报告表主要结论、建议及批复</w:t>
      </w:r>
      <w:bookmarkEnd w:id="14"/>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2" w:hRule="atLeast"/>
          <w:jc w:val="center"/>
        </w:trPr>
        <w:tc>
          <w:tcPr>
            <w:tcW w:w="9288" w:type="dxa"/>
          </w:tcPr>
          <w:p>
            <w:pPr>
              <w:rPr>
                <w:rFonts w:ascii="Times New Roman" w:hAnsi="Times New Roman" w:cs="Times New Roman"/>
                <w:b/>
                <w:sz w:val="28"/>
                <w:szCs w:val="28"/>
              </w:rPr>
            </w:pPr>
            <w:r>
              <w:rPr>
                <w:rFonts w:ascii="Times New Roman" w:hAnsi="Times New Roman" w:cs="Times New Roman"/>
                <w:b/>
                <w:bCs/>
                <w:sz w:val="28"/>
                <w:szCs w:val="28"/>
              </w:rPr>
              <w:t>3.1 环境影响评价报告表主要结论及建</w:t>
            </w:r>
            <w:r>
              <w:rPr>
                <w:rFonts w:ascii="Times New Roman" w:hAnsi="Times New Roman" w:cs="Times New Roman"/>
                <w:b/>
                <w:sz w:val="28"/>
                <w:szCs w:val="28"/>
              </w:rPr>
              <w:t>议（摘录）</w:t>
            </w:r>
          </w:p>
          <w:p>
            <w:pPr>
              <w:adjustRightInd w:val="0"/>
              <w:snapToGrid w:val="0"/>
              <w:spacing w:line="360" w:lineRule="auto"/>
              <w:rPr>
                <w:rFonts w:ascii="Times New Roman" w:hAnsi="Times New Roman" w:cs="Times New Roman"/>
                <w:b/>
                <w:sz w:val="24"/>
              </w:rPr>
            </w:pPr>
            <w:r>
              <w:rPr>
                <w:rFonts w:ascii="Times New Roman" w:hAnsi="Times New Roman" w:cs="Times New Roman"/>
                <w:b/>
                <w:sz w:val="24"/>
              </w:rPr>
              <w:t>结论：</w:t>
            </w:r>
          </w:p>
          <w:p>
            <w:pPr>
              <w:spacing w:line="360" w:lineRule="auto"/>
              <w:rPr>
                <w:rFonts w:ascii="Times New Roman" w:hAnsi="Times New Roman" w:cs="Times New Roman"/>
                <w:b/>
                <w:sz w:val="24"/>
              </w:rPr>
            </w:pPr>
            <w:r>
              <w:rPr>
                <w:rFonts w:hint="eastAsia" w:ascii="Times New Roman" w:hAnsi="Times New Roman" w:cs="Times New Roman"/>
                <w:b/>
                <w:sz w:val="24"/>
              </w:rPr>
              <w:t>1、项目概况</w:t>
            </w:r>
          </w:p>
          <w:p>
            <w:pPr>
              <w:kinsoku w:val="0"/>
              <w:overflowPunct w:val="0"/>
              <w:topLinePunct/>
              <w:autoSpaceDE w:val="0"/>
              <w:autoSpaceDN w:val="0"/>
              <w:spacing w:line="360" w:lineRule="auto"/>
              <w:ind w:firstLine="480" w:firstLineChars="200"/>
              <w:rPr>
                <w:rFonts w:ascii="Times New Roman" w:hAnsi="Times New Roman" w:eastAsia="宋体" w:cs="Times New Roman"/>
                <w:sz w:val="24"/>
              </w:rPr>
            </w:pPr>
            <w:r>
              <w:rPr>
                <w:sz w:val="24"/>
              </w:rPr>
              <w:t>项目地处贵州省黔南州</w:t>
            </w:r>
            <w:r>
              <w:rPr>
                <w:rFonts w:hint="eastAsia"/>
                <w:sz w:val="24"/>
              </w:rPr>
              <w:t>荔波</w:t>
            </w:r>
            <w:r>
              <w:rPr>
                <w:sz w:val="24"/>
              </w:rPr>
              <w:t>县三荔高速</w:t>
            </w:r>
            <w:r>
              <w:rPr>
                <w:rFonts w:hint="eastAsia"/>
                <w:sz w:val="24"/>
              </w:rPr>
              <w:t>荔波</w:t>
            </w:r>
            <w:r>
              <w:rPr>
                <w:sz w:val="24"/>
              </w:rPr>
              <w:t>服务区</w:t>
            </w:r>
            <w:r>
              <w:rPr>
                <w:rFonts w:hint="eastAsia"/>
                <w:sz w:val="24"/>
              </w:rPr>
              <w:t>西</w:t>
            </w:r>
            <w:r>
              <w:rPr>
                <w:sz w:val="24"/>
              </w:rPr>
              <w:t>侧。项目区地理位置为：东经</w:t>
            </w:r>
            <w:r>
              <w:rPr>
                <w:rFonts w:ascii="Times New Roman" w:hAnsi="Times New Roman" w:eastAsia="宋体" w:cs="Times New Roman"/>
                <w:sz w:val="24"/>
              </w:rPr>
              <w:t>107°</w:t>
            </w:r>
            <w:r>
              <w:rPr>
                <w:rFonts w:hint="eastAsia" w:ascii="Times New Roman" w:hAnsi="Times New Roman" w:eastAsia="宋体" w:cs="Times New Roman"/>
                <w:sz w:val="24"/>
              </w:rPr>
              <w:t>57</w:t>
            </w:r>
            <w:r>
              <w:rPr>
                <w:rFonts w:ascii="Times New Roman" w:hAnsi="Times New Roman" w:eastAsia="宋体" w:cs="Times New Roman"/>
                <w:sz w:val="24"/>
              </w:rPr>
              <w:t>′</w:t>
            </w:r>
            <w:r>
              <w:rPr>
                <w:rFonts w:hint="eastAsia" w:ascii="Times New Roman" w:hAnsi="Times New Roman" w:eastAsia="宋体" w:cs="Times New Roman"/>
                <w:sz w:val="24"/>
              </w:rPr>
              <w:t>19.34</w:t>
            </w:r>
            <w:r>
              <w:rPr>
                <w:sz w:val="24"/>
              </w:rPr>
              <w:t>"</w:t>
            </w:r>
            <w:r>
              <w:rPr>
                <w:rFonts w:ascii="Times New Roman" w:hAnsi="Times New Roman" w:eastAsia="宋体" w:cs="Times New Roman"/>
                <w:sz w:val="24"/>
              </w:rPr>
              <w:t>，北纬25°</w:t>
            </w:r>
            <w:r>
              <w:rPr>
                <w:rFonts w:hint="eastAsia" w:ascii="Times New Roman" w:hAnsi="Times New Roman" w:eastAsia="宋体" w:cs="Times New Roman"/>
                <w:sz w:val="24"/>
              </w:rPr>
              <w:t>27</w:t>
            </w:r>
            <w:r>
              <w:rPr>
                <w:rFonts w:ascii="Times New Roman" w:hAnsi="Times New Roman" w:eastAsia="宋体" w:cs="Times New Roman"/>
                <w:sz w:val="24"/>
              </w:rPr>
              <w:t>′</w:t>
            </w:r>
            <w:r>
              <w:rPr>
                <w:rFonts w:hint="eastAsia"/>
                <w:sz w:val="24"/>
              </w:rPr>
              <w:t>59.45</w:t>
            </w:r>
            <w:r>
              <w:rPr>
                <w:sz w:val="24"/>
              </w:rPr>
              <w:t>"</w:t>
            </w:r>
            <w:r>
              <w:rPr>
                <w:rFonts w:hint="eastAsia" w:ascii="Times New Roman" w:hAnsi="Times New Roman" w:eastAsia="宋体" w:cs="Times New Roman"/>
                <w:sz w:val="24"/>
              </w:rPr>
              <w:t>。</w:t>
            </w:r>
            <w:r>
              <w:rPr>
                <w:sz w:val="24"/>
              </w:rPr>
              <w:t>项目规模为 40m</w:t>
            </w:r>
            <w:r>
              <w:rPr>
                <w:sz w:val="24"/>
                <w:vertAlign w:val="superscript"/>
              </w:rPr>
              <w:t>3</w:t>
            </w:r>
            <w:r>
              <w:rPr>
                <w:sz w:val="24"/>
              </w:rPr>
              <w:t xml:space="preserve"> 柴油储罐 1 个，50m</w:t>
            </w:r>
            <w:r>
              <w:rPr>
                <w:sz w:val="24"/>
                <w:vertAlign w:val="superscript"/>
              </w:rPr>
              <w:t xml:space="preserve">3 </w:t>
            </w:r>
            <w:r>
              <w:rPr>
                <w:sz w:val="24"/>
              </w:rPr>
              <w:t>汽油储罐 2 个(92 #汽油罐 1 个、95 #汽油罐 1 个)，30m</w:t>
            </w:r>
            <w:r>
              <w:rPr>
                <w:sz w:val="24"/>
                <w:vertAlign w:val="superscript"/>
              </w:rPr>
              <w:t xml:space="preserve">3 </w:t>
            </w:r>
            <w:r>
              <w:rPr>
                <w:sz w:val="24"/>
              </w:rPr>
              <w:t>汽油储罐 1 个（92 #汽油罐 1 个）。加油机 4 台(16 枪)。油罐总容积 150m</w:t>
            </w:r>
            <w:r>
              <w:rPr>
                <w:sz w:val="24"/>
                <w:vertAlign w:val="superscript"/>
              </w:rPr>
              <w:t>3</w:t>
            </w:r>
            <w:r>
              <w:rPr>
                <w:sz w:val="24"/>
              </w:rPr>
              <w:t xml:space="preserve"> (柴油罐容积折半 计入油罐总容积)，单罐容积小于或等于 50m</w:t>
            </w:r>
            <w:r>
              <w:rPr>
                <w:sz w:val="24"/>
                <w:vertAlign w:val="superscript"/>
              </w:rPr>
              <w:t>3</w:t>
            </w:r>
            <w:r>
              <w:rPr>
                <w:sz w:val="24"/>
              </w:rPr>
              <w:t>，根据《汽车加油加气站设计与施 工规范》(GB50156-2012)2014 版，属二级加油站。项目生活设施依托于现有服务区，不设食宿，仅设置临时休息间</w:t>
            </w:r>
            <w:r>
              <w:rPr>
                <w:rFonts w:hint="eastAsia"/>
                <w:sz w:val="24"/>
              </w:rPr>
              <w:t>，</w:t>
            </w:r>
            <w:r>
              <w:rPr>
                <w:sz w:val="24"/>
              </w:rPr>
              <w:t>项目共计投资：4</w:t>
            </w:r>
            <w:r>
              <w:rPr>
                <w:rFonts w:hint="eastAsia"/>
                <w:sz w:val="24"/>
              </w:rPr>
              <w:t>700</w:t>
            </w:r>
            <w:r>
              <w:rPr>
                <w:sz w:val="24"/>
              </w:rPr>
              <w:t xml:space="preserve"> 万元。</w:t>
            </w:r>
          </w:p>
          <w:p>
            <w:pPr>
              <w:spacing w:line="360" w:lineRule="auto"/>
              <w:rPr>
                <w:rFonts w:ascii="Times New Roman" w:hAnsi="Times New Roman" w:cs="Times New Roman"/>
                <w:b/>
                <w:sz w:val="24"/>
              </w:rPr>
            </w:pPr>
            <w:r>
              <w:rPr>
                <w:rFonts w:hint="eastAsia" w:ascii="Times New Roman" w:hAnsi="Times New Roman" w:cs="Times New Roman"/>
                <w:b/>
                <w:sz w:val="24"/>
              </w:rPr>
              <w:t>2</w:t>
            </w:r>
            <w:r>
              <w:rPr>
                <w:rFonts w:ascii="Times New Roman" w:hAnsi="Times New Roman" w:cs="Times New Roman"/>
                <w:b/>
                <w:sz w:val="24"/>
              </w:rPr>
              <w:t>、产业政策相符性</w:t>
            </w:r>
          </w:p>
          <w:p>
            <w:pPr>
              <w:autoSpaceDE w:val="0"/>
              <w:autoSpaceDN w:val="0"/>
              <w:adjustRightInd w:val="0"/>
              <w:spacing w:line="360" w:lineRule="auto"/>
              <w:ind w:firstLine="480" w:firstLineChars="200"/>
              <w:rPr>
                <w:rFonts w:ascii="Times New Roman" w:hAnsi="Times New Roman" w:cs="Times New Roman"/>
                <w:sz w:val="24"/>
              </w:rPr>
            </w:pPr>
            <w:r>
              <w:rPr>
                <w:sz w:val="24"/>
              </w:rPr>
              <w:t>根据《产业结构调整指导目录(2019 年本)》(征求意见稿)，项目不属于鼓励类、限制类，也不属于淘汰类，为允许类项目，符合国家产业政策要求。</w:t>
            </w:r>
          </w:p>
          <w:p>
            <w:pPr>
              <w:spacing w:line="360" w:lineRule="auto"/>
              <w:rPr>
                <w:rFonts w:ascii="Times New Roman" w:hAnsi="Times New Roman" w:cs="Times New Roman"/>
                <w:b/>
                <w:sz w:val="24"/>
              </w:rPr>
            </w:pP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项目选址合理性分析</w:t>
            </w:r>
          </w:p>
          <w:p>
            <w:pPr>
              <w:spacing w:line="360" w:lineRule="auto"/>
              <w:ind w:firstLine="480" w:firstLineChars="200"/>
              <w:rPr>
                <w:rFonts w:ascii="Times New Roman" w:hAnsi="Times New Roman" w:cs="Times New Roman"/>
                <w:bCs/>
                <w:sz w:val="24"/>
              </w:rPr>
            </w:pPr>
            <w:r>
              <w:rPr>
                <w:sz w:val="24"/>
              </w:rPr>
              <w:t>项目周边无饮用水源保护区、</w:t>
            </w:r>
            <w:r>
              <w:rPr>
                <w:rFonts w:hint="eastAsia"/>
                <w:sz w:val="24"/>
              </w:rPr>
              <w:t>无</w:t>
            </w:r>
            <w:r>
              <w:rPr>
                <w:sz w:val="24"/>
              </w:rPr>
              <w:t>生态环境敏感区。项目用水、用电、路等基础设施齐全，因此，从环保的角度分析，本项目选址是合理的。</w:t>
            </w:r>
          </w:p>
          <w:p>
            <w:pPr>
              <w:spacing w:line="360" w:lineRule="auto"/>
              <w:rPr>
                <w:rFonts w:ascii="Times New Roman" w:hAnsi="Times New Roman" w:cs="Times New Roman"/>
                <w:b/>
                <w:sz w:val="24"/>
              </w:rPr>
            </w:pPr>
            <w:r>
              <w:rPr>
                <w:rFonts w:hint="eastAsia" w:ascii="Times New Roman" w:hAnsi="Times New Roman" w:cs="Times New Roman"/>
                <w:b/>
                <w:sz w:val="24"/>
              </w:rPr>
              <w:t>4、项目平面布置合理性分析</w:t>
            </w:r>
          </w:p>
          <w:p>
            <w:pPr>
              <w:autoSpaceDE w:val="0"/>
              <w:autoSpaceDN w:val="0"/>
              <w:adjustRightInd w:val="0"/>
              <w:spacing w:line="360" w:lineRule="auto"/>
              <w:ind w:firstLine="480" w:firstLineChars="200"/>
              <w:rPr>
                <w:rFonts w:ascii="Times New Roman" w:hAnsi="Times New Roman" w:cs="Times New Roman"/>
                <w:sz w:val="24"/>
              </w:rPr>
            </w:pPr>
            <w:r>
              <w:rPr>
                <w:sz w:val="24"/>
              </w:rPr>
              <w:t>根据站场的功能，大致分为 4 个功能设施区。分别为加油区、办公区、卸油区、停车区等。 加油区布置在地块前端，面向站外道路，连接高速公路的出入口，方便加油车辆的进出；留有满足车辆回转的回车场地；办公区布置于地块中部，位于加油棚的</w:t>
            </w:r>
            <w:r>
              <w:rPr>
                <w:rFonts w:hint="eastAsia"/>
                <w:sz w:val="24"/>
              </w:rPr>
              <w:t>中间</w:t>
            </w:r>
            <w:r>
              <w:rPr>
                <w:sz w:val="24"/>
              </w:rPr>
              <w:t xml:space="preserve">；总平面布置合理。 根据《石油与天然气工程设计防火规范》(GB20183-2015)、《汽车加油加气设计与施工规范》，本项目周围建筑物距油罐、通气管管口、加油机中最近距离为 </w:t>
            </w:r>
            <w:r>
              <w:rPr>
                <w:rFonts w:hint="eastAsia"/>
                <w:sz w:val="24"/>
              </w:rPr>
              <w:t>70</w:t>
            </w:r>
            <w:r>
              <w:rPr>
                <w:sz w:val="24"/>
              </w:rPr>
              <w:t>m，50m范围内无重要公共建筑物。符合二级加油加气站与民用建筑物防火距离的要求</w:t>
            </w:r>
            <w:r>
              <w:rPr>
                <w:rFonts w:hint="eastAsia"/>
                <w:sz w:val="24"/>
              </w:rPr>
              <w:t>。</w:t>
            </w:r>
          </w:p>
          <w:p>
            <w:pPr>
              <w:spacing w:line="360" w:lineRule="auto"/>
              <w:ind w:firstLine="12" w:firstLineChars="5"/>
              <w:rPr>
                <w:rFonts w:ascii="Times New Roman" w:hAnsi="Times New Roman" w:cs="Times New Roman"/>
                <w:b/>
                <w:sz w:val="24"/>
              </w:rPr>
            </w:pPr>
            <w:r>
              <w:rPr>
                <w:rFonts w:hint="eastAsia" w:ascii="Times New Roman" w:hAnsi="Times New Roman" w:cs="Times New Roman"/>
                <w:b/>
                <w:sz w:val="24"/>
              </w:rPr>
              <w:t>5</w:t>
            </w:r>
            <w:r>
              <w:rPr>
                <w:rFonts w:ascii="Times New Roman" w:hAnsi="Times New Roman" w:cs="Times New Roman"/>
                <w:b/>
                <w:sz w:val="24"/>
              </w:rPr>
              <w:t>、环境质量现状评价结论</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（1）地表</w:t>
            </w:r>
            <w:r>
              <w:rPr>
                <w:rFonts w:ascii="Times New Roman" w:hAnsi="Times New Roman" w:cs="Times New Roman"/>
                <w:sz w:val="24"/>
                <w:szCs w:val="24"/>
              </w:rPr>
              <w:t>水环境质量现状评价</w:t>
            </w:r>
          </w:p>
          <w:p>
            <w:pPr>
              <w:pStyle w:val="6"/>
              <w:spacing w:line="360" w:lineRule="auto"/>
              <w:ind w:firstLine="480"/>
              <w:rPr>
                <w:sz w:val="24"/>
                <w:szCs w:val="24"/>
              </w:rPr>
            </w:pPr>
            <w:r>
              <w:rPr>
                <w:rFonts w:hint="eastAsia" w:ascii="宋体" w:hAnsi="宋体"/>
                <w:sz w:val="24"/>
                <w:szCs w:val="24"/>
              </w:rPr>
              <w:t>①</w:t>
            </w:r>
            <w:r>
              <w:rPr>
                <w:sz w:val="24"/>
                <w:szCs w:val="24"/>
              </w:rPr>
              <w:t>地表水：本项目受纳地表水体为项目</w:t>
            </w:r>
            <w:r>
              <w:rPr>
                <w:rFonts w:hint="eastAsia"/>
                <w:sz w:val="24"/>
                <w:szCs w:val="24"/>
              </w:rPr>
              <w:t>东</w:t>
            </w:r>
            <w:r>
              <w:rPr>
                <w:sz w:val="24"/>
                <w:szCs w:val="24"/>
              </w:rPr>
              <w:t>侧的樟江，按照水功能区划划定原则， 应划分为</w:t>
            </w:r>
            <w:r>
              <w:rPr>
                <w:rFonts w:hint="eastAsia" w:ascii="宋体" w:hAnsi="宋体" w:cs="宋体"/>
                <w:sz w:val="24"/>
                <w:szCs w:val="24"/>
              </w:rPr>
              <w:t>Ⅲ</w:t>
            </w:r>
            <w:r>
              <w:rPr>
                <w:sz w:val="24"/>
                <w:szCs w:val="24"/>
              </w:rPr>
              <w:t>类标准，沿河区域无污染，地表水质量能够满足《地表水环境质量标准》 (GB3838-2002)</w:t>
            </w:r>
            <w:r>
              <w:rPr>
                <w:rFonts w:hint="eastAsia" w:ascii="宋体" w:hAnsi="宋体" w:cs="宋体"/>
                <w:sz w:val="24"/>
                <w:szCs w:val="24"/>
              </w:rPr>
              <w:t>Ⅲ</w:t>
            </w:r>
            <w:r>
              <w:rPr>
                <w:sz w:val="24"/>
                <w:szCs w:val="24"/>
              </w:rPr>
              <w:t>类标准</w:t>
            </w:r>
            <w:r>
              <w:rPr>
                <w:rFonts w:hint="eastAsia"/>
                <w:sz w:val="24"/>
                <w:szCs w:val="24"/>
              </w:rPr>
              <w:t>；</w:t>
            </w:r>
          </w:p>
          <w:p>
            <w:pPr>
              <w:pStyle w:val="6"/>
              <w:spacing w:line="360" w:lineRule="auto"/>
              <w:ind w:firstLine="480"/>
              <w:rPr>
                <w:rFonts w:ascii="Times New Roman" w:hAnsi="Times New Roman" w:cs="Times New Roman"/>
                <w:sz w:val="24"/>
                <w:szCs w:val="24"/>
              </w:rPr>
            </w:pPr>
            <w:r>
              <w:rPr>
                <w:sz w:val="24"/>
                <w:szCs w:val="24"/>
              </w:rPr>
              <w:t>②地下水：地下水质量满足《地下水质 量标准》(GB/T14848-2017)</w:t>
            </w:r>
            <w:r>
              <w:rPr>
                <w:rFonts w:hint="eastAsia" w:ascii="宋体" w:hAnsi="宋体" w:cs="宋体"/>
                <w:sz w:val="24"/>
                <w:szCs w:val="24"/>
              </w:rPr>
              <w:t xml:space="preserve"> Ⅲ</w:t>
            </w:r>
            <w:r>
              <w:rPr>
                <w:sz w:val="24"/>
                <w:szCs w:val="24"/>
              </w:rPr>
              <w:t>类标准</w:t>
            </w:r>
            <w:r>
              <w:rPr>
                <w:rFonts w:hint="eastAsia"/>
                <w:sz w:val="24"/>
                <w:szCs w:val="24"/>
              </w:rPr>
              <w:t>；</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环境空气质量现状评价</w:t>
            </w:r>
          </w:p>
          <w:p>
            <w:pPr>
              <w:pStyle w:val="6"/>
              <w:spacing w:line="360" w:lineRule="auto"/>
              <w:ind w:firstLine="480"/>
              <w:rPr>
                <w:rFonts w:ascii="Times New Roman" w:hAnsi="Times New Roman" w:cs="Times New Roman"/>
                <w:sz w:val="24"/>
                <w:szCs w:val="24"/>
              </w:rPr>
            </w:pPr>
            <w:r>
              <w:rPr>
                <w:sz w:val="24"/>
                <w:szCs w:val="24"/>
              </w:rPr>
              <w:t>本项目位于贵州省黔南州荔波县三荔高速荔波服务区</w:t>
            </w:r>
            <w:r>
              <w:rPr>
                <w:rFonts w:hint="eastAsia"/>
                <w:sz w:val="24"/>
                <w:szCs w:val="24"/>
              </w:rPr>
              <w:t>西</w:t>
            </w:r>
            <w:r>
              <w:rPr>
                <w:sz w:val="24"/>
                <w:szCs w:val="24"/>
              </w:rPr>
              <w:t>区内，项目周边无大型 工矿企业，环境空气质量较好，评价区域环境空气质量能够满足《环境空气质量标 准》(GB3095-2012)中二级标准</w:t>
            </w:r>
            <w:r>
              <w:rPr>
                <w:rFonts w:hint="eastAsia"/>
                <w:sz w:val="24"/>
                <w:szCs w:val="24"/>
              </w:rPr>
              <w:t>；</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声环境质量现状评价</w:t>
            </w:r>
          </w:p>
          <w:p>
            <w:pPr>
              <w:pStyle w:val="6"/>
              <w:spacing w:line="360" w:lineRule="auto"/>
              <w:ind w:firstLine="720" w:firstLineChars="300"/>
              <w:rPr>
                <w:rFonts w:ascii="Times New Roman" w:hAnsi="Times New Roman" w:cs="Times New Roman"/>
                <w:sz w:val="24"/>
                <w:szCs w:val="24"/>
              </w:rPr>
            </w:pPr>
            <w:r>
              <w:rPr>
                <w:sz w:val="24"/>
                <w:szCs w:val="24"/>
              </w:rPr>
              <w:t>区内噪声主要是三荔高速交通噪声，对区域有一定影响。由于地处农村，区内现有的声环境质量较好，声环境质量满足《声环境质量标准》(GB3096-2008)2 类区标准。</w:t>
            </w:r>
          </w:p>
          <w:p>
            <w:pPr>
              <w:pStyle w:val="6"/>
              <w:spacing w:line="360" w:lineRule="auto"/>
              <w:ind w:firstLine="480"/>
              <w:rPr>
                <w:sz w:val="24"/>
                <w:szCs w:val="24"/>
              </w:rPr>
            </w:pPr>
            <w:r>
              <w:rPr>
                <w:rFonts w:hint="eastAsia"/>
                <w:sz w:val="24"/>
                <w:szCs w:val="24"/>
              </w:rPr>
              <w:t>（</w:t>
            </w:r>
            <w:r>
              <w:rPr>
                <w:sz w:val="24"/>
                <w:szCs w:val="24"/>
              </w:rPr>
              <w:t>4</w:t>
            </w:r>
            <w:r>
              <w:rPr>
                <w:rFonts w:hint="eastAsia"/>
                <w:sz w:val="24"/>
                <w:szCs w:val="24"/>
              </w:rPr>
              <w:t>）</w:t>
            </w:r>
            <w:r>
              <w:rPr>
                <w:sz w:val="24"/>
                <w:szCs w:val="24"/>
              </w:rPr>
              <w:t>生态环境现状：</w:t>
            </w:r>
          </w:p>
          <w:p>
            <w:pPr>
              <w:pStyle w:val="6"/>
              <w:spacing w:line="360" w:lineRule="auto"/>
              <w:ind w:firstLine="480"/>
              <w:rPr>
                <w:sz w:val="24"/>
                <w:szCs w:val="24"/>
              </w:rPr>
            </w:pPr>
            <w:r>
              <w:rPr>
                <w:rFonts w:hint="eastAsia"/>
                <w:sz w:val="24"/>
                <w:szCs w:val="24"/>
              </w:rPr>
              <w:t xml:space="preserve"> </w:t>
            </w:r>
            <w:r>
              <w:rPr>
                <w:sz w:val="24"/>
                <w:szCs w:val="24"/>
              </w:rPr>
              <w:t xml:space="preserve"> 项目区由于人为破坏等因素现原生植被已不复存在，被次生植被所代替。主要植被类型有：灌草丛、人工植被和农田植被。植物种类比较单调，植被类型主要以 北亚热带温凉针阔叶林和中亚热带针叶混交林，偶见漆树、松、紫木等树种，局部 地段有草丛、灌木丛分布。</w:t>
            </w:r>
          </w:p>
          <w:p>
            <w:pPr>
              <w:pStyle w:val="6"/>
              <w:spacing w:line="360" w:lineRule="auto"/>
              <w:ind w:firstLine="720" w:firstLineChars="300"/>
              <w:rPr>
                <w:rFonts w:ascii="Times New Roman" w:hAnsi="Times New Roman" w:cs="Times New Roman"/>
                <w:sz w:val="24"/>
                <w:szCs w:val="24"/>
              </w:rPr>
            </w:pPr>
            <w:r>
              <w:rPr>
                <w:sz w:val="24"/>
                <w:szCs w:val="24"/>
              </w:rPr>
              <w:t>目前建设项目区域内的生态环境质量</w:t>
            </w:r>
            <w:r>
              <w:rPr>
                <w:rFonts w:hint="eastAsia"/>
                <w:sz w:val="24"/>
                <w:szCs w:val="24"/>
              </w:rPr>
              <w:t>现状较好</w:t>
            </w:r>
            <w:r>
              <w:rPr>
                <w:sz w:val="24"/>
                <w:szCs w:val="24"/>
              </w:rPr>
              <w:t>。</w:t>
            </w:r>
          </w:p>
          <w:p>
            <w:pPr>
              <w:spacing w:line="360" w:lineRule="auto"/>
              <w:rPr>
                <w:rFonts w:ascii="Times New Roman" w:hAnsi="Times New Roman" w:cs="Times New Roman"/>
                <w:b/>
                <w:sz w:val="24"/>
              </w:rPr>
            </w:pPr>
            <w:r>
              <w:rPr>
                <w:rFonts w:hint="eastAsia" w:ascii="Times New Roman" w:hAnsi="Times New Roman" w:cs="Times New Roman"/>
                <w:b/>
                <w:sz w:val="24"/>
              </w:rPr>
              <w:t>6</w:t>
            </w:r>
            <w:r>
              <w:rPr>
                <w:rFonts w:ascii="Times New Roman" w:hAnsi="Times New Roman" w:cs="Times New Roman"/>
                <w:b/>
                <w:sz w:val="24"/>
              </w:rPr>
              <w:t>、</w:t>
            </w:r>
            <w:r>
              <w:rPr>
                <w:rFonts w:hint="eastAsia" w:ascii="Times New Roman" w:hAnsi="Times New Roman" w:cs="Times New Roman"/>
                <w:b/>
                <w:sz w:val="24"/>
              </w:rPr>
              <w:t>施工期</w:t>
            </w:r>
            <w:r>
              <w:rPr>
                <w:rFonts w:ascii="Times New Roman" w:hAnsi="Times New Roman" w:cs="Times New Roman"/>
                <w:b/>
                <w:sz w:val="24"/>
              </w:rPr>
              <w:t>环境影响分析结论</w:t>
            </w:r>
          </w:p>
          <w:p>
            <w:pPr>
              <w:spacing w:line="360" w:lineRule="auto"/>
              <w:ind w:firstLine="482"/>
              <w:rPr>
                <w:rFonts w:ascii="Times New Roman" w:hAnsi="Times New Roman" w:cs="Times New Roman"/>
                <w:sz w:val="24"/>
              </w:rPr>
            </w:pPr>
            <w:r>
              <w:rPr>
                <w:rFonts w:hint="eastAsia" w:ascii="Times New Roman" w:hAnsi="Times New Roman" w:cs="Times New Roman"/>
                <w:sz w:val="24"/>
              </w:rPr>
              <w:t>施工过程将对所在地环境造成短期的影响，通过以下防治措施，可减少影响：</w:t>
            </w:r>
          </w:p>
          <w:p>
            <w:pPr>
              <w:spacing w:line="360" w:lineRule="auto"/>
              <w:ind w:firstLine="482"/>
              <w:rPr>
                <w:sz w:val="24"/>
              </w:rPr>
            </w:pPr>
            <w:r>
              <w:rPr>
                <w:sz w:val="24"/>
              </w:rPr>
              <w:t>(1)废水：施工废水经沉砂池收集回用，</w:t>
            </w:r>
            <w:r>
              <w:rPr>
                <w:rFonts w:hint="eastAsia"/>
                <w:sz w:val="24"/>
              </w:rPr>
              <w:t>不外排；</w:t>
            </w:r>
            <w:r>
              <w:rPr>
                <w:sz w:val="24"/>
              </w:rPr>
              <w:t>施工人员为附近村民，施工现场不设置食宿</w:t>
            </w:r>
            <w:r>
              <w:rPr>
                <w:rFonts w:hint="eastAsia"/>
                <w:sz w:val="24"/>
              </w:rPr>
              <w:t>，</w:t>
            </w:r>
            <w:r>
              <w:rPr>
                <w:sz w:val="24"/>
              </w:rPr>
              <w:t>生活污水利用该停车区现有卫生服务设施，对环境的影响较小。</w:t>
            </w:r>
          </w:p>
          <w:p>
            <w:pPr>
              <w:spacing w:line="360" w:lineRule="auto"/>
              <w:ind w:firstLine="482"/>
              <w:rPr>
                <w:color w:val="FF0000"/>
                <w:sz w:val="24"/>
              </w:rPr>
            </w:pPr>
            <w:r>
              <w:rPr>
                <w:color w:val="FF0000"/>
                <w:sz w:val="24"/>
              </w:rPr>
              <w:t xml:space="preserve"> </w:t>
            </w:r>
            <w:r>
              <w:rPr>
                <w:sz w:val="24"/>
              </w:rPr>
              <w:t>(2)废气：施工期废气主要为重型机械及运输建筑材料车辆产生的尾气及运输扬尘，施工扬尘和装修时产生的废气。施工期勤洒水保持施工作业面具有一定的湿度，严禁高空抛物， 做到轻拿轻放，严禁将粉状物料露天堆放，降低风力作用产生扬尘造成二次污染； 装修废气在装修时选用使用环保漆，保持室内通风等，本项目装修面积较小，装修废气微量施工期废气对环境的影响</w:t>
            </w:r>
            <w:r>
              <w:rPr>
                <w:rFonts w:hint="eastAsia"/>
                <w:sz w:val="24"/>
              </w:rPr>
              <w:t>小</w:t>
            </w:r>
            <w:r>
              <w:rPr>
                <w:sz w:val="24"/>
              </w:rPr>
              <w:t>。由于项目地较为平坦，使用重型机械较少，但是建筑材料均为汽车运输，产生的尾气仍对周边环境有一定的影响。</w:t>
            </w:r>
          </w:p>
          <w:p>
            <w:pPr>
              <w:spacing w:line="360" w:lineRule="auto"/>
              <w:ind w:firstLine="482"/>
              <w:rPr>
                <w:sz w:val="24"/>
              </w:rPr>
            </w:pPr>
            <w:r>
              <w:rPr>
                <w:sz w:val="24"/>
              </w:rPr>
              <w:t xml:space="preserve"> (3)噪声：施工期的噪声主要包括施工机械噪声、施工作业噪声和工程车辆噪声</w:t>
            </w:r>
            <w:r>
              <w:t>。</w:t>
            </w:r>
            <w:r>
              <w:rPr>
                <w:sz w:val="24"/>
              </w:rPr>
              <w:t xml:space="preserve">通过选用低噪声设备，合理安排施工时间段，加强管理，减少人 为噪声，对运输车辆采取限速限载，禁止鸣笛等措施，噪声对环境的影响较小。 </w:t>
            </w:r>
          </w:p>
          <w:p>
            <w:pPr>
              <w:spacing w:line="360" w:lineRule="auto"/>
              <w:ind w:firstLine="482"/>
              <w:rPr>
                <w:rFonts w:ascii="Times New Roman" w:hAnsi="Times New Roman" w:cs="Times New Roman"/>
                <w:sz w:val="24"/>
              </w:rPr>
            </w:pPr>
            <w:r>
              <w:rPr>
                <w:sz w:val="24"/>
              </w:rPr>
              <w:t>(4)固体废物：项目主要产生的固体废物分为施工人员的生活垃 圾、建筑垃圾及装修固废</w:t>
            </w:r>
            <w:r>
              <w:t>。</w:t>
            </w:r>
            <w:r>
              <w:rPr>
                <w:sz w:val="24"/>
              </w:rPr>
              <w:t>产生的建筑垃圾分类收集，不能回收利用的运至政府制定堆 场；生活垃圾经收集后交由环卫部门统一清运处理；装修期间产生废油漆桶、废 涂料桶等，经过收集后交由厂家回收利用或有资质的单位处理。</w:t>
            </w:r>
          </w:p>
          <w:p>
            <w:pPr>
              <w:spacing w:line="360" w:lineRule="auto"/>
              <w:ind w:firstLine="482"/>
            </w:pPr>
            <w:r>
              <w:rPr>
                <w:rFonts w:hint="eastAsia" w:ascii="Times New Roman" w:hAnsi="Times New Roman" w:cs="Times New Roman"/>
                <w:sz w:val="24"/>
              </w:rPr>
              <w:t>采取上述措施后，施工期对环境的影响较小。</w:t>
            </w:r>
          </w:p>
          <w:p>
            <w:pPr>
              <w:spacing w:line="348" w:lineRule="auto"/>
              <w:rPr>
                <w:rFonts w:ascii="Times New Roman" w:hAnsi="Times New Roman" w:cs="Times New Roman"/>
                <w:b/>
                <w:sz w:val="24"/>
              </w:rPr>
            </w:pPr>
            <w:r>
              <w:rPr>
                <w:rFonts w:hint="eastAsia" w:ascii="Times New Roman" w:hAnsi="Times New Roman" w:cs="Times New Roman"/>
                <w:b/>
                <w:sz w:val="24"/>
              </w:rPr>
              <w:t>7、营运期环境影响及防治措施</w:t>
            </w:r>
          </w:p>
          <w:p>
            <w:pPr>
              <w:spacing w:line="348" w:lineRule="auto"/>
              <w:rPr>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sz w:val="24"/>
              </w:rPr>
              <w:t>(1)废水：项目采取雨污分流制。屋面雨水经落水管流至地面，与地面雨水汇 集到排雨水管沟(400mm*200mm，地面坡度为0.4%)</w:t>
            </w:r>
            <w:r>
              <w:t>，排出站外</w:t>
            </w:r>
            <w:r>
              <w:rPr>
                <w:rFonts w:hint="eastAsia"/>
              </w:rPr>
              <w:t>；</w:t>
            </w:r>
            <w:r>
              <w:rPr>
                <w:sz w:val="24"/>
              </w:rPr>
              <w:t>场地冲洗水经隔油池预处理与其他生活污水一并进入三级生化池处理达《污水综合排放标准标准》(GB8978-1996)中三级标准后，排到荔波县三荔高速荔波服务东区污水处理站处理达到《城镇 污水处理厂污染物排放标准》(GB18918-2002)一级 B 标准后，回用于绿化或农灌， 不外排。 项目地下水采取分区防治措施后对地下水基本无影响。</w:t>
            </w:r>
          </w:p>
          <w:p>
            <w:pPr>
              <w:spacing w:line="348" w:lineRule="auto"/>
              <w:rPr>
                <w:sz w:val="24"/>
              </w:rPr>
            </w:pPr>
            <w:r>
              <w:rPr>
                <w:sz w:val="24"/>
              </w:rPr>
              <w:t xml:space="preserve">     (2)废气：项目运行期大气污染物主要为卸油、储存、加油过程中挥发的有机废气；汽车尾气、扬尘</w:t>
            </w:r>
            <w:r>
              <w:t>。</w:t>
            </w:r>
            <w:r>
              <w:rPr>
                <w:sz w:val="24"/>
              </w:rPr>
              <w:t>设置</w:t>
            </w:r>
            <w:r>
              <w:rPr>
                <w:rFonts w:hint="eastAsia"/>
                <w:sz w:val="24"/>
              </w:rPr>
              <w:t>一、二次</w:t>
            </w:r>
            <w:r>
              <w:rPr>
                <w:sz w:val="24"/>
              </w:rPr>
              <w:t>油气回收装置</w:t>
            </w:r>
            <w:r>
              <w:rPr>
                <w:rFonts w:hint="eastAsia"/>
                <w:sz w:val="24"/>
              </w:rPr>
              <w:t>后</w:t>
            </w:r>
            <w:r>
              <w:rPr>
                <w:sz w:val="24"/>
              </w:rPr>
              <w:t>非甲烷总烃排放量较小，无组织排放监控浓度限值周接外最高浓度点：非甲烷总烃≤4.0mg/m</w:t>
            </w:r>
            <w:r>
              <w:rPr>
                <w:sz w:val="24"/>
                <w:vertAlign w:val="superscript"/>
              </w:rPr>
              <w:t>3</w:t>
            </w:r>
            <w:r>
              <w:rPr>
                <w:sz w:val="24"/>
              </w:rPr>
              <w:t xml:space="preserve">。因为车辆在站内行程较短，排放量较小，对环境影响不大。项目备用发电机仅在停电时作为备用电源，运行时间有限， 对环境影响甚微。 </w:t>
            </w:r>
          </w:p>
          <w:p>
            <w:pPr>
              <w:spacing w:line="348" w:lineRule="auto"/>
              <w:ind w:firstLine="480" w:firstLineChars="200"/>
              <w:rPr>
                <w:sz w:val="24"/>
              </w:rPr>
            </w:pPr>
            <w:r>
              <w:rPr>
                <w:sz w:val="24"/>
              </w:rPr>
              <w:t>(3)噪声：主要来源于项目区内来往的机动车产生的噪声和加油泵、备用柴油发电机等设备运行时产生的噪声及加油车辆噪声</w:t>
            </w:r>
            <w:r>
              <w:t>。</w:t>
            </w:r>
            <w:r>
              <w:rPr>
                <w:sz w:val="24"/>
              </w:rPr>
              <w:t>所有设备安装厂房内，对产噪设备首先选用低噪声设备，采取</w:t>
            </w:r>
            <w:r>
              <w:rPr>
                <w:rFonts w:hint="eastAsia"/>
                <w:sz w:val="24"/>
              </w:rPr>
              <w:t>基础减降噪</w:t>
            </w:r>
            <w:r>
              <w:rPr>
                <w:sz w:val="24"/>
              </w:rPr>
              <w:t>、</w:t>
            </w:r>
            <w:r>
              <w:rPr>
                <w:rFonts w:hint="eastAsia"/>
                <w:sz w:val="24"/>
              </w:rPr>
              <w:t>吸声</w:t>
            </w:r>
            <w:r>
              <w:rPr>
                <w:sz w:val="24"/>
              </w:rPr>
              <w:t xml:space="preserve">、消声、绿化、距离衰减措施降低对周边环境影响；对进出车辆进行限速，禁止鸣笛等措施后，噪声对环境的影响可接受。 </w:t>
            </w:r>
          </w:p>
          <w:p>
            <w:pPr>
              <w:spacing w:line="348" w:lineRule="auto"/>
              <w:ind w:firstLine="480" w:firstLineChars="200"/>
              <w:rPr>
                <w:rFonts w:ascii="Times New Roman" w:hAnsi="Times New Roman" w:cs="Times New Roman"/>
                <w:sz w:val="24"/>
              </w:rPr>
            </w:pPr>
            <w:r>
              <w:rPr>
                <w:sz w:val="24"/>
              </w:rPr>
              <w:t>(4)固体废物：生活垃圾设置垃圾桶，收集后统一交由环卫部门填埋处理； 隔油池油泥、设备维修产生的废机油等危险废物设置暂存间，交由有资质的单位处理处置。产生的固废均能得到有效控制，对环境的影响较小。</w:t>
            </w:r>
          </w:p>
          <w:p>
            <w:pPr>
              <w:spacing w:line="348" w:lineRule="auto"/>
              <w:rPr>
                <w:rFonts w:ascii="Times New Roman" w:hAnsi="Times New Roman" w:cs="Times New Roman"/>
                <w:b/>
                <w:bCs/>
                <w:sz w:val="24"/>
              </w:rPr>
            </w:pPr>
            <w:r>
              <w:rPr>
                <w:rFonts w:hint="eastAsia" w:ascii="Times New Roman" w:hAnsi="Times New Roman" w:cs="Times New Roman"/>
                <w:b/>
                <w:bCs/>
                <w:sz w:val="24"/>
              </w:rPr>
              <w:t>8、环境风险及防范措施</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项目存在的环境风险主要是加油站可能发生的泄漏、爆炸、火灾等，主要起因是管线及储油罐缺陷、焊缝开裂、基础工程不合格、管道腐蚀、违规操作、自然灾害等。如上述事故发生，则会破坏建筑物、危及人身安全、污染周围环境等后果。因此必须在实施过程中加强环境风险管理，落实报告表中提出的风险防范措施，杜绝环境风险事故的发生。</w:t>
            </w:r>
          </w:p>
          <w:p>
            <w:pPr>
              <w:spacing w:line="348" w:lineRule="auto"/>
              <w:rPr>
                <w:rFonts w:ascii="Times New Roman" w:hAnsi="Times New Roman" w:cs="Times New Roman"/>
                <w:b/>
                <w:bCs/>
                <w:sz w:val="24"/>
              </w:rPr>
            </w:pPr>
          </w:p>
          <w:p>
            <w:pPr>
              <w:spacing w:line="348" w:lineRule="auto"/>
              <w:rPr>
                <w:rFonts w:ascii="Times New Roman" w:hAnsi="Times New Roman" w:cs="Times New Roman"/>
                <w:b/>
                <w:bCs/>
                <w:sz w:val="24"/>
              </w:rPr>
            </w:pPr>
            <w:r>
              <w:rPr>
                <w:rFonts w:hint="eastAsia" w:ascii="Times New Roman" w:hAnsi="Times New Roman" w:cs="Times New Roman"/>
                <w:b/>
                <w:bCs/>
                <w:sz w:val="24"/>
              </w:rPr>
              <w:t>9、综合结论</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综上所述，</w:t>
            </w:r>
            <w:r>
              <w:rPr>
                <w:sz w:val="24"/>
              </w:rPr>
              <w:t>中海油贵州销售有限公司三荔高速</w:t>
            </w:r>
            <w:r>
              <w:rPr>
                <w:rFonts w:hint="eastAsia"/>
                <w:sz w:val="24"/>
              </w:rPr>
              <w:t>荔波西</w:t>
            </w:r>
            <w:r>
              <w:rPr>
                <w:sz w:val="24"/>
              </w:rPr>
              <w:t>加油站建设项目建设符合当地城镇建设总体规划及相关产业政策。项目在建设及生产过程中产生一定程度的污水、废气、噪声及固体废物的污染，在建设单位严格要求按照</w:t>
            </w:r>
            <w:r>
              <w:rPr>
                <w:rFonts w:hint="eastAsia"/>
                <w:sz w:val="24"/>
              </w:rPr>
              <w:t>环评</w:t>
            </w:r>
            <w:r>
              <w:rPr>
                <w:sz w:val="24"/>
              </w:rPr>
              <w:t>报告表提出的各项规定，切实落实各项污染防治措施后，项目对周围环境的影响可以控制在国家有关标准和要求的允许范围内。从环保的角度分析，本项目建设可行。</w:t>
            </w:r>
          </w:p>
          <w:p>
            <w:pPr>
              <w:spacing w:line="348" w:lineRule="auto"/>
              <w:rPr>
                <w:rFonts w:ascii="Times New Roman" w:hAnsi="Times New Roman" w:cs="Times New Roman"/>
                <w:b/>
                <w:bCs/>
                <w:sz w:val="24"/>
              </w:rPr>
            </w:pPr>
            <w:r>
              <w:rPr>
                <w:rFonts w:hint="eastAsia" w:ascii="Times New Roman" w:hAnsi="Times New Roman" w:cs="Times New Roman"/>
                <w:b/>
                <w:bCs/>
                <w:sz w:val="24"/>
              </w:rPr>
              <w:t>10、建议及要求</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1）对油气的运输贮存、输送设备应加强管理与维护，杜绝出现各有关设备跑、冒、漏现象和人为导致的安全事故。对可能产生泄漏的贮油设备，应加建防泄漏设施和油品收集设施，在万一发生泄漏的情况下，不致油品向外排放造成环境污染事故。事故发生后必须及时通知安全、消防、环保部门，共同防止安全和污染事故事态的扩大。</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（2）加油区和油气贮存区禁止明火、禁止使用易产生火花的设备与工具，所有照明、通风、空调等设施及其它用电设施均采用防爆型装置。</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（3）定期对操作人员进行安全生产与知识培训，并制定严格的操作规程，切实加强油气贮存、输送生产过程中的安全控制，保证生产安全、防止意外事故发生。</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（4）在营运期，项目应设置卸油及加油油气回收系统，以减少非甲烷总烃排放量。</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（5）加强环保治理设施的管理，确保设施的处理效果与运行率不低于设计标准。</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（6）对储油系统及管道定期进行检查和维护，定期检查加油机内各油管、油泵及流量计是否有渗漏情况发生，并在火灾危险场所设置报警装置。</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（7）建设项目按要求落实消防措施，保证消防道路基消防水源的贮备，并按照《建筑灭火器配置设计规范》（GBJ140-90）的规定，配置相应类型与数量的灭火器。</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（8）严格落实油罐、加油机的位置与周边建筑物的距离，确保达到《汽车加油加气站设计与施工规范》（GB50156－2012）的要求。加油站正式运行前必须通过安全、消防等部门的验收。</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9）按照油品质量管理要求，必须在规定的时间内委托专业清罐废水处理公司对油罐进行清罐，对清罐清出的油水混合物进行沉淀回收，对无法回收的合格油品及沉淀物，必需统一放置到规定的容器内妥善保管，然后交由具有危险废物处置资质的单位进行处置。</w:t>
            </w:r>
          </w:p>
          <w:p>
            <w:pPr>
              <w:ind w:firstLine="480" w:firstLineChars="200"/>
              <w:rPr>
                <w:sz w:val="24"/>
              </w:rPr>
            </w:pPr>
          </w:p>
          <w:p>
            <w:pPr>
              <w:ind w:firstLine="480" w:firstLineChars="200"/>
              <w:rPr>
                <w:sz w:val="24"/>
              </w:rPr>
            </w:pPr>
            <w:r>
              <w:rPr>
                <w:rFonts w:hint="eastAsia"/>
                <w:sz w:val="24"/>
              </w:rPr>
              <w:t>（10）</w:t>
            </w:r>
            <w:r>
              <w:rPr>
                <w:sz w:val="24"/>
              </w:rPr>
              <w:t>加强管理，从源头抓起，确保环保设施正常运行确保 各污染物达标排放。</w:t>
            </w:r>
          </w:p>
          <w:p>
            <w:pPr>
              <w:rPr>
                <w:sz w:val="24"/>
              </w:rPr>
            </w:pPr>
            <w:r>
              <w:rPr>
                <w:sz w:val="24"/>
              </w:rPr>
              <w:t xml:space="preserve">    </w:t>
            </w:r>
          </w:p>
          <w:p>
            <w:pPr>
              <w:ind w:firstLine="480" w:firstLineChars="200"/>
              <w:rPr>
                <w:sz w:val="24"/>
              </w:rPr>
            </w:pPr>
            <w:r>
              <w:rPr>
                <w:rFonts w:hint="eastAsia"/>
                <w:sz w:val="24"/>
              </w:rPr>
              <w:t>（12）</w:t>
            </w:r>
            <w:r>
              <w:rPr>
                <w:sz w:val="24"/>
              </w:rPr>
              <w:t>重视和加强对企业内部环境保护工作的督导，把各项规章制度和环保考 核</w:t>
            </w:r>
          </w:p>
          <w:p>
            <w:pPr>
              <w:ind w:firstLine="480" w:firstLineChars="200"/>
              <w:rPr>
                <w:sz w:val="24"/>
              </w:rPr>
            </w:pPr>
          </w:p>
          <w:p>
            <w:pPr>
              <w:rPr>
                <w:sz w:val="24"/>
              </w:rPr>
            </w:pPr>
            <w:r>
              <w:rPr>
                <w:sz w:val="24"/>
              </w:rPr>
              <w:t>定量指标落到实处，落实好运营期的各项污染防治措施，确保污染物达标排放</w:t>
            </w:r>
            <w:r>
              <w:rPr>
                <w:rFonts w:hint="eastAsia"/>
                <w:sz w:val="24"/>
              </w:rPr>
              <w:t>。</w:t>
            </w:r>
          </w:p>
          <w:p>
            <w:pPr>
              <w:rPr>
                <w:sz w:val="24"/>
              </w:rPr>
            </w:pPr>
          </w:p>
          <w:p>
            <w:pPr>
              <w:rPr>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pStyle w:val="19"/>
              <w:ind w:firstLine="0" w:firstLineChars="0"/>
              <w:jc w:val="both"/>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eastAsia="宋体" w:cs="Times New Roman"/>
                <w:b/>
                <w:bCs/>
                <w:sz w:val="28"/>
                <w:szCs w:val="28"/>
              </w:rPr>
            </w:pPr>
            <w:r>
              <w:rPr>
                <w:rFonts w:ascii="Times New Roman" w:hAnsi="Times New Roman" w:cs="Times New Roman"/>
                <w:b/>
                <w:bCs/>
                <w:sz w:val="28"/>
                <w:szCs w:val="28"/>
              </w:rPr>
              <w:t>3.2</w:t>
            </w:r>
            <w:r>
              <w:rPr>
                <w:rFonts w:ascii="Times New Roman" w:hAnsi="Times New Roman" w:eastAsia="宋体" w:cs="Times New Roman"/>
                <w:b/>
                <w:bCs/>
                <w:sz w:val="28"/>
                <w:szCs w:val="28"/>
              </w:rPr>
              <w:t>审批部门审批决定</w:t>
            </w:r>
          </w:p>
          <w:p>
            <w:pPr>
              <w:tabs>
                <w:tab w:val="left" w:pos="780"/>
              </w:tabs>
              <w:snapToGrid w:val="0"/>
              <w:spacing w:line="520" w:lineRule="exact"/>
              <w:rPr>
                <w:rFonts w:ascii="Times New Roman" w:hAnsi="Times New Roman" w:cs="Times New Roman"/>
                <w:b/>
                <w:sz w:val="24"/>
              </w:rPr>
            </w:pPr>
            <w:r>
              <w:rPr>
                <w:rFonts w:hint="eastAsia" w:ascii="Times New Roman" w:hAnsi="Times New Roman" w:cs="Times New Roman"/>
                <w:b/>
                <w:sz w:val="24"/>
              </w:rPr>
              <w:t>环境保护部门审查意见</w:t>
            </w:r>
            <w:r>
              <w:rPr>
                <w:rFonts w:ascii="Times New Roman" w:hAnsi="Times New Roman" w:cs="Times New Roman"/>
                <w:b/>
                <w:sz w:val="24"/>
              </w:rPr>
              <w:t>：</w:t>
            </w:r>
          </w:p>
          <w:p>
            <w:pPr>
              <w:tabs>
                <w:tab w:val="left" w:pos="780"/>
              </w:tabs>
              <w:snapToGrid w:val="0"/>
              <w:spacing w:line="520" w:lineRule="exact"/>
              <w:rPr>
                <w:rFonts w:ascii="Times New Roman" w:hAnsi="Times New Roman" w:cs="Times New Roman"/>
                <w:b/>
                <w:sz w:val="24"/>
              </w:rPr>
            </w:pPr>
            <w:r>
              <w:rPr>
                <w:rFonts w:hint="eastAsia" w:ascii="Times New Roman" w:hAnsi="Times New Roman" w:cs="Times New Roman"/>
                <w:b/>
                <w:sz w:val="24"/>
              </w:rPr>
              <w:t xml:space="preserve"> </w:t>
            </w:r>
            <w:r>
              <w:rPr>
                <w:rFonts w:ascii="Times New Roman" w:hAnsi="Times New Roman" w:cs="Times New Roman"/>
                <w:b/>
                <w:sz w:val="24"/>
              </w:rPr>
              <w:t xml:space="preserve">           </w:t>
            </w:r>
          </w:p>
          <w:p>
            <w:pPr>
              <w:pStyle w:val="19"/>
              <w:ind w:firstLine="0" w:firstLineChars="0"/>
              <w:jc w:val="both"/>
            </w:pPr>
          </w:p>
          <w:p>
            <w:pPr>
              <w:pStyle w:val="19"/>
              <w:ind w:firstLine="0" w:firstLineChars="0"/>
              <w:jc w:val="both"/>
            </w:pPr>
            <w:r>
              <w:rPr>
                <w:rFonts w:ascii="宋体" w:hAnsi="宋体" w:cs="宋体"/>
                <w:szCs w:val="24"/>
              </w:rPr>
              <w:drawing>
                <wp:anchor distT="0" distB="0" distL="114300" distR="114300" simplePos="0" relativeHeight="251655168" behindDoc="1" locked="0" layoutInCell="1" allowOverlap="1">
                  <wp:simplePos x="0" y="0"/>
                  <wp:positionH relativeFrom="page">
                    <wp:posOffset>-146050</wp:posOffset>
                  </wp:positionH>
                  <wp:positionV relativeFrom="page">
                    <wp:posOffset>-5080</wp:posOffset>
                  </wp:positionV>
                  <wp:extent cx="5760720" cy="814387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60720" cy="8143875"/>
                          </a:xfrm>
                          <a:prstGeom prst="rect">
                            <a:avLst/>
                          </a:prstGeom>
                          <a:noFill/>
                        </pic:spPr>
                      </pic:pic>
                    </a:graphicData>
                  </a:graphic>
                </wp:anchor>
              </w:drawing>
            </w:r>
          </w:p>
          <w:p>
            <w:pPr>
              <w:pStyle w:val="19"/>
              <w:ind w:firstLine="480"/>
              <w:jc w:val="both"/>
            </w:pPr>
          </w:p>
          <w:p>
            <w:pPr>
              <w:widowControl/>
              <w:jc w:val="left"/>
              <w:rPr>
                <w:rFonts w:ascii="宋体" w:hAnsi="宋体" w:eastAsia="宋体" w:cs="宋体"/>
                <w:kern w:val="0"/>
                <w:sz w:val="24"/>
              </w:rPr>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r>
              <w:rPr>
                <w:rFonts w:ascii="宋体" w:hAnsi="宋体" w:cs="宋体"/>
                <w:szCs w:val="24"/>
              </w:rPr>
              <w:drawing>
                <wp:anchor distT="0" distB="0" distL="114300" distR="114300" simplePos="0" relativeHeight="251657216" behindDoc="1" locked="0" layoutInCell="1" allowOverlap="1">
                  <wp:simplePos x="0" y="0"/>
                  <wp:positionH relativeFrom="page">
                    <wp:posOffset>-298450</wp:posOffset>
                  </wp:positionH>
                  <wp:positionV relativeFrom="page">
                    <wp:posOffset>-157480</wp:posOffset>
                  </wp:positionV>
                  <wp:extent cx="5760720" cy="8143875"/>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60720" cy="8143875"/>
                          </a:xfrm>
                          <a:prstGeom prst="rect">
                            <a:avLst/>
                          </a:prstGeom>
                          <a:noFill/>
                        </pic:spPr>
                      </pic:pic>
                    </a:graphicData>
                  </a:graphic>
                </wp:anchor>
              </w:drawing>
            </w: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tc>
      </w:tr>
    </w:tbl>
    <w:p>
      <w:pPr>
        <w:pageBreakBefore/>
        <w:spacing w:line="360" w:lineRule="auto"/>
        <w:outlineLvl w:val="0"/>
        <w:rPr>
          <w:rFonts w:ascii="Times New Roman" w:hAnsi="Times New Roman" w:eastAsia="宋体" w:cs="Times New Roman"/>
          <w:b/>
          <w:sz w:val="28"/>
          <w:szCs w:val="28"/>
        </w:rPr>
      </w:pPr>
      <w:bookmarkStart w:id="15" w:name="_Toc22230"/>
      <w:r>
        <w:rPr>
          <w:rFonts w:ascii="Times New Roman" w:hAnsi="Times New Roman" w:cs="Times New Roman"/>
          <w:b/>
          <w:sz w:val="28"/>
          <w:szCs w:val="28"/>
        </w:rPr>
        <w:t>表四  验收监测标准</w:t>
      </w:r>
      <w:bookmarkEnd w:id="15"/>
    </w:p>
    <w:tbl>
      <w:tblPr>
        <w:tblStyle w:val="16"/>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2" w:hRule="atLeast"/>
        </w:trPr>
        <w:tc>
          <w:tcPr>
            <w:tcW w:w="9962" w:type="dxa"/>
          </w:tcPr>
          <w:p>
            <w:pPr>
              <w:spacing w:line="360" w:lineRule="auto"/>
              <w:rPr>
                <w:rFonts w:ascii="Times New Roman" w:hAnsi="Times New Roman" w:cs="Times New Roman"/>
                <w:b/>
                <w:sz w:val="28"/>
                <w:szCs w:val="28"/>
              </w:rPr>
            </w:pPr>
            <w:r>
              <w:rPr>
                <w:rFonts w:ascii="Times New Roman" w:hAnsi="Times New Roman" w:cs="Times New Roman"/>
                <w:b/>
                <w:sz w:val="28"/>
                <w:szCs w:val="28"/>
              </w:rPr>
              <w:t>4.1执行标准</w:t>
            </w:r>
          </w:p>
          <w:p>
            <w:pPr>
              <w:spacing w:line="360" w:lineRule="auto"/>
              <w:jc w:val="center"/>
              <w:rPr>
                <w:rFonts w:ascii="Times New Roman" w:hAnsi="Times New Roman" w:cs="Times New Roman"/>
                <w:b/>
                <w:sz w:val="24"/>
              </w:rPr>
            </w:pPr>
            <w:r>
              <w:rPr>
                <w:rFonts w:ascii="Times New Roman" w:hAnsi="Times New Roman" w:cs="Times New Roman"/>
                <w:b/>
                <w:sz w:val="24"/>
              </w:rPr>
              <w:t>表4-1 验收执行标准</w:t>
            </w:r>
          </w:p>
          <w:tbl>
            <w:tblPr>
              <w:tblStyle w:val="16"/>
              <w:tblW w:w="93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274"/>
              <w:gridCol w:w="1425"/>
              <w:gridCol w:w="1425"/>
              <w:gridCol w:w="1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cs="Times New Roman"/>
                      <w:b/>
                      <w:szCs w:val="21"/>
                    </w:rPr>
                    <w:t>类别</w:t>
                  </w:r>
                </w:p>
              </w:tc>
              <w:tc>
                <w:tcPr>
                  <w:tcW w:w="8550" w:type="dxa"/>
                  <w:gridSpan w:val="4"/>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cs="Times New Roman"/>
                      <w:b/>
                      <w:szCs w:val="21"/>
                    </w:rPr>
                    <w:t>验收监测标准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废气</w:t>
                  </w: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《大气污染物综合排放标准》（GB16297-1996）无组织排放监控浓度限值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限值（mg/m</w:t>
                  </w:r>
                  <w:r>
                    <w:rPr>
                      <w:rFonts w:ascii="Times New Roman" w:hAnsi="Times New Roman" w:cs="Times New Roman"/>
                      <w:bCs/>
                      <w:szCs w:val="21"/>
                      <w:vertAlign w:val="superscript"/>
                    </w:rPr>
                    <w:t>3</w:t>
                  </w: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非甲烷总烃</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噪声</w:t>
                  </w: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《工业企业厂界环境噪声排放标准》（GB12348</w:t>
                  </w:r>
                  <w:r>
                    <w:rPr>
                      <w:rFonts w:hint="eastAsia" w:ascii="Times New Roman" w:hAnsi="Times New Roman" w:cs="Times New Roman"/>
                      <w:bCs/>
                      <w:szCs w:val="21"/>
                    </w:rPr>
                    <w:t>-</w:t>
                  </w:r>
                  <w:r>
                    <w:rPr>
                      <w:rFonts w:ascii="Times New Roman" w:hAnsi="Times New Roman" w:cs="Times New Roman"/>
                      <w:bCs/>
                      <w:szCs w:val="21"/>
                    </w:rPr>
                    <w:t>2008）</w:t>
                  </w:r>
                  <w:r>
                    <w:rPr>
                      <w:rFonts w:hint="eastAsia" w:ascii="Times New Roman" w:hAnsi="Times New Roman" w:cs="Times New Roman"/>
                      <w:bCs/>
                      <w:szCs w:val="21"/>
                    </w:rPr>
                    <w:t>2</w:t>
                  </w:r>
                  <w:r>
                    <w:rPr>
                      <w:rFonts w:ascii="Times New Roman" w:hAnsi="Times New Roman" w:cs="Times New Roman"/>
                      <w:bCs/>
                      <w:szCs w:val="21"/>
                    </w:rPr>
                    <w:t>类区标准</w:t>
                  </w:r>
                  <w:r>
                    <w:rPr>
                      <w:rFonts w:hint="eastAsia" w:ascii="Times New Roman" w:hAnsi="Times New Roman" w:cs="Times New Roman"/>
                      <w:bCs/>
                      <w:szCs w:val="21"/>
                    </w:rPr>
                    <w:t>；4a</w:t>
                  </w:r>
                  <w:r>
                    <w:rPr>
                      <w:rFonts w:ascii="Times New Roman" w:hAnsi="Times New Roman" w:cs="Times New Roman"/>
                      <w:bCs/>
                      <w:szCs w:val="21"/>
                    </w:rPr>
                    <w:t xml:space="preserve"> </w:t>
                  </w:r>
                  <w:r>
                    <w:rPr>
                      <w:rFonts w:hint="eastAsia" w:ascii="Times New Roman" w:hAnsi="Times New Roman" w:cs="Times New Roman"/>
                      <w:bCs/>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单位：dB（A）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昼间</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夜间</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cs="Times New Roman"/>
                      <w:bCs/>
                      <w:szCs w:val="21"/>
                    </w:rPr>
                    <w:t>50/55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废水</w:t>
                  </w:r>
                </w:p>
              </w:tc>
              <w:tc>
                <w:tcPr>
                  <w:tcW w:w="8550" w:type="dxa"/>
                  <w:gridSpan w:val="4"/>
                  <w:tcBorders>
                    <w:tl2br w:val="nil"/>
                    <w:tr2bl w:val="nil"/>
                  </w:tcBorders>
                  <w:vAlign w:val="center"/>
                </w:tcPr>
                <w:p>
                  <w:pPr>
                    <w:jc w:val="center"/>
                    <w:rPr>
                      <w:rFonts w:ascii="Times New Roman" w:hAnsi="Times New Roman" w:cs="Times New Roman"/>
                      <w:bCs/>
                      <w:szCs w:val="21"/>
                    </w:rPr>
                  </w:pPr>
                  <w:r>
                    <w:t>《污水综合排放标准》</w:t>
                  </w:r>
                  <w:r>
                    <w:rPr>
                      <w:rFonts w:hint="eastAsia"/>
                    </w:rPr>
                    <w:t xml:space="preserve"> </w:t>
                  </w:r>
                  <w:r>
                    <w:t>(GB8978-1996) 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限值（mg/</w:t>
                  </w:r>
                  <w:r>
                    <w:rPr>
                      <w:rFonts w:ascii="Times New Roman" w:hAnsi="Times New Roman" w:cs="Times New Roman"/>
                      <w:bCs/>
                      <w:szCs w:val="21"/>
                    </w:rPr>
                    <w:t>L</w:t>
                  </w:r>
                  <w:r>
                    <w:rPr>
                      <w:rFonts w:hint="eastAsia"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p</w:t>
                  </w:r>
                  <w:r>
                    <w:rPr>
                      <w:rFonts w:ascii="Times New Roman" w:hAnsi="Times New Roman" w:cs="Times New Roman"/>
                      <w:bCs/>
                      <w:szCs w:val="21"/>
                    </w:rPr>
                    <w:t>H</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6</w:t>
                  </w:r>
                  <w:r>
                    <w:rPr>
                      <w:rFonts w:ascii="Times New Roman" w:hAnsi="Times New Roman" w:cs="Times New Roman"/>
                      <w:bCs/>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化学需氧量</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B</w:t>
                  </w:r>
                  <w:r>
                    <w:rPr>
                      <w:rFonts w:ascii="Times New Roman" w:hAnsi="Times New Roman" w:cs="Times New Roman"/>
                      <w:bCs/>
                      <w:szCs w:val="21"/>
                    </w:rPr>
                    <w:t>OD</w:t>
                  </w:r>
                  <w:r>
                    <w:rPr>
                      <w:rFonts w:ascii="Times New Roman" w:hAnsi="Times New Roman" w:cs="Times New Roman"/>
                      <w:bCs/>
                      <w:szCs w:val="21"/>
                      <w:vertAlign w:val="subscript"/>
                    </w:rPr>
                    <w:t>5</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氨氮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悬浮物</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石油</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3</w:t>
                  </w:r>
                  <w:r>
                    <w:rPr>
                      <w:rFonts w:ascii="Times New Roman" w:hAnsi="Times New Roman" w:cs="Times New Roman"/>
                      <w:bCs/>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动植物油</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油汽回收</w:t>
                  </w:r>
                </w:p>
              </w:tc>
              <w:tc>
                <w:tcPr>
                  <w:tcW w:w="8550" w:type="dxa"/>
                  <w:gridSpan w:val="4"/>
                  <w:tcBorders>
                    <w:tl2br w:val="nil"/>
                    <w:tr2bl w:val="nil"/>
                  </w:tcBorders>
                  <w:vAlign w:val="center"/>
                </w:tcPr>
                <w:p>
                  <w:pPr>
                    <w:jc w:val="center"/>
                    <w:rPr>
                      <w:rFonts w:ascii="Times New Roman" w:hAnsi="Times New Roman"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限值（Pa）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vMerge w:val="restart"/>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液阻压力</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18.0</w:t>
                  </w:r>
                  <w:r>
                    <w:rPr>
                      <w:rFonts w:ascii="Times New Roman" w:hAnsi="Times New Roman" w:cs="Times New Roman"/>
                      <w:bCs/>
                      <w:szCs w:val="21"/>
                    </w:rPr>
                    <w:t>L/</w:t>
                  </w:r>
                  <w:r>
                    <w:rPr>
                      <w:rFonts w:hint="eastAsia" w:ascii="Times New Roman" w:hAnsi="Times New Roman" w:cs="Times New Roman"/>
                      <w:bCs/>
                      <w:szCs w:val="21"/>
                    </w:rPr>
                    <w:t>min</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28.0</w:t>
                  </w:r>
                  <w:r>
                    <w:rPr>
                      <w:rFonts w:ascii="Times New Roman" w:hAnsi="Times New Roman" w:cs="Times New Roman"/>
                      <w:bCs/>
                      <w:szCs w:val="21"/>
                    </w:rPr>
                    <w:t>L/</w:t>
                  </w:r>
                  <w:r>
                    <w:rPr>
                      <w:rFonts w:hint="eastAsia" w:ascii="Times New Roman" w:hAnsi="Times New Roman" w:cs="Times New Roman"/>
                      <w:bCs/>
                      <w:szCs w:val="21"/>
                    </w:rPr>
                    <w:t>min</w:t>
                  </w:r>
                </w:p>
              </w:tc>
              <w:tc>
                <w:tcPr>
                  <w:tcW w:w="142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38.0</w:t>
                  </w:r>
                  <w:r>
                    <w:rPr>
                      <w:rFonts w:ascii="Times New Roman" w:hAnsi="Times New Roman" w:cs="Times New Roman"/>
                      <w:bCs/>
                      <w:szCs w:val="21"/>
                    </w:rPr>
                    <w:t>L/</w:t>
                  </w:r>
                  <w:r>
                    <w:rPr>
                      <w:rFonts w:hint="eastAsia" w:ascii="Times New Roman" w:hAnsi="Times New Roman" w:cs="Times New Roman"/>
                      <w:bCs/>
                      <w:szCs w:val="21"/>
                    </w:rPr>
                    <w:t>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vMerge w:val="continue"/>
                  <w:tcBorders>
                    <w:tl2br w:val="nil"/>
                    <w:tr2bl w:val="nil"/>
                  </w:tcBorders>
                  <w:vAlign w:val="center"/>
                </w:tcPr>
                <w:p>
                  <w:pPr>
                    <w:jc w:val="center"/>
                    <w:rPr>
                      <w:rFonts w:ascii="Times New Roman" w:hAnsi="Times New Roman" w:cs="Times New Roman"/>
                      <w:bCs/>
                      <w:szCs w:val="21"/>
                    </w:rPr>
                  </w:pP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40</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90</w:t>
                  </w:r>
                </w:p>
              </w:tc>
              <w:tc>
                <w:tcPr>
                  <w:tcW w:w="142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密闭性</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5min后压力</w:t>
                  </w:r>
                  <w:r>
                    <w:rPr>
                      <w:rFonts w:hint="eastAsia" w:cs="Times New Roman" w:asciiTheme="minorEastAsia" w:hAnsiTheme="minorEastAsia"/>
                      <w:bCs/>
                      <w:szCs w:val="21"/>
                    </w:rPr>
                    <w:t>＞</w:t>
                  </w:r>
                  <w:r>
                    <w:rPr>
                      <w:rFonts w:hint="eastAsia" w:ascii="Times New Roman" w:hAnsi="Times New Roman" w:cs="Times New Roman"/>
                      <w:bCs/>
                      <w:szCs w:val="21"/>
                    </w:rPr>
                    <w:t>最小剩余压力标准限值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汽液比</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1.0~1.2</w:t>
                  </w:r>
                </w:p>
              </w:tc>
            </w:tr>
          </w:tbl>
          <w:p>
            <w:pPr>
              <w:spacing w:line="360" w:lineRule="auto"/>
              <w:rPr>
                <w:rFonts w:ascii="Times New Roman" w:hAnsi="Times New Roman" w:eastAsia="宋体" w:cs="Times New Roman"/>
                <w:b/>
                <w:sz w:val="28"/>
                <w:szCs w:val="28"/>
              </w:rPr>
            </w:pPr>
          </w:p>
        </w:tc>
      </w:tr>
    </w:tbl>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br w:type="page"/>
      </w:r>
    </w:p>
    <w:p>
      <w:pPr>
        <w:pageBreakBefore/>
        <w:spacing w:before="156" w:beforeLines="50" w:line="360" w:lineRule="auto"/>
        <w:outlineLvl w:val="0"/>
        <w:rPr>
          <w:rFonts w:ascii="Times New Roman" w:hAnsi="Times New Roman" w:cs="Times New Roman"/>
          <w:b/>
          <w:sz w:val="30"/>
          <w:szCs w:val="30"/>
        </w:rPr>
      </w:pPr>
      <w:bookmarkStart w:id="16" w:name="_Toc22536"/>
      <w:bookmarkStart w:id="17" w:name="_Toc26604"/>
      <w:r>
        <w:rPr>
          <w:rFonts w:ascii="Times New Roman" w:hAnsi="Times New Roman" w:cs="Times New Roman"/>
          <w:b/>
          <w:sz w:val="30"/>
          <w:szCs w:val="30"/>
        </w:rPr>
        <w:t xml:space="preserve">表五  </w:t>
      </w:r>
      <w:r>
        <w:rPr>
          <w:rFonts w:ascii="Times New Roman" w:hAnsi="Times New Roman" w:eastAsia="宋体" w:cs="Times New Roman"/>
          <w:b/>
          <w:sz w:val="30"/>
          <w:szCs w:val="30"/>
        </w:rPr>
        <w:t>验收监测</w:t>
      </w:r>
      <w:r>
        <w:rPr>
          <w:rFonts w:ascii="Times New Roman" w:hAnsi="Times New Roman" w:cs="Times New Roman"/>
          <w:b/>
          <w:sz w:val="30"/>
          <w:szCs w:val="30"/>
        </w:rPr>
        <w:t>质量控制、</w:t>
      </w:r>
      <w:r>
        <w:rPr>
          <w:rFonts w:ascii="Times New Roman" w:hAnsi="Times New Roman" w:eastAsia="宋体" w:cs="Times New Roman"/>
          <w:b/>
          <w:sz w:val="30"/>
          <w:szCs w:val="30"/>
        </w:rPr>
        <w:t>监测内容</w:t>
      </w:r>
      <w:r>
        <w:rPr>
          <w:rFonts w:ascii="Times New Roman" w:hAnsi="Times New Roman" w:cs="Times New Roman"/>
          <w:b/>
          <w:sz w:val="30"/>
          <w:szCs w:val="30"/>
        </w:rPr>
        <w:t>及监测结果分析</w:t>
      </w:r>
      <w:bookmarkEnd w:id="16"/>
      <w:bookmarkEnd w:id="17"/>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5" w:hRule="atLeast"/>
          <w:jc w:val="center"/>
        </w:trPr>
        <w:tc>
          <w:tcPr>
            <w:tcW w:w="9288" w:type="dxa"/>
          </w:tcPr>
          <w:p>
            <w:pPr>
              <w:spacing w:line="360" w:lineRule="auto"/>
              <w:outlineLvl w:val="1"/>
              <w:rPr>
                <w:rFonts w:ascii="Times New Roman" w:hAnsi="Times New Roman" w:eastAsia="宋体" w:cs="Times New Roman"/>
                <w:sz w:val="28"/>
                <w:szCs w:val="28"/>
              </w:rPr>
            </w:pPr>
            <w:bookmarkStart w:id="18" w:name="_Toc3687"/>
            <w:r>
              <w:rPr>
                <w:rFonts w:ascii="Times New Roman" w:hAnsi="Times New Roman" w:cs="Times New Roman"/>
                <w:b/>
                <w:sz w:val="28"/>
                <w:szCs w:val="28"/>
              </w:rPr>
              <w:t>5.1</w:t>
            </w:r>
            <w:bookmarkStart w:id="19" w:name="_Toc352244157"/>
            <w:bookmarkStart w:id="20" w:name="_Toc346805210"/>
            <w:bookmarkStart w:id="21" w:name="_Toc338171815"/>
            <w:bookmarkStart w:id="22" w:name="_Toc338170898"/>
            <w:r>
              <w:rPr>
                <w:rFonts w:ascii="Times New Roman" w:hAnsi="Times New Roman" w:eastAsia="宋体" w:cs="Times New Roman"/>
                <w:b/>
                <w:bCs/>
                <w:sz w:val="28"/>
                <w:szCs w:val="28"/>
              </w:rPr>
              <w:t>监测质量保证</w:t>
            </w:r>
            <w:bookmarkEnd w:id="19"/>
            <w:bookmarkEnd w:id="20"/>
            <w:bookmarkEnd w:id="21"/>
            <w:bookmarkEnd w:id="22"/>
            <w:r>
              <w:rPr>
                <w:rFonts w:ascii="Times New Roman" w:hAnsi="Times New Roman" w:cs="Times New Roman"/>
                <w:b/>
                <w:bCs/>
                <w:kern w:val="0"/>
                <w:sz w:val="28"/>
                <w:szCs w:val="28"/>
              </w:rPr>
              <w:t>及质量控制措施</w:t>
            </w:r>
          </w:p>
          <w:p>
            <w:pPr>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1、</w:t>
            </w:r>
            <w:r>
              <w:rPr>
                <w:rFonts w:ascii="Times New Roman" w:hAnsi="Times New Roman" w:eastAsia="宋体" w:cs="Times New Roman"/>
                <w:sz w:val="24"/>
              </w:rPr>
              <w:t>验收监测期间，及时了解生产工况，保证工况负荷达到额定负荷的75%以上。</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2、合理布设监测点，保证各监测点位布设的科学性和可比性。</w:t>
            </w:r>
          </w:p>
          <w:p>
            <w:pPr>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3、采样人员必须遵守采样操作规程，认真填写采样记录，按规定保存、运输样品。现场携带全程序空白样、采集平行样。</w:t>
            </w:r>
          </w:p>
          <w:p>
            <w:pPr>
              <w:spacing w:line="360" w:lineRule="auto"/>
              <w:ind w:firstLine="480" w:firstLineChars="200"/>
              <w:rPr>
                <w:rFonts w:ascii="Times New Roman" w:hAnsi="Times New Roman" w:eastAsia="宋体" w:cs="Times New Roman"/>
                <w:sz w:val="24"/>
              </w:rPr>
            </w:pPr>
            <w:r>
              <w:rPr>
                <w:rFonts w:ascii="Times New Roman" w:hAnsi="Times New Roman" w:cs="Times New Roman"/>
                <w:kern w:val="0"/>
                <w:sz w:val="24"/>
              </w:rPr>
              <w:t>4、监测分析方法均采用国家标准或国家环保部颁布的分析方法，实验室分析人员均持证上岗。分析采取空白样、明码平行样、质控样品测定等措施对检测全过程进行质量控制。所有检测仪器、量具均经过计量部门检定合格并在有效期内使用。</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5、噪声测定前需校正仪器。</w:t>
            </w:r>
          </w:p>
          <w:p>
            <w:pPr>
              <w:adjustRightInd w:val="0"/>
              <w:snapToGrid w:val="0"/>
              <w:spacing w:line="360" w:lineRule="auto"/>
              <w:ind w:firstLine="480" w:firstLineChars="200"/>
              <w:rPr>
                <w:rFonts w:ascii="Times New Roman" w:hAnsi="Times New Roman" w:cs="Times New Roman"/>
              </w:rPr>
            </w:pPr>
            <w:r>
              <w:rPr>
                <w:rFonts w:ascii="Times New Roman" w:hAnsi="Times New Roman" w:eastAsia="宋体" w:cs="Times New Roman"/>
                <w:sz w:val="24"/>
              </w:rPr>
              <w:t>6、监测数据严格</w:t>
            </w:r>
            <w:r>
              <w:rPr>
                <w:rFonts w:ascii="Times New Roman" w:hAnsi="Times New Roman" w:cs="Times New Roman"/>
                <w:sz w:val="24"/>
              </w:rPr>
              <w:t>执</w:t>
            </w:r>
            <w:r>
              <w:rPr>
                <w:rFonts w:ascii="Times New Roman" w:hAnsi="Times New Roman" w:eastAsia="宋体" w:cs="Times New Roman"/>
                <w:sz w:val="24"/>
              </w:rPr>
              <w:t>行三级审核制度，</w:t>
            </w:r>
            <w:r>
              <w:rPr>
                <w:rFonts w:ascii="Times New Roman" w:hAnsi="Times New Roman" w:cs="Times New Roman"/>
                <w:sz w:val="24"/>
              </w:rPr>
              <w:t>保证数据的合理、有效</w:t>
            </w:r>
            <w:r>
              <w:rPr>
                <w:rFonts w:ascii="Times New Roman" w:hAnsi="Times New Roman" w:eastAsia="宋体" w:cs="Times New Roman"/>
                <w:sz w:val="24"/>
              </w:rPr>
              <w:t>。</w:t>
            </w:r>
            <w:bookmarkEnd w:id="18"/>
          </w:p>
        </w:tc>
      </w:tr>
    </w:tbl>
    <w:p>
      <w:pPr>
        <w:rPr>
          <w:rFonts w:ascii="Times New Roman" w:hAnsi="Times New Roman" w:cs="Times New Roman"/>
        </w:rPr>
      </w:pPr>
    </w:p>
    <w:p>
      <w:pPr>
        <w:pStyle w:val="2"/>
        <w:rPr>
          <w:rFonts w:ascii="Times New Roman" w:hAnsi="Times New Roman"/>
        </w:rPr>
      </w:pPr>
      <w:bookmarkStart w:id="23" w:name="_Toc8246"/>
      <w:bookmarkStart w:id="24" w:name="_Toc10699"/>
      <w:r>
        <w:rPr>
          <w:rFonts w:ascii="Times New Roman" w:hAnsi="Times New Roman"/>
        </w:rPr>
        <w:t>表六  验收监测内容</w:t>
      </w:r>
      <w:bookmarkEnd w:id="23"/>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tcPr>
          <w:p>
            <w:pPr>
              <w:pStyle w:val="3"/>
              <w:outlineLvl w:val="1"/>
              <w:rPr>
                <w:rFonts w:ascii="Times New Roman" w:hAnsi="Times New Roman" w:eastAsia="宋体"/>
              </w:rPr>
            </w:pPr>
            <w:bookmarkStart w:id="25" w:name="_Toc23272"/>
            <w:bookmarkStart w:id="26" w:name="_Toc9364"/>
            <w:bookmarkStart w:id="27" w:name="_Toc29098"/>
            <w:bookmarkStart w:id="28" w:name="_Toc32648"/>
            <w:bookmarkStart w:id="29" w:name="_Toc32652"/>
            <w:bookmarkStart w:id="30" w:name="_Toc7635"/>
            <w:bookmarkStart w:id="31" w:name="_Toc8191"/>
            <w:bookmarkStart w:id="32" w:name="_Toc3050"/>
            <w:bookmarkStart w:id="33" w:name="_Toc20884"/>
            <w:bookmarkStart w:id="34" w:name="_Toc1076"/>
            <w:bookmarkStart w:id="35" w:name="_Toc6960"/>
            <w:bookmarkStart w:id="36" w:name="_Toc12471"/>
            <w:r>
              <w:rPr>
                <w:rFonts w:ascii="Times New Roman" w:hAnsi="Times New Roman"/>
              </w:rPr>
              <w:t>6</w:t>
            </w:r>
            <w:r>
              <w:rPr>
                <w:rFonts w:ascii="Times New Roman" w:hAnsi="Times New Roman" w:eastAsia="宋体"/>
              </w:rPr>
              <w:t>.1 环境保护设施调试效果</w:t>
            </w:r>
            <w:bookmarkEnd w:id="25"/>
            <w:bookmarkEnd w:id="26"/>
            <w:bookmarkEnd w:id="27"/>
            <w:bookmarkEnd w:id="28"/>
            <w:bookmarkEnd w:id="29"/>
            <w:bookmarkEnd w:id="30"/>
            <w:bookmarkEnd w:id="31"/>
            <w:bookmarkEnd w:id="32"/>
            <w:bookmarkEnd w:id="33"/>
            <w:bookmarkEnd w:id="34"/>
            <w:bookmarkEnd w:id="35"/>
            <w:bookmarkEnd w:id="36"/>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通过对各类污染物达标排放及各类污染治理设施去除效率的监测，来说明环境保护设施调试效果，具体监测内容如下：</w:t>
            </w:r>
          </w:p>
          <w:p>
            <w:pPr>
              <w:spacing w:line="360" w:lineRule="auto"/>
              <w:rPr>
                <w:rFonts w:ascii="Times New Roman" w:hAnsi="Times New Roman" w:cs="Times New Roman"/>
                <w:b/>
                <w:bCs/>
                <w:sz w:val="24"/>
              </w:rPr>
            </w:pPr>
            <w:bookmarkStart w:id="37" w:name="_Toc21542"/>
            <w:bookmarkStart w:id="38" w:name="_Toc9704"/>
            <w:bookmarkStart w:id="39" w:name="_Toc23731"/>
            <w:bookmarkStart w:id="40" w:name="_Toc8385"/>
            <w:r>
              <w:rPr>
                <w:rFonts w:ascii="Times New Roman" w:hAnsi="Times New Roman" w:cs="Times New Roman"/>
                <w:b/>
                <w:bCs/>
                <w:sz w:val="24"/>
              </w:rPr>
              <w:t>6.1.1废水</w:t>
            </w:r>
          </w:p>
          <w:p>
            <w:pPr>
              <w:spacing w:line="360" w:lineRule="auto"/>
              <w:ind w:firstLine="470" w:firstLineChars="196"/>
              <w:rPr>
                <w:rFonts w:ascii="Times New Roman" w:hAnsi="Times New Roman" w:cs="Times New Roman"/>
                <w:sz w:val="24"/>
              </w:rPr>
            </w:pPr>
            <w:r>
              <w:rPr>
                <w:rFonts w:hint="eastAsia" w:ascii="Times New Roman" w:hAnsi="Times New Roman" w:cs="Times New Roman"/>
                <w:sz w:val="24"/>
              </w:rPr>
              <w:t>1、废水监测内容</w:t>
            </w:r>
          </w:p>
          <w:p>
            <w:pPr>
              <w:pStyle w:val="19"/>
              <w:ind w:firstLine="480"/>
              <w:jc w:val="both"/>
            </w:pPr>
            <w:r>
              <w:rPr>
                <w:rFonts w:hint="eastAsia"/>
              </w:rPr>
              <w:t>本项目产生的生活生产废水经简单处理后进行储存，到一定量后联系相关单位运输至污水处理单位处理，不对外排放。单位证明见附件1.</w:t>
            </w:r>
          </w:p>
          <w:p>
            <w:pPr>
              <w:spacing w:line="360" w:lineRule="auto"/>
              <w:outlineLvl w:val="0"/>
              <w:rPr>
                <w:rFonts w:ascii="Times New Roman" w:hAnsi="Times New Roman" w:eastAsia="宋体" w:cs="Times New Roman"/>
                <w:b/>
                <w:sz w:val="24"/>
              </w:rPr>
            </w:pPr>
            <w:r>
              <w:rPr>
                <w:rFonts w:ascii="Times New Roman" w:hAnsi="Times New Roman" w:cs="Times New Roman"/>
                <w:b/>
                <w:sz w:val="24"/>
              </w:rPr>
              <w:t>6</w:t>
            </w:r>
            <w:r>
              <w:rPr>
                <w:rFonts w:ascii="Times New Roman" w:hAnsi="Times New Roman" w:eastAsia="宋体" w:cs="Times New Roman"/>
                <w:b/>
                <w:sz w:val="24"/>
              </w:rPr>
              <w:t>.1.</w:t>
            </w:r>
            <w:r>
              <w:rPr>
                <w:rFonts w:ascii="Times New Roman" w:hAnsi="Times New Roman" w:cs="Times New Roman"/>
                <w:b/>
                <w:sz w:val="24"/>
              </w:rPr>
              <w:t>2</w:t>
            </w:r>
            <w:r>
              <w:rPr>
                <w:rFonts w:ascii="Times New Roman" w:hAnsi="Times New Roman" w:eastAsia="宋体" w:cs="Times New Roman"/>
                <w:b/>
                <w:sz w:val="24"/>
              </w:rPr>
              <w:t>废气</w:t>
            </w:r>
            <w:bookmarkEnd w:id="37"/>
            <w:bookmarkEnd w:id="38"/>
            <w:bookmarkEnd w:id="39"/>
            <w:bookmarkEnd w:id="40"/>
            <w:r>
              <w:rPr>
                <w:rFonts w:ascii="Times New Roman" w:hAnsi="Times New Roman" w:eastAsia="宋体" w:cs="Times New Roman"/>
                <w:b/>
                <w:sz w:val="24"/>
              </w:rPr>
              <w:t xml:space="preserve"> </w:t>
            </w:r>
          </w:p>
          <w:p>
            <w:pPr>
              <w:spacing w:line="360" w:lineRule="auto"/>
              <w:ind w:right="-334"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1、废气监测内容</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本次无组织废气监测共设置4个监测点，监测点位和监测项目见表</w:t>
            </w:r>
            <w:r>
              <w:rPr>
                <w:rFonts w:ascii="Times New Roman" w:hAnsi="Times New Roman" w:cs="Times New Roman"/>
                <w:bCs/>
                <w:sz w:val="24"/>
              </w:rPr>
              <w:t>6</w:t>
            </w:r>
            <w:r>
              <w:rPr>
                <w:rFonts w:ascii="Times New Roman" w:hAnsi="Times New Roman" w:eastAsia="宋体" w:cs="Times New Roman"/>
                <w:bCs/>
                <w:sz w:val="24"/>
              </w:rPr>
              <w:t>-</w:t>
            </w:r>
            <w:r>
              <w:rPr>
                <w:rFonts w:hint="eastAsia" w:ascii="Times New Roman" w:hAnsi="Times New Roman" w:eastAsia="宋体" w:cs="Times New Roman"/>
                <w:bCs/>
                <w:sz w:val="24"/>
              </w:rPr>
              <w:t>1</w:t>
            </w:r>
            <w:r>
              <w:rPr>
                <w:rFonts w:ascii="Times New Roman" w:hAnsi="Times New Roman" w:eastAsia="宋体" w:cs="Times New Roman"/>
                <w:bCs/>
                <w:sz w:val="24"/>
              </w:rPr>
              <w:t>。监测布点图见图</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1</w:t>
            </w:r>
            <w:r>
              <w:rPr>
                <w:rFonts w:ascii="Times New Roman" w:hAnsi="Times New Roman" w:eastAsia="宋体" w:cs="Times New Roman"/>
                <w:bCs/>
                <w:sz w:val="24"/>
              </w:rPr>
              <w:t>。</w:t>
            </w: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Cs w:val="21"/>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cs="Times New Roman"/>
                <w:b/>
                <w:sz w:val="24"/>
              </w:rPr>
              <w:t>1</w:t>
            </w:r>
            <w:r>
              <w:rPr>
                <w:rFonts w:ascii="Times New Roman" w:hAnsi="Times New Roman" w:eastAsia="宋体" w:cs="Times New Roman"/>
                <w:b/>
                <w:sz w:val="24"/>
              </w:rPr>
              <w:t>无组织废气监测点位和监测项目</w:t>
            </w:r>
          </w:p>
          <w:tbl>
            <w:tblPr>
              <w:tblStyle w:val="16"/>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889"/>
              <w:gridCol w:w="2758"/>
              <w:gridCol w:w="2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889"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5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4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上风向</w:t>
                  </w:r>
                  <w:r>
                    <w:rPr>
                      <w:rFonts w:hint="eastAsia" w:ascii="Times New Roman" w:hAnsi="Times New Roman" w:eastAsia="宋体" w:cs="Times New Roman"/>
                      <w:szCs w:val="21"/>
                    </w:rPr>
                    <w:t>监测</w:t>
                  </w:r>
                  <w:r>
                    <w:rPr>
                      <w:rFonts w:ascii="Times New Roman" w:hAnsi="Times New Roman" w:eastAsia="宋体" w:cs="Times New Roman"/>
                      <w:szCs w:val="21"/>
                    </w:rPr>
                    <w:t>点</w:t>
                  </w:r>
                  <w:r>
                    <w:rPr>
                      <w:rFonts w:hint="eastAsia" w:ascii="Times New Roman" w:hAnsi="Times New Roman" w:eastAsia="宋体" w:cs="Times New Roman"/>
                      <w:szCs w:val="21"/>
                    </w:rPr>
                    <w:t>H1</w:t>
                  </w:r>
                </w:p>
              </w:tc>
              <w:tc>
                <w:tcPr>
                  <w:tcW w:w="2758"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非甲烷总烃</w:t>
                  </w:r>
                </w:p>
              </w:tc>
              <w:tc>
                <w:tcPr>
                  <w:tcW w:w="2448" w:type="dxa"/>
                  <w:vMerge w:val="restart"/>
                  <w:tcBorders>
                    <w:tl2br w:val="nil"/>
                    <w:tr2bl w:val="nil"/>
                  </w:tcBorders>
                  <w:vAlign w:val="center"/>
                </w:tcPr>
                <w:p>
                  <w:pPr>
                    <w:jc w:val="center"/>
                    <w:rPr>
                      <w:rFonts w:ascii="Times New Roman" w:hAnsi="Times New Roman" w:eastAsia="宋体" w:cs="Times New Roman"/>
                      <w:bCs/>
                    </w:rPr>
                  </w:pPr>
                  <w:r>
                    <w:rPr>
                      <w:rFonts w:ascii="Times New Roman" w:hAnsi="Times New Roman" w:eastAsia="宋体" w:cs="Times New Roman"/>
                      <w:szCs w:val="21"/>
                    </w:rPr>
                    <w:t>监测2天，每天3次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H2</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H3</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H4</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bl>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2、废气监测分析方法</w:t>
            </w:r>
          </w:p>
          <w:p>
            <w:pPr>
              <w:spacing w:line="360" w:lineRule="auto"/>
              <w:rPr>
                <w:rFonts w:ascii="Times New Roman" w:hAnsi="Times New Roman" w:eastAsia="宋体" w:cs="Times New Roman"/>
                <w:bCs/>
                <w:sz w:val="24"/>
              </w:rPr>
            </w:pPr>
            <w:r>
              <w:rPr>
                <w:rFonts w:ascii="Times New Roman" w:hAnsi="Times New Roman" w:eastAsia="宋体" w:cs="Times New Roman"/>
                <w:b/>
                <w:sz w:val="28"/>
                <w:szCs w:val="28"/>
              </w:rPr>
              <w:t xml:space="preserve">   </w:t>
            </w:r>
            <w:r>
              <w:rPr>
                <w:rFonts w:ascii="Times New Roman" w:hAnsi="Times New Roman" w:eastAsia="宋体" w:cs="Times New Roman"/>
                <w:bCs/>
                <w:sz w:val="24"/>
              </w:rPr>
              <w:t>废气监测分析方法见表</w:t>
            </w:r>
            <w:r>
              <w:rPr>
                <w:rFonts w:ascii="Times New Roman" w:hAnsi="Times New Roman" w:cs="Times New Roman"/>
                <w:bCs/>
                <w:sz w:val="24"/>
              </w:rPr>
              <w:t>6</w:t>
            </w:r>
            <w:r>
              <w:rPr>
                <w:rFonts w:ascii="Times New Roman" w:hAnsi="Times New Roman" w:eastAsia="宋体" w:cs="Times New Roman"/>
                <w:bCs/>
                <w:sz w:val="24"/>
              </w:rPr>
              <w:t>-</w:t>
            </w:r>
            <w:r>
              <w:rPr>
                <w:rFonts w:hint="eastAsia" w:ascii="Times New Roman" w:hAnsi="Times New Roman" w:cs="Times New Roman"/>
                <w:bCs/>
                <w:sz w:val="24"/>
              </w:rPr>
              <w:t>2</w:t>
            </w:r>
            <w:r>
              <w:rPr>
                <w:rFonts w:ascii="Times New Roman" w:hAnsi="Times New Roman" w:eastAsia="宋体" w:cs="Times New Roman"/>
                <w:bCs/>
                <w:sz w:val="24"/>
              </w:rPr>
              <w:t>。</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cs="Times New Roman"/>
                <w:b/>
                <w:sz w:val="24"/>
              </w:rPr>
              <w:t>2</w:t>
            </w:r>
            <w:r>
              <w:rPr>
                <w:rFonts w:ascii="Times New Roman" w:hAnsi="Times New Roman" w:eastAsia="宋体" w:cs="Times New Roman"/>
                <w:b/>
                <w:sz w:val="24"/>
              </w:rPr>
              <w:t>废气监测分析方法</w:t>
            </w:r>
          </w:p>
          <w:tbl>
            <w:tblPr>
              <w:tblStyle w:val="16"/>
              <w:tblW w:w="870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3"/>
              <w:gridCol w:w="1312"/>
              <w:gridCol w:w="3160"/>
              <w:gridCol w:w="1657"/>
              <w:gridCol w:w="14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2435" w:type="dxa"/>
                  <w:gridSpan w:val="2"/>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3160"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1657"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cs="Times New Roman"/>
                      <w:b/>
                      <w:bCs/>
                      <w:szCs w:val="21"/>
                    </w:rPr>
                    <w:t>设备</w:t>
                  </w:r>
                </w:p>
              </w:tc>
              <w:tc>
                <w:tcPr>
                  <w:tcW w:w="1448"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75" w:hRule="atLeast"/>
                <w:jc w:val="center"/>
              </w:trPr>
              <w:tc>
                <w:tcPr>
                  <w:tcW w:w="1123" w:type="dxa"/>
                  <w:tcBorders>
                    <w:tl2br w:val="nil"/>
                    <w:tr2bl w:val="nil"/>
                  </w:tcBorders>
                  <w:vAlign w:val="center"/>
                </w:tcPr>
                <w:p>
                  <w:pPr>
                    <w:spacing w:line="288" w:lineRule="auto"/>
                    <w:jc w:val="center"/>
                    <w:rPr>
                      <w:rFonts w:ascii="Times New Roman" w:hAnsi="Times New Roman" w:eastAsia="宋体" w:cs="Times New Roman"/>
                      <w:szCs w:val="21"/>
                    </w:rPr>
                  </w:pPr>
                  <w:r>
                    <w:rPr>
                      <w:rFonts w:hint="eastAsia" w:ascii="Times New Roman" w:hAnsi="Times New Roman" w:eastAsia="宋体" w:cs="Times New Roman"/>
                      <w:szCs w:val="21"/>
                    </w:rPr>
                    <w:t>无组织</w:t>
                  </w:r>
                </w:p>
              </w:tc>
              <w:tc>
                <w:tcPr>
                  <w:tcW w:w="1312" w:type="dxa"/>
                  <w:tcBorders>
                    <w:tl2br w:val="nil"/>
                    <w:tr2bl w:val="nil"/>
                  </w:tcBorders>
                  <w:vAlign w:val="center"/>
                </w:tcPr>
                <w:p>
                  <w:pPr>
                    <w:jc w:val="center"/>
                    <w:rPr>
                      <w:rFonts w:ascii="Times New Roman" w:hAnsi="Times New Roman" w:cs="Times New Roman"/>
                      <w:szCs w:val="21"/>
                    </w:rPr>
                  </w:pPr>
                  <w:r>
                    <w:rPr>
                      <w:rFonts w:ascii="Times New Roman" w:hAnsi="Times New Roman" w:eastAsia="宋体" w:cs="Times New Roman"/>
                      <w:szCs w:val="21"/>
                    </w:rPr>
                    <w:t>非甲烷总烃</w:t>
                  </w:r>
                </w:p>
              </w:tc>
              <w:tc>
                <w:tcPr>
                  <w:tcW w:w="3160"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环境空气 总烃、甲烷和非      甲烷总烃的测定</w:t>
                  </w:r>
                  <w:r>
                    <w:rPr>
                      <w:rFonts w:hint="eastAsia" w:ascii="Times New Roman" w:hAnsi="Times New Roman" w:eastAsia="宋体" w:cs="Times New Roman"/>
                      <w:szCs w:val="21"/>
                    </w:rPr>
                    <w:t xml:space="preserve"> </w:t>
                  </w:r>
                  <w:r>
                    <w:rPr>
                      <w:rFonts w:ascii="Times New Roman" w:hAnsi="Times New Roman" w:eastAsia="宋体" w:cs="Times New Roman"/>
                      <w:szCs w:val="21"/>
                    </w:rPr>
                    <w:t>直接进样-气相色谱法法 HJ 604-2017</w:t>
                  </w:r>
                </w:p>
              </w:tc>
              <w:tc>
                <w:tcPr>
                  <w:tcW w:w="165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气相色谱</w:t>
                  </w:r>
                </w:p>
                <w:p>
                  <w:pPr>
                    <w:jc w:val="center"/>
                    <w:rPr>
                      <w:rFonts w:ascii="Times New Roman" w:hAnsi="Times New Roman" w:cs="Times New Roman"/>
                      <w:bCs/>
                      <w:szCs w:val="21"/>
                    </w:rPr>
                  </w:pPr>
                  <w:r>
                    <w:rPr>
                      <w:rFonts w:ascii="Times New Roman" w:hAnsi="Times New Roman" w:cs="Times New Roman"/>
                      <w:szCs w:val="21"/>
                    </w:rPr>
                    <w:t>MD-</w:t>
                  </w:r>
                  <w:r>
                    <w:rPr>
                      <w:rFonts w:hint="eastAsia" w:ascii="Times New Roman" w:hAnsi="Times New Roman" w:cs="Times New Roman"/>
                      <w:szCs w:val="21"/>
                    </w:rPr>
                    <w:t>088</w:t>
                  </w:r>
                </w:p>
              </w:tc>
              <w:tc>
                <w:tcPr>
                  <w:tcW w:w="1448" w:type="dxa"/>
                  <w:tcBorders>
                    <w:tl2br w:val="nil"/>
                    <w:tr2bl w:val="nil"/>
                  </w:tcBorders>
                  <w:vAlign w:val="center"/>
                </w:tcPr>
                <w:p>
                  <w:pPr>
                    <w:jc w:val="center"/>
                    <w:rPr>
                      <w:rFonts w:ascii="Times New Roman" w:hAnsi="Times New Roman" w:cs="Times New Roman"/>
                      <w:szCs w:val="21"/>
                    </w:rPr>
                  </w:pPr>
                  <w:r>
                    <w:rPr>
                      <w:rFonts w:ascii="Times New Roman" w:hAnsi="Times New Roman" w:eastAsia="宋体" w:cs="Times New Roman"/>
                      <w:szCs w:val="21"/>
                    </w:rPr>
                    <w:t>0.07mg/m</w:t>
                  </w:r>
                  <w:r>
                    <w:rPr>
                      <w:rFonts w:ascii="Times New Roman" w:hAnsi="Times New Roman" w:eastAsia="宋体" w:cs="Times New Roman"/>
                      <w:szCs w:val="21"/>
                      <w:vertAlign w:val="superscript"/>
                    </w:rPr>
                    <w:t>3</w:t>
                  </w:r>
                </w:p>
              </w:tc>
            </w:tr>
          </w:tbl>
          <w:p>
            <w:pPr>
              <w:adjustRightInd w:val="0"/>
              <w:snapToGrid w:val="0"/>
              <w:spacing w:line="360" w:lineRule="auto"/>
              <w:outlineLvl w:val="0"/>
              <w:rPr>
                <w:rFonts w:ascii="Times New Roman" w:hAnsi="Times New Roman" w:eastAsia="宋体" w:cs="Times New Roman"/>
                <w:b/>
                <w:sz w:val="24"/>
              </w:rPr>
            </w:pPr>
            <w:bookmarkStart w:id="41" w:name="_Toc20647"/>
            <w:bookmarkStart w:id="42" w:name="_Toc30098"/>
            <w:bookmarkStart w:id="43" w:name="_Toc13649"/>
            <w:bookmarkStart w:id="44" w:name="_Toc22872"/>
            <w:r>
              <w:rPr>
                <w:rFonts w:ascii="Times New Roman" w:hAnsi="Times New Roman" w:cs="Times New Roman"/>
                <w:b/>
                <w:sz w:val="24"/>
              </w:rPr>
              <w:t>6</w:t>
            </w:r>
            <w:r>
              <w:rPr>
                <w:rFonts w:ascii="Times New Roman" w:hAnsi="Times New Roman" w:eastAsia="宋体" w:cs="Times New Roman"/>
                <w:b/>
                <w:sz w:val="24"/>
              </w:rPr>
              <w:t>.1.</w:t>
            </w:r>
            <w:r>
              <w:rPr>
                <w:rFonts w:ascii="Times New Roman" w:hAnsi="Times New Roman" w:cs="Times New Roman"/>
                <w:b/>
                <w:sz w:val="24"/>
              </w:rPr>
              <w:t>2</w:t>
            </w:r>
            <w:r>
              <w:rPr>
                <w:rFonts w:ascii="Times New Roman" w:hAnsi="Times New Roman" w:eastAsia="宋体" w:cs="Times New Roman"/>
                <w:b/>
                <w:sz w:val="24"/>
              </w:rPr>
              <w:t>噪声</w:t>
            </w:r>
            <w:bookmarkEnd w:id="41"/>
            <w:bookmarkEnd w:id="42"/>
            <w:bookmarkEnd w:id="43"/>
            <w:bookmarkEnd w:id="44"/>
          </w:p>
          <w:p>
            <w:pPr>
              <w:spacing w:line="360" w:lineRule="auto"/>
              <w:ind w:right="-334"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1、</w:t>
            </w:r>
            <w:r>
              <w:rPr>
                <w:rFonts w:ascii="Times New Roman" w:hAnsi="Times New Roman" w:cs="Times New Roman"/>
                <w:bCs/>
                <w:sz w:val="24"/>
              </w:rPr>
              <w:t>噪声</w:t>
            </w:r>
            <w:r>
              <w:rPr>
                <w:rFonts w:ascii="Times New Roman" w:hAnsi="Times New Roman" w:eastAsia="宋体" w:cs="Times New Roman"/>
                <w:bCs/>
                <w:sz w:val="24"/>
              </w:rPr>
              <w:t>监测内容</w:t>
            </w:r>
          </w:p>
          <w:p>
            <w:pPr>
              <w:spacing w:line="360" w:lineRule="auto"/>
              <w:ind w:firstLine="480" w:firstLineChars="200"/>
              <w:rPr>
                <w:rFonts w:ascii="Times New Roman" w:hAnsi="Times New Roman" w:eastAsia="宋体" w:cs="Times New Roman"/>
                <w:b/>
                <w:sz w:val="24"/>
              </w:rPr>
            </w:pPr>
            <w:r>
              <w:rPr>
                <w:rFonts w:ascii="Times New Roman" w:hAnsi="Times New Roman" w:eastAsia="宋体" w:cs="Times New Roman"/>
                <w:bCs/>
                <w:sz w:val="24"/>
              </w:rPr>
              <w:t>本次噪声监测共设置4个监测点，监测点位和监测项目见表</w:t>
            </w:r>
            <w:r>
              <w:rPr>
                <w:rFonts w:ascii="Times New Roman" w:hAnsi="Times New Roman" w:cs="Times New Roman"/>
                <w:bCs/>
                <w:sz w:val="24"/>
              </w:rPr>
              <w:t>6</w:t>
            </w:r>
            <w:r>
              <w:rPr>
                <w:rFonts w:ascii="Times New Roman" w:hAnsi="Times New Roman" w:eastAsia="宋体" w:cs="Times New Roman"/>
                <w:bCs/>
                <w:sz w:val="24"/>
              </w:rPr>
              <w:t>-</w:t>
            </w:r>
            <w:r>
              <w:rPr>
                <w:rFonts w:hint="eastAsia" w:ascii="Times New Roman" w:hAnsi="Times New Roman" w:eastAsia="宋体" w:cs="Times New Roman"/>
                <w:bCs/>
                <w:sz w:val="24"/>
              </w:rPr>
              <w:t>3</w:t>
            </w:r>
            <w:r>
              <w:rPr>
                <w:rFonts w:ascii="Times New Roman" w:hAnsi="Times New Roman" w:eastAsia="宋体" w:cs="Times New Roman"/>
                <w:bCs/>
                <w:sz w:val="24"/>
              </w:rPr>
              <w:t>。监测布点图见图</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1</w:t>
            </w:r>
            <w:r>
              <w:rPr>
                <w:rFonts w:ascii="Times New Roman" w:hAnsi="Times New Roman" w:eastAsia="宋体" w:cs="Times New Roman"/>
                <w:bCs/>
                <w:sz w:val="24"/>
              </w:rPr>
              <w:t>；</w:t>
            </w: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 xml:space="preserve">3  </w:t>
            </w:r>
            <w:r>
              <w:rPr>
                <w:rFonts w:ascii="Times New Roman" w:hAnsi="Times New Roman" w:eastAsia="宋体" w:cs="Times New Roman"/>
                <w:b/>
                <w:sz w:val="24"/>
              </w:rPr>
              <w:t xml:space="preserve"> 噪声监测点位和监测项目</w:t>
            </w:r>
          </w:p>
          <w:tbl>
            <w:tblPr>
              <w:tblStyle w:val="16"/>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946"/>
              <w:gridCol w:w="2783"/>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4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8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94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厂界东侧外1m</w:t>
                  </w:r>
                </w:p>
              </w:tc>
              <w:tc>
                <w:tcPr>
                  <w:tcW w:w="2783"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bCs/>
                      <w:szCs w:val="21"/>
                    </w:rPr>
                    <w:t>等效连续A声级</w:t>
                  </w:r>
                </w:p>
              </w:tc>
              <w:tc>
                <w:tcPr>
                  <w:tcW w:w="2417"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连续</w:t>
                  </w:r>
                  <w:r>
                    <w:rPr>
                      <w:rFonts w:ascii="Times New Roman" w:hAnsi="Times New Roman" w:eastAsia="宋体" w:cs="Times New Roman"/>
                      <w:szCs w:val="21"/>
                    </w:rPr>
                    <w:t>监测2天，</w:t>
                  </w:r>
                  <w:r>
                    <w:rPr>
                      <w:rFonts w:ascii="Times New Roman" w:hAnsi="Times New Roman" w:eastAsia="宋体" w:cs="Times New Roman"/>
                      <w:bCs/>
                      <w:szCs w:val="21"/>
                    </w:rPr>
                    <w:t>昼夜各一次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厂界南侧外1m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厂界西侧外1m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厂界北侧外1m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bl>
          <w:p>
            <w:pPr>
              <w:numPr>
                <w:ilvl w:val="0"/>
                <w:numId w:val="4"/>
              </w:num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噪声监测分析方法</w:t>
            </w:r>
          </w:p>
          <w:p>
            <w:pPr>
              <w:spacing w:line="360" w:lineRule="auto"/>
              <w:rPr>
                <w:rFonts w:ascii="Times New Roman" w:hAnsi="Times New Roman" w:eastAsia="宋体" w:cs="Times New Roman"/>
                <w:b/>
                <w:sz w:val="24"/>
              </w:rPr>
            </w:pPr>
            <w:r>
              <w:rPr>
                <w:rFonts w:ascii="Times New Roman" w:hAnsi="Times New Roman" w:eastAsia="宋体" w:cs="Times New Roman"/>
                <w:b/>
                <w:sz w:val="28"/>
                <w:szCs w:val="28"/>
              </w:rPr>
              <w:t xml:space="preserve">   </w:t>
            </w:r>
            <w:r>
              <w:rPr>
                <w:rFonts w:ascii="Times New Roman" w:hAnsi="Times New Roman" w:eastAsia="宋体" w:cs="Times New Roman"/>
                <w:bCs/>
                <w:sz w:val="24"/>
              </w:rPr>
              <w:t xml:space="preserve"> 噪声监测分析方法见表</w:t>
            </w:r>
            <w:r>
              <w:rPr>
                <w:rFonts w:ascii="Times New Roman" w:hAnsi="Times New Roman" w:cs="Times New Roman"/>
                <w:bCs/>
                <w:sz w:val="24"/>
              </w:rPr>
              <w:t>6</w:t>
            </w:r>
            <w:r>
              <w:rPr>
                <w:rFonts w:ascii="Times New Roman" w:hAnsi="Times New Roman" w:eastAsia="宋体" w:cs="Times New Roman"/>
                <w:bCs/>
                <w:sz w:val="24"/>
              </w:rPr>
              <w:t>-</w:t>
            </w:r>
            <w:r>
              <w:rPr>
                <w:rFonts w:hint="eastAsia" w:ascii="Times New Roman" w:hAnsi="Times New Roman" w:eastAsia="宋体" w:cs="Times New Roman"/>
                <w:bCs/>
                <w:sz w:val="24"/>
              </w:rPr>
              <w:t>4</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4</w:t>
            </w:r>
            <w:r>
              <w:rPr>
                <w:rFonts w:ascii="Times New Roman" w:hAnsi="Times New Roman" w:eastAsia="宋体" w:cs="Times New Roman"/>
                <w:b/>
                <w:sz w:val="24"/>
              </w:rPr>
              <w:t xml:space="preserve"> </w:t>
            </w:r>
            <w:r>
              <w:rPr>
                <w:rFonts w:hint="eastAsia" w:ascii="Times New Roman" w:hAnsi="Times New Roman" w:eastAsia="宋体" w:cs="Times New Roman"/>
                <w:b/>
                <w:sz w:val="24"/>
              </w:rPr>
              <w:t xml:space="preserve">  </w:t>
            </w:r>
            <w:r>
              <w:rPr>
                <w:rFonts w:ascii="Times New Roman" w:hAnsi="Times New Roman" w:eastAsia="宋体" w:cs="Times New Roman"/>
                <w:b/>
                <w:sz w:val="24"/>
              </w:rPr>
              <w:t>噪声监测分析方法</w:t>
            </w:r>
          </w:p>
          <w:tbl>
            <w:tblPr>
              <w:tblStyle w:val="1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2963"/>
              <w:gridCol w:w="2126"/>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18" w:type="dxa"/>
                  <w:tcBorders>
                    <w:top w:val="single" w:color="auto" w:sz="12"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2963"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2126"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测量仪器</w:t>
                  </w:r>
                </w:p>
              </w:tc>
              <w:tc>
                <w:tcPr>
                  <w:tcW w:w="2253" w:type="dxa"/>
                  <w:tcBorders>
                    <w:top w:val="single" w:color="auto" w:sz="12" w:space="0"/>
                    <w:righ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718" w:type="dxa"/>
                  <w:tcBorders>
                    <w:left w:val="nil"/>
                    <w:bottom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厂界噪声</w:t>
                  </w:r>
                </w:p>
              </w:tc>
              <w:tc>
                <w:tcPr>
                  <w:tcW w:w="2963" w:type="dxa"/>
                  <w:tcBorders>
                    <w:bottom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工业企业厂界环境噪声排放标准GB12348-2008</w:t>
                  </w:r>
                </w:p>
              </w:tc>
              <w:tc>
                <w:tcPr>
                  <w:tcW w:w="2126" w:type="dxa"/>
                  <w:tcBorders>
                    <w:bottom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多功能声级计</w:t>
                  </w:r>
                </w:p>
                <w:p>
                  <w:pPr>
                    <w:jc w:val="center"/>
                    <w:rPr>
                      <w:rFonts w:ascii="Times New Roman" w:hAnsi="Times New Roman" w:eastAsia="宋体" w:cs="Times New Roman"/>
                      <w:szCs w:val="21"/>
                    </w:rPr>
                  </w:pPr>
                  <w:r>
                    <w:rPr>
                      <w:rFonts w:ascii="Times New Roman" w:hAnsi="Times New Roman" w:eastAsia="宋体" w:cs="Times New Roman"/>
                      <w:szCs w:val="21"/>
                    </w:rPr>
                    <w:t>MD-</w:t>
                  </w:r>
                  <w:r>
                    <w:rPr>
                      <w:rFonts w:hint="eastAsia" w:ascii="Times New Roman" w:hAnsi="Times New Roman" w:eastAsia="宋体" w:cs="Times New Roman"/>
                      <w:szCs w:val="21"/>
                    </w:rPr>
                    <w:t>095-02</w:t>
                  </w:r>
                </w:p>
              </w:tc>
              <w:tc>
                <w:tcPr>
                  <w:tcW w:w="2253" w:type="dxa"/>
                  <w:tcBorders>
                    <w:bottom w:val="single" w:color="auto" w:sz="12" w:space="0"/>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bl>
          <w:p>
            <w:pPr>
              <w:spacing w:line="360" w:lineRule="auto"/>
              <w:rPr>
                <w:rFonts w:ascii="Times New Roman" w:hAnsi="Times New Roman" w:cs="Times New Roman"/>
                <w:b/>
                <w:sz w:val="24"/>
              </w:rPr>
            </w:pPr>
            <w:r>
              <w:rPr>
                <w:rFonts w:hint="eastAsia" w:ascii="Times New Roman" w:hAnsi="Times New Roman" w:cs="Times New Roman"/>
                <w:b/>
                <w:sz w:val="24"/>
              </w:rPr>
              <w:t>6.1.3油汽回收</w:t>
            </w:r>
          </w:p>
          <w:p>
            <w:pPr>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1、油汽回收监测内容</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本次油汽回收对加油站油汽系统进行监测；监测点位和监测项目见表6-5；</w:t>
            </w:r>
          </w:p>
          <w:p>
            <w:pPr>
              <w:spacing w:line="360" w:lineRule="auto"/>
              <w:ind w:firstLine="480"/>
              <w:rPr>
                <w:rFonts w:ascii="Times New Roman" w:hAnsi="Times New Roman" w:cs="Times New Roman"/>
                <w:bCs/>
                <w:sz w:val="24"/>
              </w:rPr>
            </w:pP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 xml:space="preserve">5  </w:t>
            </w:r>
            <w:r>
              <w:rPr>
                <w:rFonts w:ascii="Times New Roman" w:hAnsi="Times New Roman" w:eastAsia="宋体" w:cs="Times New Roman"/>
                <w:b/>
                <w:sz w:val="24"/>
              </w:rPr>
              <w:t xml:space="preserve"> </w:t>
            </w:r>
            <w:r>
              <w:rPr>
                <w:rFonts w:hint="eastAsia" w:ascii="Times New Roman" w:hAnsi="Times New Roman" w:eastAsia="宋体" w:cs="Times New Roman"/>
                <w:b/>
                <w:sz w:val="24"/>
              </w:rPr>
              <w:t>油汽回收</w:t>
            </w:r>
            <w:r>
              <w:rPr>
                <w:rFonts w:ascii="Times New Roman" w:hAnsi="Times New Roman" w:eastAsia="宋体" w:cs="Times New Roman"/>
                <w:b/>
                <w:sz w:val="24"/>
              </w:rPr>
              <w:t>监测点位和监测项目</w:t>
            </w:r>
          </w:p>
          <w:tbl>
            <w:tblPr>
              <w:tblStyle w:val="16"/>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946"/>
              <w:gridCol w:w="2783"/>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4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8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94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1号加油机</w:t>
                  </w:r>
                </w:p>
              </w:tc>
              <w:tc>
                <w:tcPr>
                  <w:tcW w:w="2783"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2417"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rPr>
                    <w:t>2号加油机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rPr>
                    <w:t>3号加油机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rPr>
                    <w:t>4号加油机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5</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油罐（各油汽管线连通）</w:t>
                  </w:r>
                </w:p>
              </w:tc>
              <w:tc>
                <w:tcPr>
                  <w:tcW w:w="2783"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密闭性</w:t>
                  </w:r>
                </w:p>
              </w:tc>
              <w:tc>
                <w:tcPr>
                  <w:tcW w:w="2417"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1号加油枪</w:t>
                  </w:r>
                </w:p>
              </w:tc>
              <w:tc>
                <w:tcPr>
                  <w:tcW w:w="2783"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 xml:space="preserve">汽液比 </w:t>
                  </w:r>
                </w:p>
              </w:tc>
              <w:tc>
                <w:tcPr>
                  <w:tcW w:w="2417"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7</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9</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10</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11</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12</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13</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14</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15</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bl>
          <w:p>
            <w:pPr>
              <w:spacing w:line="360" w:lineRule="auto"/>
              <w:ind w:firstLine="480"/>
              <w:rPr>
                <w:rFonts w:ascii="Times New Roman" w:hAnsi="Times New Roman" w:cs="Times New Roman"/>
                <w:bCs/>
                <w:sz w:val="24"/>
              </w:rPr>
            </w:pPr>
          </w:p>
          <w:p>
            <w:pPr>
              <w:spacing w:line="360" w:lineRule="auto"/>
              <w:ind w:firstLine="480"/>
              <w:rPr>
                <w:rFonts w:ascii="Times New Roman" w:hAnsi="Times New Roman" w:cs="Times New Roman"/>
                <w:bCs/>
                <w:sz w:val="24"/>
              </w:rPr>
            </w:pP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2、油气回收监测分析方法</w:t>
            </w:r>
          </w:p>
          <w:p>
            <w:pPr>
              <w:spacing w:line="360" w:lineRule="auto"/>
              <w:ind w:firstLine="480"/>
              <w:rPr>
                <w:rFonts w:ascii="Times New Roman" w:hAnsi="Times New Roman" w:cs="Times New Roman"/>
                <w:bCs/>
                <w:sz w:val="24"/>
              </w:rPr>
            </w:pPr>
            <w:r>
              <w:rPr>
                <w:rFonts w:ascii="Times New Roman" w:hAnsi="Times New Roman" w:cs="Times New Roman"/>
                <w:bCs/>
                <w:sz w:val="24"/>
              </w:rPr>
              <w:t xml:space="preserve"> </w:t>
            </w:r>
            <w:r>
              <w:rPr>
                <w:rFonts w:hint="eastAsia" w:ascii="Times New Roman" w:hAnsi="Times New Roman" w:cs="Times New Roman"/>
                <w:bCs/>
                <w:sz w:val="24"/>
              </w:rPr>
              <w:t>油汽回收监测分析方法见表6-6</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6 油汽回收</w:t>
            </w:r>
            <w:r>
              <w:rPr>
                <w:rFonts w:ascii="Times New Roman" w:hAnsi="Times New Roman" w:eastAsia="宋体" w:cs="Times New Roman"/>
                <w:b/>
                <w:sz w:val="24"/>
              </w:rPr>
              <w:t>监测分析方法</w:t>
            </w:r>
          </w:p>
          <w:tbl>
            <w:tblPr>
              <w:tblStyle w:val="1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3084"/>
              <w:gridCol w:w="2005"/>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18" w:type="dxa"/>
                  <w:tcBorders>
                    <w:top w:val="single" w:color="auto" w:sz="12"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3084"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2005"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测量仪器</w:t>
                  </w:r>
                </w:p>
              </w:tc>
              <w:tc>
                <w:tcPr>
                  <w:tcW w:w="2253" w:type="dxa"/>
                  <w:tcBorders>
                    <w:top w:val="single" w:color="auto" w:sz="12" w:space="0"/>
                    <w:righ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18" w:type="dxa"/>
                  <w:tcBorders>
                    <w:lef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3084" w:type="dxa"/>
                  <w:vMerge w:val="restart"/>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restart"/>
                  <w:vAlign w:val="center"/>
                </w:tcPr>
                <w:p>
                  <w:pPr>
                    <w:jc w:val="center"/>
                    <w:rPr>
                      <w:rFonts w:ascii="Times New Roman" w:hAnsi="Times New Roman" w:cs="Times New Roman"/>
                      <w:szCs w:val="21"/>
                    </w:rPr>
                  </w:pPr>
                  <w:r>
                    <w:rPr>
                      <w:rFonts w:hint="eastAsia" w:ascii="Times New Roman" w:hAnsi="Times New Roman" w:cs="Times New Roman"/>
                      <w:szCs w:val="21"/>
                    </w:rPr>
                    <w:t>崂应7003型油汽回收多参数检测仪M</w:t>
                  </w:r>
                  <w:r>
                    <w:rPr>
                      <w:rFonts w:ascii="Times New Roman" w:hAnsi="Times New Roman" w:cs="Times New Roman"/>
                      <w:szCs w:val="21"/>
                    </w:rPr>
                    <w:t>D-117</w:t>
                  </w:r>
                </w:p>
              </w:tc>
              <w:tc>
                <w:tcPr>
                  <w:tcW w:w="2253"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718" w:type="dxa"/>
                  <w:tcBorders>
                    <w:left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密闭性</w:t>
                  </w:r>
                </w:p>
              </w:tc>
              <w:tc>
                <w:tcPr>
                  <w:tcW w:w="3084" w:type="dxa"/>
                  <w:vMerge w:val="continue"/>
                  <w:vAlign w:val="center"/>
                </w:tcPr>
                <w:p>
                  <w:pPr>
                    <w:rPr>
                      <w:rFonts w:ascii="Times New Roman" w:hAnsi="Times New Roman" w:eastAsia="宋体" w:cs="Times New Roman"/>
                      <w:szCs w:val="21"/>
                    </w:rPr>
                  </w:pPr>
                </w:p>
              </w:tc>
              <w:tc>
                <w:tcPr>
                  <w:tcW w:w="2005" w:type="dxa"/>
                  <w:vMerge w:val="continue"/>
                  <w:vAlign w:val="center"/>
                </w:tcPr>
                <w:p>
                  <w:pPr>
                    <w:jc w:val="center"/>
                    <w:rPr>
                      <w:rFonts w:ascii="Times New Roman" w:hAnsi="Times New Roman" w:cs="Times New Roman"/>
                      <w:szCs w:val="21"/>
                    </w:rPr>
                  </w:pPr>
                </w:p>
              </w:tc>
              <w:tc>
                <w:tcPr>
                  <w:tcW w:w="225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18" w:type="dxa"/>
                  <w:tcBorders>
                    <w:lef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汽液比</w:t>
                  </w:r>
                </w:p>
              </w:tc>
              <w:tc>
                <w:tcPr>
                  <w:tcW w:w="3084" w:type="dxa"/>
                  <w:vMerge w:val="continue"/>
                  <w:vAlign w:val="center"/>
                </w:tcPr>
                <w:p>
                  <w:pPr>
                    <w:rPr>
                      <w:rFonts w:ascii="Times New Roman" w:hAnsi="Times New Roman" w:eastAsia="宋体" w:cs="Times New Roman"/>
                      <w:szCs w:val="21"/>
                    </w:rPr>
                  </w:pPr>
                </w:p>
              </w:tc>
              <w:tc>
                <w:tcPr>
                  <w:tcW w:w="2005" w:type="dxa"/>
                  <w:vMerge w:val="continue"/>
                  <w:vAlign w:val="center"/>
                </w:tcPr>
                <w:p>
                  <w:pPr>
                    <w:rPr>
                      <w:rFonts w:ascii="Times New Roman" w:hAnsi="Times New Roman" w:cs="Times New Roman"/>
                      <w:szCs w:val="21"/>
                    </w:rPr>
                  </w:pPr>
                </w:p>
              </w:tc>
              <w:tc>
                <w:tcPr>
                  <w:tcW w:w="225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spacing w:line="360" w:lineRule="auto"/>
              <w:rPr>
                <w:rFonts w:ascii="Times New Roman" w:hAnsi="Times New Roman" w:cs="Times New Roman"/>
                <w:bCs/>
                <w:sz w:val="24"/>
              </w:rPr>
            </w:pPr>
          </w:p>
          <w:p>
            <w:pPr>
              <w:spacing w:line="360" w:lineRule="auto"/>
              <w:rPr>
                <w:rFonts w:ascii="Times New Roman" w:hAnsi="Times New Roman" w:eastAsia="宋体" w:cs="Times New Roman"/>
                <w:b/>
                <w:sz w:val="24"/>
              </w:rPr>
            </w:pPr>
            <w:r>
              <w:rPr>
                <w:rFonts w:ascii="Times New Roman" w:hAnsi="Times New Roman" w:cs="Times New Roman"/>
                <w:b/>
                <w:sz w:val="24"/>
              </w:rPr>
              <w:t>6</w:t>
            </w:r>
            <w:r>
              <w:rPr>
                <w:rFonts w:ascii="Times New Roman" w:hAnsi="Times New Roman" w:eastAsia="宋体" w:cs="Times New Roman"/>
                <w:b/>
                <w:sz w:val="24"/>
              </w:rPr>
              <w:t>.1.</w:t>
            </w:r>
            <w:r>
              <w:rPr>
                <w:rFonts w:hint="eastAsia" w:ascii="Times New Roman" w:hAnsi="Times New Roman" w:cs="Times New Roman"/>
                <w:b/>
                <w:sz w:val="24"/>
              </w:rPr>
              <w:t>4</w:t>
            </w:r>
            <w:r>
              <w:rPr>
                <w:rFonts w:ascii="Times New Roman" w:hAnsi="Times New Roman" w:eastAsia="宋体" w:cs="Times New Roman"/>
                <w:b/>
                <w:sz w:val="24"/>
              </w:rPr>
              <w:t>固体废物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加油站运营期间产生的生活垃圾，经垃圾桶集中收集后，由环卫部门处理。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油泥与废机油、棉纱等危险废物由加油站委托有资质单位对产生的危废进行处理，不在加油站场区内贮存。</w:t>
            </w:r>
          </w:p>
          <w:p>
            <w:pPr>
              <w:spacing w:line="360" w:lineRule="auto"/>
              <w:jc w:val="left"/>
              <w:rPr>
                <w:rFonts w:ascii="Times New Roman" w:hAnsi="Times New Roman" w:eastAsia="宋体" w:cs="Times New Roman"/>
                <w:b/>
                <w:bCs/>
                <w:sz w:val="24"/>
              </w:rPr>
            </w:pPr>
            <w:r>
              <w:rPr>
                <w:rFonts w:ascii="Times New Roman" w:hAnsi="Times New Roman" w:cs="Times New Roman"/>
                <w:b/>
                <w:bCs/>
                <w:sz w:val="24"/>
              </w:rPr>
              <w:t>6</w:t>
            </w:r>
            <w:r>
              <w:rPr>
                <w:rFonts w:ascii="Times New Roman" w:hAnsi="Times New Roman" w:eastAsia="宋体" w:cs="Times New Roman"/>
                <w:b/>
                <w:bCs/>
                <w:sz w:val="24"/>
              </w:rPr>
              <w:t>.1.</w:t>
            </w:r>
            <w:r>
              <w:rPr>
                <w:rFonts w:ascii="Times New Roman" w:hAnsi="Times New Roman" w:cs="Times New Roman"/>
                <w:b/>
                <w:bCs/>
                <w:sz w:val="24"/>
              </w:rPr>
              <w:t>4</w:t>
            </w:r>
            <w:r>
              <w:rPr>
                <w:rFonts w:ascii="Times New Roman" w:hAnsi="Times New Roman" w:eastAsia="宋体" w:cs="Times New Roman"/>
                <w:b/>
                <w:bCs/>
                <w:sz w:val="24"/>
              </w:rPr>
              <w:t>监测布点图及现场监测图</w:t>
            </w:r>
          </w:p>
          <w:p>
            <w:pPr>
              <w:spacing w:line="360" w:lineRule="auto"/>
              <w:rPr>
                <w:rFonts w:ascii="Times New Roman" w:hAnsi="Times New Roman" w:cs="Times New Roman"/>
                <w:b/>
                <w:bCs/>
                <w:sz w:val="24"/>
              </w:rPr>
            </w:pPr>
          </w:p>
          <w:p>
            <w:pPr>
              <w:spacing w:line="360" w:lineRule="auto"/>
              <w:jc w:val="center"/>
              <w:rPr>
                <w:rFonts w:ascii="Times New Roman" w:hAnsi="Times New Roman" w:cs="Times New Roman"/>
                <w:b/>
                <w:bCs/>
                <w:sz w:val="24"/>
              </w:rPr>
            </w:pPr>
            <w:r>
              <w:drawing>
                <wp:inline distT="0" distB="0" distL="114300" distR="114300">
                  <wp:extent cx="5756910" cy="3213100"/>
                  <wp:effectExtent l="0" t="0" r="15240"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756910" cy="3213100"/>
                          </a:xfrm>
                          <a:prstGeom prst="rect">
                            <a:avLst/>
                          </a:prstGeom>
                          <a:noFill/>
                          <a:ln>
                            <a:noFill/>
                          </a:ln>
                        </pic:spPr>
                      </pic:pic>
                    </a:graphicData>
                  </a:graphic>
                </wp:inline>
              </w:drawing>
            </w:r>
          </w:p>
          <w:p>
            <w:pPr>
              <w:spacing w:line="360" w:lineRule="auto"/>
              <w:rPr>
                <w:rFonts w:ascii="Times New Roman" w:hAnsi="Times New Roman" w:cs="Times New Roman"/>
                <w:b/>
                <w:bCs/>
                <w:sz w:val="24"/>
              </w:rPr>
            </w:pPr>
          </w:p>
          <w:p>
            <w:pPr>
              <w:spacing w:line="360" w:lineRule="auto"/>
              <w:jc w:val="center"/>
              <w:rPr>
                <w:rFonts w:ascii="Times New Roman" w:hAnsi="Times New Roman" w:cs="Times New Roman"/>
              </w:rPr>
            </w:pPr>
            <w:r>
              <w:rPr>
                <w:rFonts w:ascii="Times New Roman" w:hAnsi="Times New Roman" w:cs="Times New Roman"/>
                <w:b/>
                <w:bCs/>
                <w:sz w:val="24"/>
              </w:rPr>
              <w:t>图6-1 监测布点图</w:t>
            </w:r>
            <w:bookmarkStart w:id="45" w:name="_Toc30705"/>
            <w:bookmarkStart w:id="46" w:name="_Toc17845"/>
            <w:bookmarkStart w:id="47" w:name="_Toc24325"/>
            <w:bookmarkStart w:id="48" w:name="_Toc20816"/>
            <w:r>
              <w:rPr>
                <w:rFonts w:ascii="Times New Roman" w:hAnsi="Times New Roman" w:cs="Times New Roman"/>
                <w:b/>
                <w:sz w:val="24"/>
              </w:rPr>
              <w:t xml:space="preserve">   </w:t>
            </w:r>
            <w:bookmarkEnd w:id="45"/>
            <w:bookmarkEnd w:id="46"/>
            <w:bookmarkEnd w:id="47"/>
            <w:bookmarkEnd w:id="48"/>
          </w:p>
        </w:tc>
      </w:tr>
    </w:tbl>
    <w:p>
      <w:pPr>
        <w:rPr>
          <w:rFonts w:ascii="Times New Roman" w:hAnsi="Times New Roman" w:cs="Times New Roman"/>
        </w:rPr>
      </w:pPr>
    </w:p>
    <w:p>
      <w:pPr>
        <w:pageBreakBefore/>
        <w:spacing w:before="156" w:beforeLines="50" w:line="360" w:lineRule="auto"/>
        <w:outlineLvl w:val="0"/>
        <w:rPr>
          <w:rFonts w:ascii="Times New Roman" w:hAnsi="Times New Roman" w:eastAsia="宋体" w:cs="Times New Roman"/>
          <w:b/>
          <w:sz w:val="28"/>
          <w:szCs w:val="28"/>
        </w:rPr>
      </w:pPr>
      <w:bookmarkStart w:id="49" w:name="_Toc9058"/>
      <w:bookmarkStart w:id="50" w:name="_Toc18169"/>
      <w:r>
        <w:rPr>
          <w:rFonts w:ascii="Times New Roman" w:hAnsi="Times New Roman" w:cs="Times New Roman"/>
          <w:b/>
          <w:sz w:val="28"/>
          <w:szCs w:val="28"/>
        </w:rPr>
        <w:t xml:space="preserve">表七  </w:t>
      </w:r>
      <w:bookmarkEnd w:id="24"/>
      <w:bookmarkEnd w:id="49"/>
      <w:r>
        <w:rPr>
          <w:rFonts w:ascii="Times New Roman" w:hAnsi="Times New Roman" w:cs="Times New Roman"/>
          <w:b/>
          <w:sz w:val="28"/>
          <w:szCs w:val="28"/>
        </w:rPr>
        <w:t>验收监测结果</w:t>
      </w:r>
      <w:bookmarkEnd w:id="50"/>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6" w:hRule="atLeast"/>
          <w:jc w:val="center"/>
        </w:trPr>
        <w:tc>
          <w:tcPr>
            <w:tcW w:w="9288" w:type="dxa"/>
          </w:tcPr>
          <w:p>
            <w:pPr>
              <w:spacing w:line="360" w:lineRule="auto"/>
              <w:rPr>
                <w:rFonts w:ascii="Times New Roman" w:hAnsi="Times New Roman" w:cs="Times New Roman"/>
                <w:b/>
                <w:sz w:val="28"/>
                <w:szCs w:val="28"/>
              </w:rPr>
            </w:pPr>
            <w:r>
              <w:rPr>
                <w:rFonts w:ascii="Times New Roman" w:hAnsi="Times New Roman" w:cs="Times New Roman"/>
                <w:b/>
                <w:sz w:val="28"/>
                <w:szCs w:val="28"/>
              </w:rPr>
              <w:t>7.1 验收监测期间工况记录</w:t>
            </w:r>
          </w:p>
          <w:p>
            <w:pPr>
              <w:spacing w:line="360" w:lineRule="auto"/>
              <w:ind w:firstLine="480" w:firstLineChars="200"/>
              <w:rPr>
                <w:rFonts w:ascii="Times New Roman" w:hAnsi="Times New Roman" w:cs="Times New Roman"/>
                <w:b/>
                <w:bCs/>
                <w:sz w:val="24"/>
              </w:rPr>
            </w:pPr>
            <w:r>
              <w:rPr>
                <w:rFonts w:hint="eastAsia" w:ascii="Times New Roman" w:hAnsi="Times New Roman" w:cs="Times New Roman"/>
                <w:kern w:val="0"/>
                <w:sz w:val="24"/>
              </w:rPr>
              <w:t>2020年04月</w:t>
            </w:r>
            <w:r>
              <w:rPr>
                <w:rFonts w:ascii="Times New Roman" w:hAnsi="Times New Roman" w:cs="Times New Roman"/>
                <w:kern w:val="0"/>
                <w:sz w:val="24"/>
              </w:rPr>
              <w:t>14</w:t>
            </w:r>
            <w:r>
              <w:rPr>
                <w:rFonts w:hint="eastAsia" w:ascii="Times New Roman" w:hAnsi="Times New Roman" w:cs="Times New Roman"/>
                <w:kern w:val="0"/>
                <w:sz w:val="24"/>
              </w:rPr>
              <w:t>日</w:t>
            </w:r>
            <w:r>
              <w:rPr>
                <w:rFonts w:ascii="Times New Roman" w:hAnsi="Times New Roman" w:cs="Times New Roman"/>
                <w:kern w:val="0"/>
                <w:sz w:val="24"/>
              </w:rPr>
              <w:t>至</w:t>
            </w:r>
            <w:r>
              <w:rPr>
                <w:rFonts w:hint="eastAsia" w:ascii="Times New Roman" w:hAnsi="Times New Roman" w:cs="Times New Roman"/>
                <w:kern w:val="0"/>
                <w:sz w:val="24"/>
              </w:rPr>
              <w:t>2020年04月</w:t>
            </w:r>
            <w:r>
              <w:rPr>
                <w:rFonts w:ascii="Times New Roman" w:hAnsi="Times New Roman" w:cs="Times New Roman"/>
                <w:kern w:val="0"/>
                <w:sz w:val="24"/>
              </w:rPr>
              <w:t>1</w:t>
            </w:r>
            <w:r>
              <w:rPr>
                <w:rFonts w:hint="eastAsia" w:ascii="Times New Roman" w:hAnsi="Times New Roman" w:cs="Times New Roman"/>
                <w:kern w:val="0"/>
                <w:sz w:val="24"/>
              </w:rPr>
              <w:t>7日</w:t>
            </w:r>
            <w:r>
              <w:rPr>
                <w:rFonts w:ascii="Times New Roman" w:hAnsi="Times New Roman" w:cs="Times New Roman"/>
                <w:kern w:val="0"/>
                <w:sz w:val="24"/>
              </w:rPr>
              <w:t>，</w:t>
            </w:r>
            <w:r>
              <w:rPr>
                <w:rFonts w:hint="eastAsia" w:ascii="Times New Roman" w:hAnsi="Times New Roman" w:cs="Times New Roman"/>
                <w:kern w:val="0"/>
                <w:sz w:val="24"/>
              </w:rPr>
              <w:t>2020年05月06 日</w:t>
            </w:r>
            <w:r>
              <w:rPr>
                <w:rFonts w:hint="eastAsia" w:ascii="Times New Roman" w:hAnsi="Times New Roman" w:eastAsia="宋体" w:cs="Times New Roman"/>
                <w:kern w:val="0"/>
                <w:sz w:val="24"/>
              </w:rPr>
              <w:t>贵州明德工程咨询有限公司</w:t>
            </w:r>
            <w:r>
              <w:rPr>
                <w:rFonts w:ascii="Times New Roman" w:hAnsi="Times New Roman" w:eastAsia="宋体" w:cs="Times New Roman"/>
                <w:kern w:val="0"/>
                <w:sz w:val="24"/>
              </w:rPr>
              <w:t>对</w:t>
            </w:r>
            <w:r>
              <w:rPr>
                <w:rFonts w:hint="eastAsia" w:ascii="Times New Roman" w:hAnsi="Times New Roman" w:eastAsia="宋体" w:cs="Times New Roman"/>
                <w:kern w:val="0"/>
                <w:sz w:val="24"/>
              </w:rPr>
              <w:t>三都三荔高速荔波西加油站</w:t>
            </w:r>
            <w:r>
              <w:rPr>
                <w:rFonts w:ascii="Times New Roman" w:hAnsi="Times New Roman" w:eastAsia="宋体" w:cs="Times New Roman"/>
                <w:kern w:val="0"/>
                <w:sz w:val="24"/>
              </w:rPr>
              <w:t xml:space="preserve">进行了现场监测。本项目为汽车加油项目，项目工况无定量性。验收监测期间，项目正常运营中，各项环保设施也正常运行，符合验收监测要求。 </w:t>
            </w:r>
          </w:p>
          <w:p>
            <w:pPr>
              <w:adjustRightInd w:val="0"/>
              <w:snapToGrid w:val="0"/>
              <w:rPr>
                <w:rFonts w:ascii="Times New Roman" w:hAnsi="Times New Roman" w:cs="Times New Roman"/>
                <w:b/>
                <w:bCs/>
                <w:sz w:val="28"/>
                <w:szCs w:val="28"/>
              </w:rPr>
            </w:pPr>
            <w:r>
              <w:rPr>
                <w:rFonts w:ascii="Times New Roman" w:hAnsi="Times New Roman" w:cs="Times New Roman"/>
                <w:b/>
                <w:bCs/>
                <w:sz w:val="28"/>
                <w:szCs w:val="28"/>
              </w:rPr>
              <w:t>7.2 验收监测结果</w:t>
            </w:r>
          </w:p>
          <w:p>
            <w:pPr>
              <w:tabs>
                <w:tab w:val="left" w:pos="1350"/>
              </w:tabs>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 </w:t>
            </w:r>
            <w:r>
              <w:rPr>
                <w:rFonts w:ascii="Times New Roman" w:hAnsi="Times New Roman" w:cs="Times New Roman"/>
                <w:sz w:val="24"/>
              </w:rPr>
              <w:t xml:space="preserve">                 </w:t>
            </w: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w:t>
            </w:r>
            <w:r>
              <w:rPr>
                <w:rFonts w:hint="eastAsia" w:ascii="Times New Roman" w:hAnsi="Times New Roman" w:eastAsia="宋体" w:cs="Times New Roman"/>
                <w:b/>
                <w:bCs/>
                <w:sz w:val="24"/>
              </w:rPr>
              <w:t>1</w:t>
            </w:r>
            <w:r>
              <w:rPr>
                <w:rFonts w:ascii="Times New Roman" w:hAnsi="Times New Roman" w:eastAsia="宋体" w:cs="Times New Roman"/>
                <w:b/>
                <w:bCs/>
                <w:sz w:val="24"/>
              </w:rPr>
              <w:t>废气监测及评价结果</w:t>
            </w:r>
          </w:p>
          <w:p>
            <w:pPr>
              <w:spacing w:line="360" w:lineRule="auto"/>
              <w:ind w:firstLine="564"/>
              <w:rPr>
                <w:rFonts w:ascii="Times New Roman" w:hAnsi="Times New Roman" w:eastAsia="宋体" w:cs="Times New Roman"/>
                <w:sz w:val="24"/>
              </w:rPr>
            </w:pPr>
            <w:r>
              <w:rPr>
                <w:rFonts w:ascii="Times New Roman" w:hAnsi="Times New Roman" w:eastAsia="宋体" w:cs="Times New Roman"/>
                <w:sz w:val="24"/>
              </w:rPr>
              <w:t>无组织废气监测结果见表</w:t>
            </w:r>
            <w:r>
              <w:rPr>
                <w:rFonts w:ascii="Times New Roman" w:hAnsi="Times New Roman" w:cs="Times New Roman"/>
                <w:sz w:val="24"/>
              </w:rPr>
              <w:t>7</w:t>
            </w:r>
            <w:r>
              <w:rPr>
                <w:rFonts w:ascii="Times New Roman" w:hAnsi="Times New Roman" w:eastAsia="宋体" w:cs="Times New Roman"/>
                <w:sz w:val="24"/>
              </w:rPr>
              <w:t>-</w:t>
            </w:r>
            <w:r>
              <w:rPr>
                <w:rFonts w:hint="eastAsia" w:ascii="Times New Roman" w:hAnsi="Times New Roman" w:eastAsia="宋体" w:cs="Times New Roman"/>
                <w:sz w:val="24"/>
              </w:rPr>
              <w:t>1</w:t>
            </w:r>
          </w:p>
          <w:p>
            <w:pPr>
              <w:ind w:firstLine="2891" w:firstLineChars="1200"/>
              <w:rPr>
                <w:rFonts w:ascii="Times New Roman" w:hAnsi="Times New Roman" w:eastAsia="宋体" w:cs="Times New Roman"/>
                <w:b/>
                <w:bCs/>
                <w:sz w:val="24"/>
              </w:rPr>
            </w:pPr>
            <w:r>
              <w:rPr>
                <w:rFonts w:ascii="Times New Roman" w:hAnsi="Times New Roman" w:eastAsia="宋体" w:cs="Times New Roman"/>
                <w:b/>
                <w:bCs/>
                <w:sz w:val="24"/>
              </w:rPr>
              <w:t>表</w:t>
            </w:r>
            <w:r>
              <w:rPr>
                <w:rFonts w:ascii="Times New Roman" w:hAnsi="Times New Roman" w:cs="Times New Roman"/>
                <w:b/>
                <w:bCs/>
                <w:sz w:val="24"/>
              </w:rPr>
              <w:t>7</w:t>
            </w:r>
            <w:r>
              <w:rPr>
                <w:rFonts w:ascii="Times New Roman" w:hAnsi="Times New Roman" w:eastAsia="宋体" w:cs="Times New Roman"/>
                <w:b/>
                <w:bCs/>
                <w:sz w:val="24"/>
              </w:rPr>
              <w:t>-</w:t>
            </w:r>
            <w:r>
              <w:rPr>
                <w:rFonts w:hint="eastAsia" w:ascii="Times New Roman" w:hAnsi="Times New Roman" w:eastAsia="宋体" w:cs="Times New Roman"/>
                <w:b/>
                <w:bCs/>
                <w:sz w:val="24"/>
              </w:rPr>
              <w:t>1</w:t>
            </w:r>
            <w:r>
              <w:rPr>
                <w:rFonts w:ascii="Times New Roman" w:hAnsi="Times New Roman" w:eastAsia="宋体" w:cs="Times New Roman"/>
                <w:b/>
                <w:bCs/>
                <w:sz w:val="24"/>
              </w:rPr>
              <w:t xml:space="preserve"> 无组织废气监测结果</w:t>
            </w:r>
          </w:p>
          <w:tbl>
            <w:tblPr>
              <w:tblStyle w:val="15"/>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50"/>
              <w:gridCol w:w="1545"/>
              <w:gridCol w:w="933"/>
              <w:gridCol w:w="933"/>
              <w:gridCol w:w="933"/>
              <w:gridCol w:w="936"/>
              <w:gridCol w:w="885"/>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监测位置</w:t>
                  </w:r>
                </w:p>
              </w:tc>
              <w:tc>
                <w:tcPr>
                  <w:tcW w:w="1350"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监测日期</w:t>
                  </w:r>
                </w:p>
              </w:tc>
              <w:tc>
                <w:tcPr>
                  <w:tcW w:w="154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因子</w:t>
                  </w:r>
                </w:p>
              </w:tc>
              <w:tc>
                <w:tcPr>
                  <w:tcW w:w="3735" w:type="dxa"/>
                  <w:gridSpan w:val="4"/>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监测结果（mg/m</w:t>
                  </w:r>
                  <w:r>
                    <w:rPr>
                      <w:rFonts w:ascii="Times New Roman" w:hAnsi="Times New Roman" w:cs="Times New Roman"/>
                      <w:b/>
                      <w:bCs/>
                      <w:szCs w:val="21"/>
                      <w:vertAlign w:val="superscript"/>
                    </w:rPr>
                    <w:t>3</w:t>
                  </w:r>
                  <w:r>
                    <w:rPr>
                      <w:rFonts w:ascii="Times New Roman" w:hAnsi="Times New Roman" w:cs="Times New Roman"/>
                      <w:b/>
                      <w:bCs/>
                      <w:szCs w:val="21"/>
                    </w:rPr>
                    <w:t>）</w:t>
                  </w:r>
                </w:p>
              </w:tc>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评价标准排放浓度</w:t>
                  </w:r>
                </w:p>
              </w:tc>
              <w:tc>
                <w:tcPr>
                  <w:tcW w:w="672"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是否</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85" w:type="dxa"/>
                  <w:vMerge w:val="continue"/>
                  <w:vAlign w:val="center"/>
                </w:tcPr>
                <w:p>
                  <w:pPr>
                    <w:adjustRightInd w:val="0"/>
                    <w:snapToGrid w:val="0"/>
                    <w:jc w:val="center"/>
                    <w:rPr>
                      <w:rFonts w:ascii="Times New Roman" w:hAnsi="Times New Roman" w:cs="Times New Roman"/>
                      <w:b/>
                      <w:bCs/>
                      <w:szCs w:val="21"/>
                    </w:rPr>
                  </w:pPr>
                </w:p>
              </w:tc>
              <w:tc>
                <w:tcPr>
                  <w:tcW w:w="1350" w:type="dxa"/>
                  <w:vMerge w:val="continue"/>
                  <w:vAlign w:val="center"/>
                </w:tcPr>
                <w:p>
                  <w:pPr>
                    <w:adjustRightInd w:val="0"/>
                    <w:snapToGrid w:val="0"/>
                    <w:jc w:val="center"/>
                    <w:rPr>
                      <w:rFonts w:ascii="Times New Roman" w:hAnsi="Times New Roman" w:cs="Times New Roman"/>
                      <w:b/>
                      <w:bCs/>
                      <w:szCs w:val="21"/>
                    </w:rPr>
                  </w:pPr>
                </w:p>
              </w:tc>
              <w:tc>
                <w:tcPr>
                  <w:tcW w:w="1545" w:type="dxa"/>
                  <w:vMerge w:val="continue"/>
                  <w:vAlign w:val="center"/>
                </w:tcPr>
                <w:p>
                  <w:pPr>
                    <w:adjustRightInd w:val="0"/>
                    <w:snapToGrid w:val="0"/>
                    <w:jc w:val="center"/>
                    <w:rPr>
                      <w:rFonts w:ascii="Times New Roman" w:hAnsi="Times New Roman" w:cs="Times New Roman"/>
                      <w:b/>
                      <w:bCs/>
                      <w:szCs w:val="21"/>
                    </w:rPr>
                  </w:pP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第一频次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第二频次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第三频次</w:t>
                  </w:r>
                </w:p>
              </w:tc>
              <w:tc>
                <w:tcPr>
                  <w:tcW w:w="936" w:type="dxa"/>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最大值</w:t>
                  </w:r>
                </w:p>
              </w:tc>
              <w:tc>
                <w:tcPr>
                  <w:tcW w:w="885" w:type="dxa"/>
                  <w:vMerge w:val="continue"/>
                  <w:vAlign w:val="center"/>
                </w:tcPr>
                <w:p>
                  <w:pPr>
                    <w:adjustRightInd w:val="0"/>
                    <w:snapToGrid w:val="0"/>
                    <w:jc w:val="center"/>
                    <w:rPr>
                      <w:rFonts w:ascii="Times New Roman" w:hAnsi="Times New Roman" w:cs="Times New Roman"/>
                      <w:b/>
                      <w:bCs/>
                      <w:szCs w:val="21"/>
                    </w:rPr>
                  </w:pPr>
                </w:p>
              </w:tc>
              <w:tc>
                <w:tcPr>
                  <w:tcW w:w="672" w:type="dxa"/>
                  <w:vMerge w:val="continue"/>
                  <w:vAlign w:val="center"/>
                </w:tcPr>
                <w:p>
                  <w:pPr>
                    <w:adjustRightInd w:val="0"/>
                    <w:snapToGrid w:val="0"/>
                    <w:jc w:val="center"/>
                    <w:rPr>
                      <w:rFonts w:ascii="Times New Roman" w:hAnsi="Times New Roman"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H1、厂界上风向1</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w:t>
                  </w:r>
                  <w:r>
                    <w:rPr>
                      <w:rFonts w:hint="eastAsia" w:ascii="Times New Roman" w:hAnsi="Times New Roman" w:cs="Times New Roman"/>
                      <w:szCs w:val="21"/>
                    </w:rPr>
                    <w:t>4</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widowControl/>
                    <w:textAlignment w:val="center"/>
                    <w:rPr>
                      <w:rFonts w:ascii="Times New Roman" w:hAnsi="Times New Roman" w:eastAsia="宋体" w:cs="Times New Roman"/>
                      <w:bCs/>
                      <w:szCs w:val="21"/>
                    </w:rPr>
                  </w:pPr>
                  <w:r>
                    <w:rPr>
                      <w:rFonts w:hint="eastAsia" w:ascii="Times New Roman" w:hAnsi="Times New Roman" w:eastAsia="宋体" w:cs="Times New Roman"/>
                      <w:bCs/>
                      <w:szCs w:val="21"/>
                    </w:rPr>
                    <w:t>2.72</w:t>
                  </w:r>
                </w:p>
              </w:tc>
              <w:tc>
                <w:tcPr>
                  <w:tcW w:w="933"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2.00</w:t>
                  </w:r>
                </w:p>
              </w:tc>
              <w:tc>
                <w:tcPr>
                  <w:tcW w:w="933"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1.92</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2.72</w:t>
                  </w:r>
                </w:p>
              </w:tc>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w:t>
                  </w:r>
                  <w:r>
                    <w:rPr>
                      <w:rFonts w:hint="eastAsia" w:ascii="Times New Roman" w:hAnsi="Times New Roman" w:cs="Times New Roman"/>
                      <w:szCs w:val="21"/>
                    </w:rPr>
                    <w:t>5</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2.73</w:t>
                  </w:r>
                </w:p>
              </w:tc>
              <w:tc>
                <w:tcPr>
                  <w:tcW w:w="933" w:type="dxa"/>
                  <w:vAlign w:val="center"/>
                </w:tcPr>
                <w:p>
                  <w:pPr>
                    <w:rPr>
                      <w:rFonts w:ascii="Times New Roman" w:hAnsi="Times New Roman" w:eastAsia="宋体" w:cs="Times New Roman"/>
                      <w:kern w:val="0"/>
                      <w:szCs w:val="21"/>
                    </w:rPr>
                  </w:pPr>
                  <w:r>
                    <w:rPr>
                      <w:rFonts w:hint="eastAsia" w:ascii="Times New Roman" w:hAnsi="Times New Roman" w:eastAsia="宋体" w:cs="Times New Roman"/>
                      <w:kern w:val="0"/>
                      <w:szCs w:val="21"/>
                    </w:rPr>
                    <w:t>1.99</w:t>
                  </w:r>
                </w:p>
              </w:tc>
              <w:tc>
                <w:tcPr>
                  <w:tcW w:w="933" w:type="dxa"/>
                  <w:vAlign w:val="center"/>
                </w:tcPr>
                <w:p>
                  <w:pPr>
                    <w:rPr>
                      <w:rFonts w:ascii="Times New Roman" w:hAnsi="Times New Roman" w:eastAsia="宋体" w:cs="Times New Roman"/>
                      <w:kern w:val="0"/>
                      <w:szCs w:val="21"/>
                    </w:rPr>
                  </w:pPr>
                  <w:r>
                    <w:rPr>
                      <w:rFonts w:hint="eastAsia" w:ascii="Times New Roman" w:hAnsi="Times New Roman" w:eastAsia="宋体" w:cs="Times New Roman"/>
                      <w:kern w:val="0"/>
                      <w:szCs w:val="21"/>
                    </w:rPr>
                    <w:t>2.00</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2.73</w:t>
                  </w:r>
                </w:p>
              </w:tc>
              <w:tc>
                <w:tcPr>
                  <w:tcW w:w="885" w:type="dxa"/>
                  <w:vMerge w:val="continue"/>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H2、厂界下风向2</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w:t>
                  </w:r>
                  <w:r>
                    <w:rPr>
                      <w:rFonts w:hint="eastAsia" w:ascii="Times New Roman" w:hAnsi="Times New Roman" w:cs="Times New Roman"/>
                      <w:szCs w:val="21"/>
                    </w:rPr>
                    <w:t>4</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2.91</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2.89</w:t>
                  </w:r>
                </w:p>
              </w:tc>
              <w:tc>
                <w:tcPr>
                  <w:tcW w:w="933" w:type="dxa"/>
                  <w:vAlign w:val="center"/>
                </w:tcPr>
                <w:p>
                  <w:pPr>
                    <w:rPr>
                      <w:rFonts w:ascii="Times New Roman" w:hAnsi="Times New Roman" w:cs="Times New Roman"/>
                      <w:szCs w:val="21"/>
                    </w:rPr>
                  </w:pPr>
                  <w:r>
                    <w:rPr>
                      <w:rFonts w:hint="eastAsia" w:ascii="Times New Roman" w:hAnsi="Times New Roman" w:cs="Times New Roman"/>
                      <w:szCs w:val="21"/>
                    </w:rPr>
                    <w:t>2.93</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2.93</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w:t>
                  </w:r>
                  <w:r>
                    <w:rPr>
                      <w:rFonts w:hint="eastAsia" w:ascii="Times New Roman" w:hAnsi="Times New Roman" w:cs="Times New Roman"/>
                      <w:szCs w:val="21"/>
                    </w:rPr>
                    <w:t>5</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2.89</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2.93</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2.89</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2.93</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H3、厂界下风向3</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w:t>
                  </w:r>
                  <w:r>
                    <w:rPr>
                      <w:rFonts w:hint="eastAsia" w:ascii="Times New Roman" w:hAnsi="Times New Roman" w:cs="Times New Roman"/>
                      <w:szCs w:val="21"/>
                    </w:rPr>
                    <w:t>4</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2.00</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2.24</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2.22</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2.24</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w:t>
                  </w:r>
                  <w:r>
                    <w:rPr>
                      <w:rFonts w:hint="eastAsia" w:ascii="Times New Roman" w:hAnsi="Times New Roman" w:cs="Times New Roman"/>
                      <w:szCs w:val="21"/>
                    </w:rPr>
                    <w:t>5</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2.03</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2.23</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2.22</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2.23</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H4、厂界下风向4</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w:t>
                  </w:r>
                  <w:r>
                    <w:rPr>
                      <w:rFonts w:hint="eastAsia" w:ascii="Times New Roman" w:hAnsi="Times New Roman" w:cs="Times New Roman"/>
                      <w:szCs w:val="21"/>
                    </w:rPr>
                    <w:t>4</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1.57</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2.40</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2.45</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2.45</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w:t>
                  </w:r>
                  <w:r>
                    <w:rPr>
                      <w:rFonts w:hint="eastAsia" w:ascii="Times New Roman" w:hAnsi="Times New Roman" w:cs="Times New Roman"/>
                      <w:szCs w:val="21"/>
                    </w:rPr>
                    <w:t>5</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1.53</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2.38</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2.46</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2.46</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9"/>
                  <w:vAlign w:val="center"/>
                </w:tcPr>
                <w:p>
                  <w:pPr>
                    <w:adjustRightInd w:val="0"/>
                    <w:snapToGrid w:val="0"/>
                    <w:rPr>
                      <w:rFonts w:ascii="Times New Roman" w:hAnsi="Times New Roman" w:cs="Times New Roman"/>
                      <w:szCs w:val="21"/>
                    </w:rPr>
                  </w:pPr>
                  <w:r>
                    <w:rPr>
                      <w:rFonts w:ascii="Times New Roman" w:hAnsi="Times New Roman" w:cs="Times New Roman"/>
                      <w:szCs w:val="21"/>
                    </w:rPr>
                    <w:t>备注：执行标准：《大气污染物综合排放标准》（GB16297-1996）表2无组织排放标准限值</w:t>
                  </w:r>
                </w:p>
              </w:tc>
            </w:tr>
          </w:tbl>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经监测，无组织废气</w:t>
            </w:r>
            <w:r>
              <w:rPr>
                <w:rFonts w:ascii="Times New Roman" w:hAnsi="Times New Roman" w:cs="Times New Roman"/>
                <w:sz w:val="24"/>
              </w:rPr>
              <w:t>非甲烷总烃</w:t>
            </w:r>
            <w:r>
              <w:rPr>
                <w:rFonts w:ascii="Times New Roman" w:hAnsi="Times New Roman" w:eastAsia="宋体" w:cs="Times New Roman"/>
                <w:sz w:val="24"/>
              </w:rPr>
              <w:t>监测因子的</w:t>
            </w:r>
            <w:r>
              <w:rPr>
                <w:rFonts w:ascii="Times New Roman" w:hAnsi="Times New Roman" w:cs="Times New Roman"/>
                <w:sz w:val="24"/>
              </w:rPr>
              <w:t>4个</w:t>
            </w:r>
            <w:r>
              <w:rPr>
                <w:rFonts w:ascii="Times New Roman" w:hAnsi="Times New Roman" w:eastAsia="宋体" w:cs="Times New Roman"/>
                <w:sz w:val="24"/>
              </w:rPr>
              <w:t>监测点监测结果均能满足《大气污染物综合排放标准》（GBl6297-1996）表2无组织排放监控浓度限值标准的要求</w:t>
            </w:r>
            <w:r>
              <w:rPr>
                <w:rFonts w:ascii="Times New Roman" w:hAnsi="Times New Roman" w:cs="Times New Roman"/>
                <w:sz w:val="24"/>
              </w:rPr>
              <w:t>。</w:t>
            </w:r>
          </w:p>
          <w:p>
            <w:pPr>
              <w:spacing w:line="360" w:lineRule="auto"/>
              <w:rPr>
                <w:rFonts w:ascii="Times New Roman" w:hAnsi="Times New Roman" w:cs="Times New Roman"/>
                <w:b/>
                <w:sz w:val="24"/>
              </w:rPr>
            </w:pPr>
            <w:bookmarkStart w:id="51" w:name="_Toc32477"/>
            <w:bookmarkStart w:id="52" w:name="_Toc15557"/>
            <w:bookmarkStart w:id="53" w:name="_Toc20321"/>
            <w:bookmarkStart w:id="54" w:name="_Toc25309"/>
            <w:bookmarkStart w:id="55" w:name="_Toc9250"/>
            <w:bookmarkStart w:id="56" w:name="_Toc13103"/>
          </w:p>
          <w:p>
            <w:pPr>
              <w:spacing w:line="360" w:lineRule="auto"/>
              <w:rPr>
                <w:rFonts w:ascii="Times New Roman" w:hAnsi="Times New Roman" w:cs="Times New Roman"/>
                <w:b/>
                <w:sz w:val="24"/>
              </w:rPr>
            </w:pPr>
          </w:p>
          <w:p>
            <w:pPr>
              <w:spacing w:line="360" w:lineRule="auto"/>
              <w:rPr>
                <w:rFonts w:ascii="Times New Roman" w:hAnsi="Times New Roman" w:cs="Times New Roman"/>
                <w:b/>
                <w:sz w:val="24"/>
              </w:rPr>
            </w:pPr>
          </w:p>
          <w:p>
            <w:pPr>
              <w:spacing w:line="360" w:lineRule="auto"/>
              <w:rPr>
                <w:rFonts w:ascii="Times New Roman" w:hAnsi="Times New Roman" w:eastAsia="宋体" w:cs="Times New Roman"/>
                <w:b/>
                <w:bCs/>
                <w:sz w:val="24"/>
              </w:rPr>
            </w:pPr>
            <w:r>
              <w:rPr>
                <w:rFonts w:ascii="Times New Roman" w:hAnsi="Times New Roman" w:cs="Times New Roman"/>
                <w:b/>
                <w:sz w:val="24"/>
              </w:rPr>
              <w:t>7</w:t>
            </w:r>
            <w:r>
              <w:rPr>
                <w:rFonts w:ascii="Times New Roman" w:hAnsi="Times New Roman" w:eastAsia="宋体" w:cs="Times New Roman"/>
                <w:b/>
                <w:sz w:val="24"/>
              </w:rPr>
              <w:t>.2.</w:t>
            </w:r>
            <w:r>
              <w:rPr>
                <w:rFonts w:hint="eastAsia" w:ascii="Times New Roman" w:hAnsi="Times New Roman" w:cs="Times New Roman"/>
                <w:b/>
                <w:sz w:val="24"/>
              </w:rPr>
              <w:t>2</w:t>
            </w:r>
            <w:r>
              <w:rPr>
                <w:rFonts w:ascii="Times New Roman" w:hAnsi="Times New Roman" w:eastAsia="宋体" w:cs="Times New Roman"/>
                <w:b/>
                <w:sz w:val="24"/>
              </w:rPr>
              <w:t>噪声监测结果</w:t>
            </w:r>
            <w:r>
              <w:rPr>
                <w:rFonts w:ascii="Times New Roman" w:hAnsi="Times New Roman" w:eastAsia="宋体" w:cs="Times New Roman"/>
                <w:b/>
                <w:bCs/>
                <w:sz w:val="24"/>
              </w:rPr>
              <w:t>与评价</w:t>
            </w:r>
            <w:bookmarkEnd w:id="51"/>
            <w:bookmarkEnd w:id="52"/>
            <w:bookmarkEnd w:id="53"/>
            <w:bookmarkEnd w:id="54"/>
            <w:bookmarkEnd w:id="55"/>
            <w:bookmarkEnd w:id="56"/>
          </w:p>
          <w:p>
            <w:pPr>
              <w:spacing w:line="360" w:lineRule="auto"/>
              <w:ind w:firstLine="480"/>
              <w:rPr>
                <w:rFonts w:ascii="Times New Roman" w:hAnsi="Times New Roman" w:eastAsia="宋体" w:cs="Times New Roman"/>
                <w:b/>
                <w:bCs/>
                <w:sz w:val="24"/>
              </w:rPr>
            </w:pPr>
            <w:r>
              <w:rPr>
                <w:rFonts w:ascii="Times New Roman" w:hAnsi="Times New Roman" w:eastAsia="宋体" w:cs="Times New Roman"/>
                <w:sz w:val="24"/>
              </w:rPr>
              <w:t>噪声监测结果见表</w:t>
            </w:r>
            <w:r>
              <w:rPr>
                <w:rFonts w:ascii="Times New Roman" w:hAnsi="Times New Roman" w:cs="Times New Roman"/>
                <w:sz w:val="24"/>
              </w:rPr>
              <w:t>7</w:t>
            </w:r>
            <w:r>
              <w:rPr>
                <w:rFonts w:ascii="Times New Roman" w:hAnsi="Times New Roman" w:eastAsia="宋体" w:cs="Times New Roman"/>
                <w:sz w:val="24"/>
              </w:rPr>
              <w:t>-</w:t>
            </w:r>
            <w:r>
              <w:rPr>
                <w:rFonts w:hint="eastAsia" w:ascii="Times New Roman" w:hAnsi="Times New Roman" w:eastAsia="宋体" w:cs="Times New Roman"/>
                <w:sz w:val="24"/>
              </w:rPr>
              <w:t>2</w:t>
            </w:r>
          </w:p>
          <w:p>
            <w:pPr>
              <w:rPr>
                <w:rFonts w:ascii="Times New Roman" w:hAnsi="Times New Roman" w:eastAsia="宋体" w:cs="Times New Roman"/>
                <w:b/>
                <w:bCs/>
                <w:sz w:val="24"/>
              </w:rPr>
            </w:pPr>
          </w:p>
          <w:p>
            <w:pPr>
              <w:jc w:val="center"/>
              <w:rPr>
                <w:rFonts w:ascii="Times New Roman" w:hAnsi="Times New Roman" w:eastAsia="宋体" w:cs="Times New Roman"/>
                <w:b/>
                <w:bCs/>
                <w:sz w:val="24"/>
              </w:rPr>
            </w:pPr>
            <w:r>
              <w:rPr>
                <w:rFonts w:ascii="Times New Roman" w:hAnsi="Times New Roman" w:eastAsia="宋体" w:cs="Times New Roman"/>
                <w:b/>
                <w:bCs/>
                <w:sz w:val="24"/>
              </w:rPr>
              <w:t>表</w:t>
            </w:r>
            <w:r>
              <w:rPr>
                <w:rFonts w:ascii="Times New Roman" w:hAnsi="Times New Roman" w:cs="Times New Roman"/>
                <w:b/>
                <w:bCs/>
                <w:sz w:val="24"/>
              </w:rPr>
              <w:t>7</w:t>
            </w:r>
            <w:r>
              <w:rPr>
                <w:rFonts w:ascii="Times New Roman" w:hAnsi="Times New Roman" w:eastAsia="宋体" w:cs="Times New Roman"/>
                <w:b/>
                <w:bCs/>
                <w:sz w:val="24"/>
              </w:rPr>
              <w:t>-</w:t>
            </w:r>
            <w:r>
              <w:rPr>
                <w:rFonts w:hint="eastAsia" w:ascii="Times New Roman" w:hAnsi="Times New Roman" w:eastAsia="宋体" w:cs="Times New Roman"/>
                <w:b/>
                <w:bCs/>
                <w:sz w:val="24"/>
              </w:rPr>
              <w:t>2</w:t>
            </w:r>
            <w:r>
              <w:rPr>
                <w:rFonts w:ascii="Times New Roman" w:hAnsi="Times New Roman" w:eastAsia="宋体" w:cs="Times New Roman"/>
                <w:b/>
                <w:bCs/>
                <w:sz w:val="24"/>
              </w:rPr>
              <w:t>噪声监测结果</w:t>
            </w:r>
          </w:p>
          <w:tbl>
            <w:tblPr>
              <w:tblStyle w:val="15"/>
              <w:tblW w:w="892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1466"/>
              <w:gridCol w:w="1417"/>
              <w:gridCol w:w="2027"/>
              <w:gridCol w:w="1517"/>
              <w:gridCol w:w="10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blHeader/>
              </w:trPr>
              <w:tc>
                <w:tcPr>
                  <w:tcW w:w="1448"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监测点位</w:t>
                  </w:r>
                </w:p>
              </w:tc>
              <w:tc>
                <w:tcPr>
                  <w:tcW w:w="1466"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监测日期</w:t>
                  </w:r>
                </w:p>
              </w:tc>
              <w:tc>
                <w:tcPr>
                  <w:tcW w:w="141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监测时间</w:t>
                  </w:r>
                </w:p>
              </w:tc>
              <w:tc>
                <w:tcPr>
                  <w:tcW w:w="2027" w:type="dxa"/>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监测结果</w:t>
                  </w:r>
                </w:p>
              </w:tc>
              <w:tc>
                <w:tcPr>
                  <w:tcW w:w="151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szCs w:val="21"/>
                    </w:rPr>
                    <w:t>评价标准</w:t>
                  </w:r>
                  <w:r>
                    <w:rPr>
                      <w:rFonts w:ascii="Times New Roman" w:hAnsi="Times New Roman" w:cs="Times New Roman"/>
                      <w:b/>
                      <w:bCs/>
                      <w:szCs w:val="21"/>
                    </w:rPr>
                    <w:t>限值</w:t>
                  </w:r>
                </w:p>
              </w:tc>
              <w:tc>
                <w:tcPr>
                  <w:tcW w:w="1045" w:type="dxa"/>
                  <w:vMerge w:val="restar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是否</w:t>
                  </w:r>
                </w:p>
                <w:p>
                  <w:pPr>
                    <w:widowControl/>
                    <w:jc w:val="center"/>
                    <w:rPr>
                      <w:rFonts w:ascii="Times New Roman" w:hAnsi="Times New Roman" w:eastAsia="宋体" w:cs="Times New Roman"/>
                      <w:b/>
                      <w:bCs/>
                      <w:kern w:val="0"/>
                      <w:szCs w:val="21"/>
                    </w:rPr>
                  </w:pPr>
                  <w:r>
                    <w:rPr>
                      <w:rFonts w:ascii="Times New Roman" w:hAnsi="Times New Roman" w:eastAsia="宋体"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blHeader/>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202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b/>
                      <w:bCs/>
                      <w:szCs w:val="21"/>
                    </w:rPr>
                    <w:t xml:space="preserve">Leq[dB(A)] </w:t>
                  </w:r>
                </w:p>
              </w:tc>
              <w:tc>
                <w:tcPr>
                  <w:tcW w:w="1517"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045"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N1、厂界东侧外1m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w:t>
                  </w:r>
                  <w:r>
                    <w:rPr>
                      <w:rFonts w:hint="eastAsia" w:ascii="Times New Roman" w:hAnsi="Times New Roman" w:cs="Times New Roman"/>
                      <w:szCs w:val="21"/>
                    </w:rPr>
                    <w:t>6</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65.2</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52.8</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55</w:t>
                  </w:r>
                </w:p>
              </w:tc>
              <w:tc>
                <w:tcPr>
                  <w:tcW w:w="1045" w:type="dxa"/>
                  <w:tcBorders>
                    <w:tl2br w:val="nil"/>
                    <w:tr2bl w:val="nil"/>
                  </w:tcBorders>
                  <w:vAlign w:val="center"/>
                </w:tcPr>
                <w:p>
                  <w:pPr>
                    <w:widowControl/>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w:t>
                  </w:r>
                  <w:r>
                    <w:rPr>
                      <w:rFonts w:hint="eastAsia" w:ascii="Times New Roman" w:hAnsi="Times New Roman" w:cs="Times New Roman"/>
                      <w:szCs w:val="21"/>
                    </w:rPr>
                    <w:t>7</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65.1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53.3</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55</w:t>
                  </w:r>
                </w:p>
              </w:tc>
              <w:tc>
                <w:tcPr>
                  <w:tcW w:w="1045" w:type="dxa"/>
                  <w:tcBorders>
                    <w:tl2br w:val="nil"/>
                    <w:tr2bl w:val="nil"/>
                  </w:tcBorders>
                  <w:vAlign w:val="center"/>
                </w:tcPr>
                <w:p>
                  <w:pPr>
                    <w:widowControl/>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N2、厂界南侧外1m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w:t>
                  </w:r>
                  <w:r>
                    <w:rPr>
                      <w:rFonts w:hint="eastAsia" w:ascii="Times New Roman" w:hAnsi="Times New Roman" w:cs="Times New Roman"/>
                      <w:szCs w:val="21"/>
                    </w:rPr>
                    <w:t>6</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52.3</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46.7</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w:t>
                  </w:r>
                  <w:r>
                    <w:rPr>
                      <w:rFonts w:hint="eastAsia" w:ascii="Times New Roman" w:hAnsi="Times New Roman" w:cs="Times New Roman"/>
                      <w:szCs w:val="21"/>
                    </w:rPr>
                    <w:t>7</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52.6</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47.6</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N3、厂界西侧外1m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w:t>
                  </w:r>
                  <w:r>
                    <w:rPr>
                      <w:rFonts w:hint="eastAsia" w:ascii="Times New Roman" w:hAnsi="Times New Roman" w:cs="Times New Roman"/>
                      <w:szCs w:val="21"/>
                    </w:rPr>
                    <w:t>6</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53.5</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47.7</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w:t>
                  </w:r>
                  <w:r>
                    <w:rPr>
                      <w:rFonts w:hint="eastAsia" w:ascii="Times New Roman" w:hAnsi="Times New Roman" w:cs="Times New Roman"/>
                      <w:szCs w:val="21"/>
                    </w:rPr>
                    <w:t>7</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50.7</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45.1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N4、厂界北侧外1m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w:t>
                  </w:r>
                  <w:r>
                    <w:rPr>
                      <w:rFonts w:hint="eastAsia" w:ascii="Times New Roman" w:hAnsi="Times New Roman" w:cs="Times New Roman"/>
                      <w:szCs w:val="21"/>
                    </w:rPr>
                    <w:t>6</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52.6</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50.9</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w:t>
                  </w:r>
                  <w:r>
                    <w:rPr>
                      <w:rFonts w:hint="eastAsia" w:ascii="Times New Roman" w:hAnsi="Times New Roman" w:cs="Times New Roman"/>
                      <w:szCs w:val="21"/>
                    </w:rPr>
                    <w:t>7</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51.4</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rPr>
                      <w:rFonts w:ascii="Times New Roman" w:hAnsi="Times New Roman" w:cs="Times New Roman"/>
                      <w:szCs w:val="21"/>
                    </w:rPr>
                  </w:pPr>
                  <w:r>
                    <w:rPr>
                      <w:rFonts w:hint="eastAsia" w:ascii="Times New Roman" w:hAnsi="Times New Roman" w:cs="Times New Roman"/>
                      <w:szCs w:val="21"/>
                    </w:rPr>
                    <w:t>48.9</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bl>
          <w:p>
            <w:pPr>
              <w:spacing w:line="360" w:lineRule="auto"/>
              <w:ind w:firstLine="480" w:firstLineChars="200"/>
              <w:jc w:val="left"/>
              <w:rPr>
                <w:rFonts w:ascii="Times New Roman" w:hAnsi="Times New Roman" w:eastAsia="宋体" w:cs="Times New Roman"/>
                <w:b/>
                <w:bCs/>
                <w:sz w:val="24"/>
              </w:rPr>
            </w:pPr>
            <w:r>
              <w:rPr>
                <w:rFonts w:ascii="Times New Roman" w:hAnsi="Times New Roman" w:eastAsia="宋体" w:cs="Times New Roman"/>
                <w:sz w:val="24"/>
              </w:rPr>
              <w:t>监测结果表明：现场监测期间，项目</w:t>
            </w:r>
            <w:r>
              <w:rPr>
                <w:rFonts w:hint="eastAsia" w:ascii="Times New Roman" w:hAnsi="Times New Roman" w:eastAsia="宋体" w:cs="Times New Roman"/>
                <w:sz w:val="24"/>
              </w:rPr>
              <w:t>东、</w:t>
            </w:r>
            <w:r>
              <w:rPr>
                <w:rFonts w:ascii="Times New Roman" w:hAnsi="Times New Roman" w:cs="Times New Roman"/>
                <w:sz w:val="24"/>
              </w:rPr>
              <w:t>南、西、北</w:t>
            </w:r>
            <w:r>
              <w:rPr>
                <w:rFonts w:ascii="Times New Roman" w:hAnsi="Times New Roman" w:eastAsia="宋体" w:cs="Times New Roman"/>
                <w:sz w:val="24"/>
              </w:rPr>
              <w:t>厂界噪声昼</w:t>
            </w:r>
            <w:r>
              <w:rPr>
                <w:rFonts w:hint="eastAsia" w:ascii="Times New Roman" w:hAnsi="Times New Roman" w:eastAsia="宋体" w:cs="Times New Roman"/>
                <w:sz w:val="24"/>
              </w:rPr>
              <w:t>、夜</w:t>
            </w:r>
            <w:r>
              <w:rPr>
                <w:rFonts w:ascii="Times New Roman" w:hAnsi="Times New Roman" w:eastAsia="宋体" w:cs="Times New Roman"/>
                <w:sz w:val="24"/>
              </w:rPr>
              <w:t>间监测值</w:t>
            </w:r>
            <w:r>
              <w:rPr>
                <w:rFonts w:hint="eastAsia" w:ascii="Times New Roman" w:hAnsi="Times New Roman" w:eastAsia="宋体" w:cs="Times New Roman"/>
                <w:sz w:val="24"/>
              </w:rPr>
              <w:t>均能</w:t>
            </w:r>
            <w:r>
              <w:rPr>
                <w:rFonts w:ascii="Times New Roman" w:hAnsi="Times New Roman" w:eastAsia="宋体" w:cs="Times New Roman"/>
                <w:sz w:val="24"/>
              </w:rPr>
              <w:t>满足《工业企业厂界环境噪声排放标准》（GB 12348-2008）中</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及4a类</w:t>
            </w:r>
            <w:r>
              <w:rPr>
                <w:rFonts w:ascii="Times New Roman" w:hAnsi="Times New Roman" w:eastAsia="宋体" w:cs="Times New Roman"/>
                <w:sz w:val="24"/>
              </w:rPr>
              <w:t>标准的要求。</w:t>
            </w: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w:t>
            </w:r>
            <w:r>
              <w:rPr>
                <w:rFonts w:hint="eastAsia" w:ascii="Times New Roman" w:hAnsi="Times New Roman" w:cs="Times New Roman"/>
                <w:b/>
                <w:bCs/>
                <w:sz w:val="24"/>
              </w:rPr>
              <w:t>3</w:t>
            </w:r>
            <w:r>
              <w:rPr>
                <w:rFonts w:ascii="Times New Roman" w:hAnsi="Times New Roman" w:eastAsia="宋体" w:cs="Times New Roman"/>
                <w:b/>
                <w:bCs/>
                <w:sz w:val="24"/>
              </w:rPr>
              <w:t xml:space="preserve"> 固体废物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加油站运营后产生的生活垃圾，经垃圾桶集中收集后，日产日清，交由环卫部门处理。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油泥与废机油等危险废物由加油站委托有资质单位对产生的危废进行现场处理，不在加油站场区内贮存。</w:t>
            </w:r>
          </w:p>
          <w:p>
            <w:pPr>
              <w:spacing w:line="360" w:lineRule="auto"/>
              <w:rPr>
                <w:rFonts w:ascii="Times New Roman" w:hAnsi="Times New Roman" w:cs="Times New Roman"/>
                <w:b/>
                <w:sz w:val="24"/>
              </w:rPr>
            </w:pPr>
          </w:p>
          <w:p>
            <w:pPr>
              <w:spacing w:line="360" w:lineRule="auto"/>
              <w:rPr>
                <w:rFonts w:ascii="Times New Roman" w:hAnsi="Times New Roman" w:cs="Times New Roman"/>
                <w:b/>
                <w:sz w:val="24"/>
              </w:rPr>
            </w:pPr>
          </w:p>
          <w:p>
            <w:pPr>
              <w:spacing w:line="360" w:lineRule="auto"/>
              <w:rPr>
                <w:rFonts w:ascii="Times New Roman" w:hAnsi="Times New Roman" w:cs="Times New Roman"/>
                <w:b/>
                <w:sz w:val="24"/>
              </w:rPr>
            </w:pPr>
          </w:p>
          <w:p>
            <w:pPr>
              <w:spacing w:line="360" w:lineRule="auto"/>
              <w:rPr>
                <w:rFonts w:ascii="Times New Roman" w:hAnsi="Times New Roman" w:cs="Times New Roman"/>
                <w:b/>
                <w:sz w:val="24"/>
              </w:rPr>
            </w:pPr>
          </w:p>
          <w:p>
            <w:pPr>
              <w:spacing w:line="360" w:lineRule="auto"/>
              <w:rPr>
                <w:rFonts w:ascii="Times New Roman" w:hAnsi="Times New Roman" w:cs="Times New Roman"/>
                <w:b/>
                <w:sz w:val="24"/>
              </w:rPr>
            </w:pPr>
          </w:p>
          <w:p>
            <w:pPr>
              <w:spacing w:line="360" w:lineRule="auto"/>
              <w:rPr>
                <w:rFonts w:ascii="Times New Roman" w:hAnsi="Times New Roman" w:cs="Times New Roman"/>
                <w:b/>
                <w:sz w:val="24"/>
              </w:rPr>
            </w:pPr>
            <w:r>
              <w:rPr>
                <w:rFonts w:hint="eastAsia" w:ascii="Times New Roman" w:hAnsi="Times New Roman" w:cs="Times New Roman"/>
                <w:b/>
                <w:sz w:val="24"/>
              </w:rPr>
              <w:t>7.2.4油汽回收</w:t>
            </w:r>
          </w:p>
          <w:p>
            <w:pPr>
              <w:spacing w:line="360" w:lineRule="auto"/>
              <w:rPr>
                <w:rFonts w:ascii="Times New Roman" w:hAnsi="Times New Roman" w:cs="Times New Roman"/>
                <w:bCs/>
                <w:sz w:val="24"/>
              </w:rPr>
            </w:pPr>
            <w:r>
              <w:rPr>
                <w:rFonts w:hint="eastAsia" w:ascii="Times New Roman" w:hAnsi="Times New Roman" w:cs="Times New Roman"/>
                <w:bCs/>
                <w:sz w:val="24"/>
              </w:rPr>
              <w:t xml:space="preserve"> </w:t>
            </w:r>
            <w:r>
              <w:rPr>
                <w:rFonts w:ascii="Times New Roman" w:hAnsi="Times New Roman" w:cs="Times New Roman"/>
                <w:bCs/>
                <w:sz w:val="24"/>
              </w:rPr>
              <w:t xml:space="preserve">   </w:t>
            </w:r>
            <w:r>
              <w:rPr>
                <w:rFonts w:hint="eastAsia" w:ascii="Times New Roman" w:hAnsi="Times New Roman" w:cs="Times New Roman"/>
                <w:bCs/>
                <w:sz w:val="24"/>
              </w:rPr>
              <w:t>油汽回收监测结果见表7-3</w:t>
            </w: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7</w:t>
            </w:r>
            <w:r>
              <w:rPr>
                <w:rFonts w:ascii="Times New Roman" w:hAnsi="Times New Roman" w:eastAsia="宋体" w:cs="Times New Roman"/>
                <w:b/>
                <w:sz w:val="24"/>
              </w:rPr>
              <w:t>-</w:t>
            </w:r>
            <w:r>
              <w:rPr>
                <w:rFonts w:hint="eastAsia" w:ascii="Times New Roman" w:hAnsi="Times New Roman" w:eastAsia="宋体" w:cs="Times New Roman"/>
                <w:b/>
                <w:sz w:val="24"/>
              </w:rPr>
              <w:t>3</w:t>
            </w:r>
            <w:r>
              <w:rPr>
                <w:rFonts w:ascii="Times New Roman" w:hAnsi="Times New Roman" w:eastAsia="宋体" w:cs="Times New Roman"/>
                <w:b/>
                <w:sz w:val="24"/>
              </w:rPr>
              <w:t xml:space="preserve"> </w:t>
            </w:r>
            <w:r>
              <w:rPr>
                <w:rFonts w:hint="eastAsia" w:ascii="Times New Roman" w:hAnsi="Times New Roman" w:eastAsia="宋体" w:cs="Times New Roman"/>
                <w:b/>
                <w:sz w:val="24"/>
              </w:rPr>
              <w:t>油汽回收</w:t>
            </w:r>
            <w:r>
              <w:rPr>
                <w:rFonts w:ascii="Times New Roman" w:hAnsi="Times New Roman" w:eastAsia="宋体" w:cs="Times New Roman"/>
                <w:b/>
                <w:sz w:val="24"/>
              </w:rPr>
              <w:t>监测点位和监测项目</w:t>
            </w:r>
          </w:p>
          <w:tbl>
            <w:tblPr>
              <w:tblStyle w:val="16"/>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31"/>
              <w:gridCol w:w="993"/>
              <w:gridCol w:w="984"/>
              <w:gridCol w:w="577"/>
              <w:gridCol w:w="415"/>
              <w:gridCol w:w="1146"/>
              <w:gridCol w:w="1701"/>
              <w:gridCol w:w="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监测点位</w:t>
                  </w:r>
                </w:p>
              </w:tc>
              <w:tc>
                <w:tcPr>
                  <w:tcW w:w="99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3122" w:type="dxa"/>
                  <w:gridSpan w:val="4"/>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监测结果（</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701"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标准限值</w:t>
                  </w:r>
                </w:p>
              </w:tc>
              <w:tc>
                <w:tcPr>
                  <w:tcW w:w="715"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993"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98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992" w:type="dxa"/>
                  <w:gridSpan w:val="2"/>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14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701" w:type="dxa"/>
                  <w:vMerge w:val="restart"/>
                  <w:tcBorders>
                    <w:tl2br w:val="nil"/>
                    <w:tr2bl w:val="nil"/>
                  </w:tcBorders>
                  <w:vAlign w:val="center"/>
                </w:tcPr>
                <w:p>
                  <w:pPr>
                    <w:rPr>
                      <w:rFonts w:ascii="Times New Roman" w:hAnsi="Times New Roman" w:eastAsia="宋体" w:cs="Times New Roman"/>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w:t>
                  </w:r>
                  <w:r>
                    <w:rPr>
                      <w:rFonts w:hint="eastAsia" w:ascii="Times New Roman" w:hAnsi="Times New Roman" w:eastAsia="宋体" w:cs="Times New Roman"/>
                      <w:bCs/>
                      <w:szCs w:val="21"/>
                    </w:rPr>
                    <w:t>40</w:t>
                  </w:r>
                  <w:r>
                    <w:rPr>
                      <w:rFonts w:ascii="Times New Roman" w:hAnsi="Times New Roman" w:eastAsia="宋体" w:cs="Times New Roman"/>
                      <w:bCs/>
                      <w:szCs w:val="21"/>
                    </w:rPr>
                    <w:t>P</w:t>
                  </w:r>
                  <w:r>
                    <w:rPr>
                      <w:rFonts w:hint="eastAsia" w:ascii="Times New Roman" w:hAnsi="Times New Roman" w:eastAsia="宋体" w:cs="Times New Roman"/>
                      <w:bCs/>
                      <w:szCs w:val="21"/>
                    </w:rPr>
                    <w:t>a</w:t>
                  </w:r>
                </w:p>
                <w:p>
                  <w:pPr>
                    <w:rPr>
                      <w:rFonts w:ascii="Times New Roman" w:hAnsi="Times New Roman" w:eastAsia="宋体" w:cs="Times New Roman"/>
                      <w:bCs/>
                      <w:szCs w:val="21"/>
                    </w:rPr>
                  </w:pPr>
                </w:p>
                <w:p>
                  <w:pP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w:t>
                  </w:r>
                  <w:r>
                    <w:rPr>
                      <w:rFonts w:hint="eastAsia" w:ascii="Times New Roman" w:hAnsi="Times New Roman" w:eastAsia="宋体" w:cs="Times New Roman"/>
                      <w:bCs/>
                      <w:szCs w:val="21"/>
                    </w:rPr>
                    <w:t>90</w:t>
                  </w:r>
                  <w:r>
                    <w:rPr>
                      <w:rFonts w:ascii="Times New Roman" w:hAnsi="Times New Roman" w:eastAsia="宋体" w:cs="Times New Roman"/>
                      <w:bCs/>
                      <w:szCs w:val="21"/>
                    </w:rPr>
                    <w:t>P</w:t>
                  </w:r>
                  <w:r>
                    <w:rPr>
                      <w:rFonts w:hint="eastAsia" w:ascii="Times New Roman" w:hAnsi="Times New Roman" w:eastAsia="宋体" w:cs="Times New Roman"/>
                      <w:bCs/>
                      <w:szCs w:val="21"/>
                    </w:rPr>
                    <w:t>a</w:t>
                  </w:r>
                </w:p>
                <w:p>
                  <w:pPr>
                    <w:rPr>
                      <w:rFonts w:ascii="Times New Roman" w:hAnsi="Times New Roman" w:eastAsia="宋体" w:cs="Times New Roman"/>
                      <w:bCs/>
                      <w:szCs w:val="21"/>
                    </w:rPr>
                  </w:pPr>
                </w:p>
                <w:p>
                  <w:pP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﹤1</w:t>
                  </w:r>
                  <w:r>
                    <w:rPr>
                      <w:rFonts w:hint="eastAsia" w:ascii="Times New Roman" w:hAnsi="Times New Roman" w:eastAsia="宋体" w:cs="Times New Roman"/>
                      <w:bCs/>
                      <w:szCs w:val="21"/>
                    </w:rPr>
                    <w:t>55</w:t>
                  </w:r>
                  <w:r>
                    <w:rPr>
                      <w:rFonts w:ascii="Times New Roman" w:hAnsi="Times New Roman" w:eastAsia="宋体" w:cs="Times New Roman"/>
                      <w:bCs/>
                      <w:szCs w:val="21"/>
                    </w:rPr>
                    <w:t>P</w:t>
                  </w:r>
                  <w:r>
                    <w:rPr>
                      <w:rFonts w:hint="eastAsia" w:ascii="Times New Roman" w:hAnsi="Times New Roman" w:eastAsia="宋体" w:cs="Times New Roman"/>
                      <w:bCs/>
                      <w:szCs w:val="21"/>
                    </w:rPr>
                    <w:t>a</w:t>
                  </w:r>
                </w:p>
              </w:tc>
              <w:tc>
                <w:tcPr>
                  <w:tcW w:w="715"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1号加油机</w:t>
                  </w:r>
                </w:p>
              </w:tc>
              <w:tc>
                <w:tcPr>
                  <w:tcW w:w="993" w:type="dxa"/>
                  <w:vMerge w:val="continue"/>
                  <w:tcBorders>
                    <w:tl2br w:val="nil"/>
                    <w:tr2bl w:val="nil"/>
                  </w:tcBorders>
                  <w:vAlign w:val="center"/>
                </w:tcPr>
                <w:p>
                  <w:pPr>
                    <w:jc w:val="center"/>
                    <w:rPr>
                      <w:rFonts w:ascii="Times New Roman" w:hAnsi="Times New Roman" w:eastAsia="宋体" w:cs="Times New Roman"/>
                      <w:szCs w:val="21"/>
                    </w:rPr>
                  </w:pPr>
                </w:p>
              </w:tc>
              <w:tc>
                <w:tcPr>
                  <w:tcW w:w="98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35</w:t>
                  </w:r>
                </w:p>
              </w:tc>
              <w:tc>
                <w:tcPr>
                  <w:tcW w:w="992" w:type="dxa"/>
                  <w:gridSpan w:val="2"/>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42</w:t>
                  </w:r>
                </w:p>
              </w:tc>
              <w:tc>
                <w:tcPr>
                  <w:tcW w:w="114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45</w:t>
                  </w:r>
                </w:p>
              </w:tc>
              <w:tc>
                <w:tcPr>
                  <w:tcW w:w="1701" w:type="dxa"/>
                  <w:vMerge w:val="continue"/>
                  <w:tcBorders>
                    <w:tl2br w:val="nil"/>
                    <w:tr2bl w:val="nil"/>
                  </w:tcBorders>
                  <w:vAlign w:val="center"/>
                </w:tcPr>
                <w:p>
                  <w:pPr>
                    <w:jc w:val="center"/>
                    <w:rPr>
                      <w:rFonts w:ascii="Times New Roman" w:hAnsi="Times New Roman" w:eastAsia="宋体" w:cs="Times New Roman"/>
                      <w:bCs/>
                      <w:szCs w:val="21"/>
                    </w:rPr>
                  </w:pPr>
                </w:p>
              </w:tc>
              <w:tc>
                <w:tcPr>
                  <w:tcW w:w="715"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2号加油机</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98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35</w:t>
                  </w:r>
                </w:p>
              </w:tc>
              <w:tc>
                <w:tcPr>
                  <w:tcW w:w="992"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44</w:t>
                  </w:r>
                </w:p>
              </w:tc>
              <w:tc>
                <w:tcPr>
                  <w:tcW w:w="11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3号加油机</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98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39</w:t>
                  </w:r>
                </w:p>
              </w:tc>
              <w:tc>
                <w:tcPr>
                  <w:tcW w:w="992"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c>
                <w:tcPr>
                  <w:tcW w:w="11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52</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4号加油机</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98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39</w:t>
                  </w:r>
                </w:p>
              </w:tc>
              <w:tc>
                <w:tcPr>
                  <w:tcW w:w="992"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45</w:t>
                  </w:r>
                </w:p>
              </w:tc>
              <w:tc>
                <w:tcPr>
                  <w:tcW w:w="11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47</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油罐（各油汽管线连通）</w:t>
                  </w:r>
                </w:p>
              </w:tc>
              <w:tc>
                <w:tcPr>
                  <w:tcW w:w="993"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密闭性</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5min后压力值</w:t>
                  </w:r>
                  <w:r>
                    <w:rPr>
                      <w:rFonts w:hint="eastAsia" w:ascii="Times New Roman" w:hAnsi="Times New Roman" w:eastAsia="宋体" w:cs="Times New Roman"/>
                      <w:b/>
                      <w:szCs w:val="21"/>
                    </w:rPr>
                    <w:t>（</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最小剩余压力限值</w:t>
                  </w:r>
                  <w:r>
                    <w:rPr>
                      <w:rFonts w:hint="eastAsia" w:ascii="Times New Roman" w:hAnsi="Times New Roman" w:eastAsia="宋体" w:cs="Times New Roman"/>
                      <w:b/>
                      <w:szCs w:val="21"/>
                    </w:rPr>
                    <w:t>（</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70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5min后压力值大于最小剩余压力限值</w:t>
                  </w:r>
                </w:p>
              </w:tc>
              <w:tc>
                <w:tcPr>
                  <w:tcW w:w="715"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vMerge w:val="continue"/>
                  <w:tcBorders>
                    <w:tl2br w:val="nil"/>
                    <w:tr2bl w:val="nil"/>
                  </w:tcBorders>
                  <w:vAlign w:val="center"/>
                </w:tcPr>
                <w:p>
                  <w:pPr>
                    <w:jc w:val="center"/>
                    <w:rPr>
                      <w:rFonts w:ascii="Times New Roman" w:hAnsi="Times New Roman" w:eastAsia="宋体" w:cs="Times New Roman"/>
                      <w:szCs w:val="21"/>
                    </w:rPr>
                  </w:pP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491</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491</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1号加油枪</w:t>
                  </w:r>
                </w:p>
              </w:tc>
              <w:tc>
                <w:tcPr>
                  <w:tcW w:w="993"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 xml:space="preserve">汽液比 </w:t>
                  </w: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1.05</w:t>
                  </w:r>
                </w:p>
              </w:tc>
              <w:tc>
                <w:tcPr>
                  <w:tcW w:w="170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加油站油汽回收系统汽液比均应在1.0~1.2之间</w:t>
                  </w: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1.06</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.07</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.13</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.02</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.05</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.15</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.06</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.06</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.01</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2" w:type="dxa"/>
                  <w:gridSpan w:val="8"/>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备注：监测结果表明，液阻、密闭性、汽液比均满足</w:t>
                  </w:r>
                  <w:r>
                    <w:t>《加油站大气污染物排放标准》(GB20952-2007)</w:t>
                  </w:r>
                  <w:r>
                    <w:rPr>
                      <w:rFonts w:hint="eastAsia"/>
                    </w:rPr>
                    <w:t>要求</w:t>
                  </w:r>
                  <w:r>
                    <w:t>。</w:t>
                  </w:r>
                </w:p>
              </w:tc>
            </w:tr>
          </w:tbl>
          <w:p>
            <w:pPr>
              <w:spacing w:line="360" w:lineRule="auto"/>
              <w:rPr>
                <w:rFonts w:ascii="Times New Roman" w:hAnsi="Times New Roman" w:eastAsia="宋体" w:cs="Times New Roman"/>
                <w:b/>
                <w:sz w:val="28"/>
                <w:szCs w:val="28"/>
              </w:rPr>
            </w:pPr>
          </w:p>
        </w:tc>
      </w:tr>
    </w:tbl>
    <w:p>
      <w:pPr>
        <w:spacing w:line="360" w:lineRule="auto"/>
        <w:rPr>
          <w:rFonts w:ascii="Times New Roman" w:hAnsi="Times New Roman" w:eastAsia="宋体" w:cs="Times New Roman"/>
          <w:b/>
          <w:sz w:val="28"/>
          <w:szCs w:val="28"/>
        </w:rPr>
      </w:pPr>
      <w:r>
        <w:rPr>
          <w:rFonts w:ascii="Times New Roman" w:hAnsi="Times New Roman" w:eastAsia="宋体" w:cs="Times New Roman"/>
          <w:b/>
          <w:sz w:val="28"/>
          <w:szCs w:val="28"/>
        </w:rPr>
        <w:br w:type="page"/>
      </w:r>
    </w:p>
    <w:p>
      <w:pPr>
        <w:pageBreakBefore/>
        <w:kinsoku w:val="0"/>
        <w:overflowPunct w:val="0"/>
        <w:autoSpaceDE w:val="0"/>
        <w:autoSpaceDN w:val="0"/>
        <w:spacing w:before="156" w:beforeLines="50" w:line="360" w:lineRule="auto"/>
        <w:outlineLvl w:val="0"/>
        <w:rPr>
          <w:rFonts w:ascii="Times New Roman" w:hAnsi="Times New Roman" w:cs="Times New Roman"/>
          <w:b/>
          <w:sz w:val="28"/>
          <w:szCs w:val="28"/>
        </w:rPr>
      </w:pPr>
      <w:bookmarkStart w:id="57" w:name="_Toc2044"/>
      <w:bookmarkStart w:id="58" w:name="_Toc27235"/>
      <w:bookmarkStart w:id="59" w:name="_Toc20547"/>
      <w:r>
        <w:rPr>
          <w:rFonts w:ascii="Times New Roman" w:hAnsi="Times New Roman" w:cs="Times New Roman"/>
          <w:b/>
          <w:sz w:val="28"/>
          <w:szCs w:val="28"/>
        </w:rPr>
        <w:t>表八  环境管理检查</w:t>
      </w:r>
      <w:bookmarkEnd w:id="57"/>
    </w:p>
    <w:tbl>
      <w:tblPr>
        <w:tblStyle w:val="16"/>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6" w:type="dxa"/>
          </w:tcPr>
          <w:p>
            <w:pPr>
              <w:rPr>
                <w:rFonts w:ascii="Times New Roman" w:hAnsi="Times New Roman" w:cs="Times New Roman"/>
                <w:b/>
                <w:bCs/>
                <w:sz w:val="28"/>
                <w:szCs w:val="28"/>
              </w:rPr>
            </w:pPr>
            <w:r>
              <w:rPr>
                <w:rFonts w:ascii="Times New Roman" w:hAnsi="Times New Roman" w:cs="Times New Roman"/>
                <w:b/>
                <w:bCs/>
                <w:sz w:val="28"/>
                <w:szCs w:val="28"/>
              </w:rPr>
              <w:t>8.1 环保审批手续及“三同时”执行情况检查</w:t>
            </w:r>
          </w:p>
          <w:p>
            <w:pPr>
              <w:spacing w:line="360" w:lineRule="auto"/>
              <w:ind w:firstLine="480" w:firstLineChars="200"/>
              <w:rPr>
                <w:rFonts w:ascii="Times New Roman" w:hAnsi="Times New Roman" w:cs="Times New Roman"/>
                <w:sz w:val="24"/>
                <w:szCs w:val="20"/>
              </w:rPr>
            </w:pPr>
            <w:r>
              <w:rPr>
                <w:rFonts w:hint="eastAsia" w:ascii="Times New Roman" w:hAnsi="Times New Roman" w:cs="Times New Roman"/>
                <w:sz w:val="24"/>
              </w:rPr>
              <w:t>随着荔波县经济、交通、运输业的发展，不断增加了该地区汽油、柴油的需求。因此，荔波县三荔高速荔波东加油站的建设可缓解当地对油品的需求。该项目由中海油贵州销售公司投资建设，设3个SF双层地埋油罐，其中50m</w:t>
            </w:r>
            <w:r>
              <w:rPr>
                <w:rFonts w:hint="eastAsia" w:ascii="Times New Roman" w:hAnsi="Times New Roman" w:cs="Times New Roman"/>
                <w:sz w:val="24"/>
                <w:vertAlign w:val="superscript"/>
              </w:rPr>
              <w:t>3</w:t>
            </w:r>
            <w:r>
              <w:rPr>
                <w:rFonts w:hint="eastAsia" w:ascii="Times New Roman" w:hAnsi="Times New Roman" w:cs="Times New Roman"/>
                <w:sz w:val="24"/>
              </w:rPr>
              <w:t xml:space="preserve"> 92#、95#汽油储罐各1个，40m</w:t>
            </w:r>
            <w:r>
              <w:rPr>
                <w:rFonts w:hint="eastAsia" w:ascii="Times New Roman" w:hAnsi="Times New Roman" w:cs="Times New Roman"/>
                <w:sz w:val="24"/>
                <w:vertAlign w:val="superscript"/>
              </w:rPr>
              <w:t>3</w:t>
            </w:r>
            <w:r>
              <w:rPr>
                <w:rFonts w:hint="eastAsia" w:ascii="Times New Roman" w:hAnsi="Times New Roman" w:cs="Times New Roman"/>
                <w:sz w:val="24"/>
              </w:rPr>
              <w:t>柴油储罐1个，4台加油机，预计5年后销年售柴油品2500吨，汽油7000吨。</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于</w:t>
            </w:r>
            <w:r>
              <w:rPr>
                <w:rFonts w:hint="eastAsia" w:ascii="Times New Roman" w:hAnsi="Times New Roman" w:cs="Times New Roman"/>
                <w:sz w:val="24"/>
              </w:rPr>
              <w:t>2019</w:t>
            </w:r>
            <w:r>
              <w:rPr>
                <w:rFonts w:ascii="Times New Roman" w:hAnsi="Times New Roman" w:cs="Times New Roman"/>
                <w:sz w:val="24"/>
              </w:rPr>
              <w:t>年</w:t>
            </w:r>
            <w:r>
              <w:rPr>
                <w:rFonts w:hint="eastAsia" w:ascii="Times New Roman" w:hAnsi="Times New Roman" w:cs="Times New Roman"/>
                <w:sz w:val="24"/>
              </w:rPr>
              <w:t>4</w:t>
            </w:r>
            <w:r>
              <w:rPr>
                <w:rFonts w:ascii="Times New Roman" w:hAnsi="Times New Roman" w:cs="Times New Roman"/>
                <w:sz w:val="24"/>
              </w:rPr>
              <w:t>月编制完成</w:t>
            </w:r>
            <w:r>
              <w:rPr>
                <w:rFonts w:hint="eastAsia" w:ascii="Times New Roman" w:hAnsi="Times New Roman" w:cs="Times New Roman"/>
                <w:sz w:val="24"/>
              </w:rPr>
              <w:t>了</w:t>
            </w:r>
            <w:r>
              <w:rPr>
                <w:rFonts w:ascii="Times New Roman" w:hAnsi="Times New Roman" w:cs="Times New Roman"/>
                <w:sz w:val="24"/>
              </w:rPr>
              <w:t>《</w:t>
            </w:r>
            <w:r>
              <w:rPr>
                <w:rFonts w:hint="eastAsia" w:ascii="Times New Roman" w:hAnsi="Times New Roman" w:eastAsia="宋体" w:cs="Times New Roman"/>
                <w:sz w:val="24"/>
              </w:rPr>
              <w:t>中海油贵州销售公司三荔高速荔波东加油站建设项目</w:t>
            </w:r>
            <w:r>
              <w:rPr>
                <w:rFonts w:ascii="Times New Roman" w:hAnsi="Times New Roman" w:cs="Times New Roman"/>
                <w:spacing w:val="-4"/>
                <w:kern w:val="0"/>
                <w:sz w:val="24"/>
              </w:rPr>
              <w:t>环境影响评价报告表</w:t>
            </w:r>
            <w:r>
              <w:rPr>
                <w:rFonts w:ascii="Times New Roman" w:hAnsi="Times New Roman" w:cs="Times New Roman"/>
                <w:sz w:val="24"/>
              </w:rPr>
              <w:t>》，并于同年</w:t>
            </w:r>
            <w:r>
              <w:rPr>
                <w:rFonts w:hint="eastAsia" w:ascii="Times New Roman" w:hAnsi="Times New Roman" w:cs="Times New Roman"/>
                <w:sz w:val="24"/>
              </w:rPr>
              <w:t>6</w:t>
            </w:r>
            <w:r>
              <w:rPr>
                <w:rFonts w:ascii="Times New Roman" w:hAnsi="Times New Roman" w:cs="Times New Roman"/>
                <w:sz w:val="24"/>
              </w:rPr>
              <w:t>月</w:t>
            </w:r>
            <w:r>
              <w:rPr>
                <w:rFonts w:hint="eastAsia" w:ascii="Times New Roman" w:hAnsi="Times New Roman" w:cs="Times New Roman"/>
                <w:sz w:val="24"/>
              </w:rPr>
              <w:t>13</w:t>
            </w:r>
            <w:r>
              <w:rPr>
                <w:rFonts w:ascii="Times New Roman" w:hAnsi="Times New Roman" w:cs="Times New Roman"/>
                <w:sz w:val="24"/>
              </w:rPr>
              <w:t>日取得</w:t>
            </w:r>
            <w:r>
              <w:rPr>
                <w:rFonts w:hint="eastAsia" w:ascii="Times New Roman" w:hAnsi="Times New Roman" w:cs="Times New Roman"/>
                <w:sz w:val="24"/>
              </w:rPr>
              <w:t>黔南州生态</w:t>
            </w:r>
            <w:r>
              <w:rPr>
                <w:rFonts w:ascii="Times New Roman" w:hAnsi="Times New Roman" w:cs="Times New Roman"/>
                <w:sz w:val="24"/>
              </w:rPr>
              <w:t>环境局对《</w:t>
            </w:r>
            <w:r>
              <w:rPr>
                <w:rFonts w:hint="eastAsia" w:ascii="Times New Roman" w:hAnsi="Times New Roman" w:eastAsia="宋体" w:cs="Times New Roman"/>
                <w:sz w:val="24"/>
              </w:rPr>
              <w:t>中海油贵州销售公司三荔高速荔波东加油站</w:t>
            </w:r>
            <w:r>
              <w:rPr>
                <w:rFonts w:ascii="Times New Roman" w:hAnsi="Times New Roman" w:cs="Times New Roman"/>
                <w:spacing w:val="-4"/>
                <w:kern w:val="0"/>
                <w:sz w:val="24"/>
              </w:rPr>
              <w:t>环境影响评价报告表</w:t>
            </w:r>
            <w:r>
              <w:rPr>
                <w:rFonts w:ascii="Times New Roman" w:hAnsi="Times New Roman" w:cs="Times New Roman"/>
                <w:sz w:val="24"/>
              </w:rPr>
              <w:t>》的</w:t>
            </w:r>
            <w:r>
              <w:rPr>
                <w:rFonts w:hint="eastAsia" w:ascii="Times New Roman" w:hAnsi="Times New Roman" w:cs="Times New Roman"/>
                <w:sz w:val="24"/>
              </w:rPr>
              <w:t>批复，批复文号：</w:t>
            </w:r>
            <w:r>
              <w:rPr>
                <w:rFonts w:hint="eastAsia" w:ascii="Times New Roman" w:hAnsi="Times New Roman" w:eastAsia="宋体" w:cs="Times New Roman"/>
                <w:sz w:val="24"/>
              </w:rPr>
              <w:t>黔南环审[2019]50号</w:t>
            </w:r>
            <w:r>
              <w:rPr>
                <w:rFonts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该项目建设过程中，执行了环境影响评价法和</w:t>
            </w:r>
            <w:r>
              <w:rPr>
                <w:rFonts w:cs="Times New Roman" w:asciiTheme="minorEastAsia" w:hAnsiTheme="minorEastAsia"/>
                <w:sz w:val="24"/>
              </w:rPr>
              <w:t>“三同时”制</w:t>
            </w:r>
            <w:r>
              <w:rPr>
                <w:rFonts w:ascii="Times New Roman" w:hAnsi="Times New Roman" w:cs="Times New Roman"/>
                <w:sz w:val="24"/>
              </w:rPr>
              <w:t>度。环评、环保设计、试生产报批手续基本齐全，环保设施与主体工程同时设计、同时施工、同时投入使用。</w:t>
            </w:r>
          </w:p>
          <w:p>
            <w:pPr>
              <w:rPr>
                <w:rFonts w:ascii="Times New Roman" w:hAnsi="Times New Roman" w:cs="Times New Roman"/>
                <w:b/>
                <w:bCs/>
                <w:sz w:val="28"/>
                <w:szCs w:val="28"/>
              </w:rPr>
            </w:pPr>
            <w:r>
              <w:rPr>
                <w:rFonts w:ascii="Times New Roman" w:hAnsi="Times New Roman" w:cs="Times New Roman"/>
                <w:b/>
                <w:bCs/>
                <w:sz w:val="28"/>
                <w:szCs w:val="28"/>
              </w:rPr>
              <w:t>8.2 环保治理设施的完成、运行、维护情况检查</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项目实际总投资为</w:t>
            </w:r>
            <w:r>
              <w:rPr>
                <w:rFonts w:hint="eastAsia" w:ascii="Times New Roman" w:hAnsi="Times New Roman" w:cs="Times New Roman"/>
                <w:sz w:val="24"/>
              </w:rPr>
              <w:t>4700</w:t>
            </w:r>
            <w:r>
              <w:rPr>
                <w:rFonts w:ascii="Times New Roman" w:hAnsi="Times New Roman" w:cs="Times New Roman"/>
                <w:sz w:val="24"/>
              </w:rPr>
              <w:t>万元，</w:t>
            </w:r>
            <w:r>
              <w:rPr>
                <w:rFonts w:hint="eastAsia" w:ascii="Times New Roman" w:hAnsi="Times New Roman" w:cs="Times New Roman"/>
                <w:sz w:val="24"/>
              </w:rPr>
              <w:t>其中</w:t>
            </w:r>
            <w:r>
              <w:rPr>
                <w:rFonts w:ascii="Times New Roman" w:hAnsi="Times New Roman" w:cs="Times New Roman"/>
                <w:sz w:val="24"/>
              </w:rPr>
              <w:t>环保投资</w:t>
            </w:r>
            <w:r>
              <w:rPr>
                <w:rFonts w:hint="eastAsia" w:ascii="Times New Roman" w:hAnsi="Times New Roman" w:cs="Times New Roman"/>
                <w:sz w:val="24"/>
              </w:rPr>
              <w:t>52.3</w:t>
            </w:r>
            <w:r>
              <w:rPr>
                <w:rFonts w:ascii="Times New Roman" w:hAnsi="Times New Roman" w:cs="Times New Roman"/>
                <w:sz w:val="24"/>
              </w:rPr>
              <w:t>万元，占总投资</w:t>
            </w:r>
            <w:r>
              <w:rPr>
                <w:rFonts w:hint="eastAsia" w:ascii="Times New Roman" w:hAnsi="Times New Roman" w:cs="Times New Roman"/>
                <w:sz w:val="24"/>
              </w:rPr>
              <w:t>1.11</w:t>
            </w:r>
            <w:r>
              <w:rPr>
                <w:rFonts w:ascii="Times New Roman" w:hAnsi="Times New Roman" w:cs="Times New Roman"/>
                <w:sz w:val="24"/>
              </w:rPr>
              <w:t>%，环保设施基本按环评要求建设</w:t>
            </w:r>
            <w:r>
              <w:rPr>
                <w:rFonts w:hint="eastAsia" w:ascii="Times New Roman" w:hAnsi="Times New Roman" w:cs="Times New Roman"/>
                <w:sz w:val="24"/>
              </w:rPr>
              <w:t>（生活废水和生产废水经三级生化池处理后，收集送至污水处理单位处理）</w:t>
            </w:r>
            <w:r>
              <w:rPr>
                <w:rFonts w:ascii="Times New Roman" w:hAnsi="Times New Roman" w:cs="Times New Roman"/>
                <w:sz w:val="24"/>
              </w:rPr>
              <w:t>，目前已经落实到位，运行正常，环保治理设施由使用工段负责运行维护。</w:t>
            </w:r>
          </w:p>
          <w:p>
            <w:pPr>
              <w:rPr>
                <w:rFonts w:ascii="Times New Roman" w:hAnsi="Times New Roman" w:cs="Times New Roman"/>
                <w:b/>
                <w:bCs/>
                <w:sz w:val="28"/>
                <w:szCs w:val="28"/>
              </w:rPr>
            </w:pPr>
            <w:r>
              <w:rPr>
                <w:rFonts w:ascii="Times New Roman" w:hAnsi="Times New Roman" w:cs="Times New Roman"/>
                <w:b/>
                <w:bCs/>
                <w:sz w:val="28"/>
                <w:szCs w:val="28"/>
              </w:rPr>
              <w:t>8.3 环境保护管理制度的建立和执行情况检查</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sz w:val="24"/>
              </w:rPr>
              <w:t>为加强环境保护管理，该公司制定了项目环境保护规章制度作为其环境管理规范，明确了环保职责和实施细则，保证环保工作正常有序地展开，为环保设施的正常稳定运行提供保证。</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8.4 是否编制了突发环境事件应急预案</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项目已编制突发事件应急预案</w:t>
            </w:r>
            <w:r>
              <w:rPr>
                <w:rFonts w:hint="eastAsia" w:ascii="Times New Roman" w:hAnsi="Times New Roman" w:cs="Times New Roman"/>
                <w:sz w:val="24"/>
              </w:rPr>
              <w:t>（522700-2020-047-</w:t>
            </w:r>
            <w:r>
              <w:rPr>
                <w:rFonts w:ascii="Times New Roman" w:hAnsi="Times New Roman" w:cs="Times New Roman"/>
                <w:sz w:val="24"/>
              </w:rPr>
              <w:t>L</w:t>
            </w:r>
            <w:r>
              <w:rPr>
                <w:rFonts w:hint="eastAsia" w:ascii="Times New Roman" w:hAnsi="Times New Roman" w:cs="Times New Roman"/>
                <w:sz w:val="24"/>
              </w:rPr>
              <w:t>）</w:t>
            </w:r>
            <w:r>
              <w:rPr>
                <w:rFonts w:ascii="Times New Roman" w:hAnsi="Times New Roman" w:cs="Times New Roman"/>
                <w:sz w:val="24"/>
              </w:rPr>
              <w:t>。</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8.5 绿化情况</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项目</w:t>
            </w:r>
            <w:r>
              <w:rPr>
                <w:rFonts w:hint="eastAsia" w:ascii="Times New Roman" w:hAnsi="Times New Roman" w:cs="Times New Roman"/>
                <w:color w:val="000000" w:themeColor="text1"/>
                <w:sz w:val="24"/>
              </w:rPr>
              <w:t>区域</w:t>
            </w:r>
            <w:r>
              <w:rPr>
                <w:rFonts w:ascii="Times New Roman" w:hAnsi="Times New Roman" w:cs="Times New Roman"/>
                <w:color w:val="000000" w:themeColor="text1"/>
                <w:sz w:val="24"/>
              </w:rPr>
              <w:t>有</w:t>
            </w:r>
            <w:r>
              <w:rPr>
                <w:rFonts w:hint="eastAsia" w:ascii="Times New Roman" w:hAnsi="Times New Roman" w:cs="Times New Roman"/>
                <w:color w:val="000000" w:themeColor="text1"/>
                <w:sz w:val="24"/>
              </w:rPr>
              <w:t>1440m</w:t>
            </w:r>
            <w:r>
              <w:rPr>
                <w:rFonts w:hint="eastAsia" w:ascii="Times New Roman" w:hAnsi="Times New Roman" w:cs="Times New Roman"/>
                <w:color w:val="000000" w:themeColor="text1"/>
                <w:sz w:val="24"/>
                <w:vertAlign w:val="superscript"/>
              </w:rPr>
              <w:t>2</w:t>
            </w:r>
            <w:r>
              <w:rPr>
                <w:rFonts w:ascii="Times New Roman" w:hAnsi="Times New Roman" w:cs="Times New Roman"/>
                <w:color w:val="000000" w:themeColor="text1"/>
                <w:sz w:val="24"/>
              </w:rPr>
              <w:t>绿化，项目应加强</w:t>
            </w:r>
            <w:r>
              <w:rPr>
                <w:rFonts w:hint="eastAsia" w:ascii="Times New Roman" w:hAnsi="Times New Roman" w:cs="Times New Roman"/>
                <w:color w:val="000000" w:themeColor="text1"/>
                <w:sz w:val="24"/>
              </w:rPr>
              <w:t>区域</w:t>
            </w:r>
            <w:r>
              <w:rPr>
                <w:rFonts w:ascii="Times New Roman" w:hAnsi="Times New Roman" w:cs="Times New Roman"/>
                <w:color w:val="000000" w:themeColor="text1"/>
                <w:sz w:val="24"/>
              </w:rPr>
              <w:t>绿化维护。</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8.6 环评及批复落实情况</w:t>
            </w: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cs="Times New Roman"/>
              </w:rPr>
            </w:pPr>
            <w:r>
              <w:rPr>
                <w:rFonts w:ascii="Times New Roman" w:hAnsi="Times New Roman" w:eastAsia="宋体" w:cs="Times New Roman"/>
                <w:b/>
                <w:bCs/>
                <w:sz w:val="24"/>
              </w:rPr>
              <w:t>表</w:t>
            </w:r>
            <w:r>
              <w:rPr>
                <w:rFonts w:ascii="Times New Roman" w:hAnsi="Times New Roman" w:cs="Times New Roman"/>
                <w:b/>
                <w:bCs/>
                <w:sz w:val="24"/>
              </w:rPr>
              <w:t>8</w:t>
            </w:r>
            <w:r>
              <w:rPr>
                <w:rFonts w:ascii="Times New Roman" w:hAnsi="Times New Roman" w:eastAsia="宋体" w:cs="Times New Roman"/>
                <w:b/>
                <w:bCs/>
                <w:sz w:val="24"/>
              </w:rPr>
              <w:t>-1 营运期环评及批复要求落实情况一览表</w:t>
            </w:r>
          </w:p>
          <w:tbl>
            <w:tblPr>
              <w:tblStyle w:val="16"/>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2790"/>
              <w:gridCol w:w="2361"/>
              <w:gridCol w:w="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50" w:type="dxa"/>
                  <w:tcBorders>
                    <w:top w:val="single" w:color="auto" w:sz="12" w:space="0"/>
                    <w:left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2790" w:type="dxa"/>
                  <w:tcBorders>
                    <w:top w:val="single" w:color="auto" w:sz="12"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环评要求</w:t>
                  </w:r>
                </w:p>
              </w:tc>
              <w:tc>
                <w:tcPr>
                  <w:tcW w:w="2361" w:type="dxa"/>
                  <w:tcBorders>
                    <w:top w:val="single" w:color="auto" w:sz="12"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环评批复要求</w:t>
                  </w:r>
                </w:p>
              </w:tc>
              <w:tc>
                <w:tcPr>
                  <w:tcW w:w="3889" w:type="dxa"/>
                  <w:tcBorders>
                    <w:top w:val="single" w:color="auto" w:sz="12" w:space="0"/>
                    <w:right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550" w:type="dxa"/>
                  <w:tcBorders>
                    <w:left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废水</w:t>
                  </w:r>
                </w:p>
              </w:tc>
              <w:tc>
                <w:tcPr>
                  <w:tcW w:w="2790" w:type="dxa"/>
                  <w:vAlign w:val="center"/>
                </w:tcPr>
                <w:p>
                  <w:pPr>
                    <w:adjustRightInd w:val="0"/>
                    <w:snapToGrid w:val="0"/>
                    <w:rPr>
                      <w:rFonts w:ascii="Times New Roman" w:hAnsi="Times New Roman" w:eastAsia="宋体" w:cs="Times New Roman"/>
                      <w:kern w:val="0"/>
                      <w:szCs w:val="21"/>
                    </w:rPr>
                  </w:pPr>
                  <w:r>
                    <w:rPr>
                      <w:rFonts w:ascii="Times New Roman" w:hAnsi="Times New Roman" w:eastAsia="宋体" w:cs="Times New Roman"/>
                      <w:kern w:val="0"/>
                      <w:szCs w:val="21"/>
                    </w:rPr>
                    <w:t>本项目产生废水主要为生活废水、地坪冲洗水。</w:t>
                  </w:r>
                </w:p>
                <w:p>
                  <w:pPr>
                    <w:adjustRightInd w:val="0"/>
                    <w:snapToGrid w:val="0"/>
                    <w:ind w:firstLine="420" w:firstLineChars="200"/>
                    <w:rPr>
                      <w:rFonts w:ascii="Times New Roman" w:hAnsi="Times New Roman" w:eastAsia="宋体" w:cs="Times New Roman"/>
                      <w:kern w:val="0"/>
                      <w:szCs w:val="21"/>
                    </w:rPr>
                  </w:pPr>
                  <w:r>
                    <w:t>场地冲洗水经隔油池预处理与其他生活污水一并进入三级化 粪池处理达《污水综合排放标 准标准》(GB8978-1996)中三级 标准后，依托</w:t>
                  </w:r>
                  <w:r>
                    <w:rPr>
                      <w:rFonts w:hint="eastAsia"/>
                    </w:rPr>
                    <w:t>荔波</w:t>
                  </w:r>
                  <w:r>
                    <w:t>县 三荔高速</w:t>
                  </w:r>
                  <w:r>
                    <w:rPr>
                      <w:rFonts w:hint="eastAsia"/>
                    </w:rPr>
                    <w:t>荔波</w:t>
                  </w:r>
                  <w:r>
                    <w:t>服务</w:t>
                  </w:r>
                  <w:r>
                    <w:rPr>
                      <w:rFonts w:hint="eastAsia"/>
                    </w:rPr>
                    <w:t>东</w:t>
                  </w:r>
                  <w:r>
                    <w:t>区污水处理 站处理达到《城镇污水处理 厂污染物排放标准》 (GB18918-2002)一级 B 标准后， 回用于绿化或农灌，不外排</w:t>
                  </w:r>
                </w:p>
              </w:tc>
              <w:tc>
                <w:tcPr>
                  <w:tcW w:w="2361" w:type="dxa"/>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场地冲洗水经隔油池预处理与其他生活废水一并进入三级化粪池处理达</w:t>
                  </w:r>
                  <w:r>
                    <w:t>《污水综合排放标准》(GB8978-1996)三级</w:t>
                  </w:r>
                  <w:r>
                    <w:rPr>
                      <w:rFonts w:hint="eastAsia"/>
                    </w:rPr>
                    <w:t>标准后，依托三荔高速三洞服务区污水处理站处理达</w:t>
                  </w:r>
                  <w:r>
                    <w:t>《</w:t>
                  </w:r>
                  <w:r>
                    <w:rPr>
                      <w:rFonts w:hint="eastAsia"/>
                    </w:rPr>
                    <w:t>城镇污水处理厂污染物</w:t>
                  </w:r>
                  <w:r>
                    <w:t>排放标准》</w:t>
                  </w:r>
                  <w:r>
                    <w:rPr>
                      <w:rFonts w:hint="eastAsia"/>
                    </w:rPr>
                    <w:t>（G</w:t>
                  </w:r>
                  <w:r>
                    <w:t>B18918-2002</w:t>
                  </w:r>
                  <w:r>
                    <w:rPr>
                      <w:rFonts w:hint="eastAsia"/>
                    </w:rPr>
                    <w:t>）一级B标准后，回用于绿化或农灌，禁止未处理达标废水排入外环境。</w:t>
                  </w:r>
                </w:p>
              </w:tc>
              <w:tc>
                <w:tcPr>
                  <w:tcW w:w="3889" w:type="dxa"/>
                  <w:tcBorders>
                    <w:right w:val="nil"/>
                  </w:tcBorders>
                  <w:vAlign w:val="center"/>
                </w:tcPr>
                <w:p>
                  <w:pPr>
                    <w:widowControl/>
                    <w:ind w:firstLine="422" w:firstLineChars="200"/>
                    <w:jc w:val="left"/>
                    <w:rPr>
                      <w:rFonts w:ascii="Times New Roman" w:hAnsi="Times New Roman" w:eastAsia="宋体" w:cs="Times New Roman"/>
                      <w:kern w:val="0"/>
                      <w:szCs w:val="21"/>
                    </w:rPr>
                  </w:pPr>
                  <w:r>
                    <w:rPr>
                      <w:rFonts w:hint="eastAsia" w:ascii="Times New Roman" w:hAnsi="Times New Roman" w:eastAsia="宋体" w:cs="Times New Roman"/>
                      <w:b/>
                      <w:kern w:val="0"/>
                      <w:szCs w:val="21"/>
                    </w:rPr>
                    <w:t>治理措施</w:t>
                  </w:r>
                  <w:r>
                    <w:rPr>
                      <w:rFonts w:hint="eastAsia" w:ascii="Times New Roman" w:hAnsi="Times New Roman" w:eastAsia="宋体" w:cs="Times New Roman"/>
                      <w:kern w:val="0"/>
                      <w:szCs w:val="21"/>
                    </w:rPr>
                    <w:t>：项目区内排水采用雨污分流。</w:t>
                  </w:r>
                </w:p>
                <w:p>
                  <w:pPr>
                    <w:widowControl/>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雨水</w:t>
                  </w:r>
                  <w:r>
                    <w:t>水经落水管流至地面，与地面雨水汇集到排雨水管(400mm*200mm，地面坡度为0.4%)，排出站外；</w:t>
                  </w:r>
                  <w:r>
                    <w:rPr>
                      <w:rFonts w:hint="eastAsia" w:ascii="Times New Roman" w:hAnsi="Times New Roman" w:eastAsia="宋体" w:cs="Times New Roman"/>
                      <w:kern w:val="0"/>
                      <w:szCs w:val="21"/>
                    </w:rPr>
                    <w:t>；</w:t>
                  </w:r>
                </w:p>
                <w:p>
                  <w:pPr>
                    <w:widowControl/>
                    <w:ind w:firstLine="420" w:firstLineChars="200"/>
                    <w:jc w:val="left"/>
                    <w:rPr>
                      <w:rFonts w:ascii="Times New Roman" w:hAnsi="Times New Roman" w:eastAsia="宋体" w:cs="Times New Roman"/>
                      <w:kern w:val="0"/>
                      <w:szCs w:val="21"/>
                    </w:rPr>
                  </w:pPr>
                  <w:r>
                    <w:t>场地冲洗水经隔油池预处理与其他生活污水一并进入三级化粪池处理达《污水综合排放标 准标(GB8978-1996)中三级标准后</w:t>
                  </w:r>
                  <w:r>
                    <w:rPr>
                      <w:rFonts w:hint="eastAsia"/>
                    </w:rPr>
                    <w:t>，收集到一定的量后，由污水处理单位送至污水处理单位处理</w:t>
                  </w:r>
                  <w: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50" w:type="dxa"/>
                  <w:tcBorders>
                    <w:left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废气</w:t>
                  </w:r>
                </w:p>
              </w:tc>
              <w:tc>
                <w:tcPr>
                  <w:tcW w:w="2790" w:type="dxa"/>
                  <w:vAlign w:val="center"/>
                </w:tcPr>
                <w:p>
                  <w:pPr>
                    <w:widowControl/>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运营期大气环境影响主要为油品挥发产生的非甲烷烃类和汽车尾气。储存罐应采用地埋式工艺安放储罐，保持油罐的恒温，减少烃类物质的排放；加强加油站的管理减少汽车滞留时间，加油工人的操作规范教育，减少因人为因素而造成的成品油的损失对大气的影响；并设置油气回收装置，严格管理，提高设备的自动化控制水平。该套油气回收系统的液阻、气液比、密闭性均需达到《加油站大气污染物排放标（GB20952-2007）的要求。</w:t>
                  </w:r>
                </w:p>
              </w:tc>
              <w:tc>
                <w:tcPr>
                  <w:tcW w:w="2361" w:type="dxa"/>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油罐选用双层防渗罐体，油罐区、卸油区隔池、暂存间按照规定配套相关防渗措施，定期巡查维护油罐设施及防渗措施，确保地下水及土壤安全。油罐大小呼吸机、加油作业机等设备配套油气回收装置，并加强油气回收设施设备维护理，保证油气回收设施设备正常运行，油气排放满足《加油站大气污染物排放标准</w:t>
                  </w:r>
                  <w:r>
                    <w:t>》</w:t>
                  </w:r>
                  <w:r>
                    <w:rPr>
                      <w:rFonts w:hint="eastAsia" w:ascii="Times New Roman" w:hAnsi="Times New Roman" w:eastAsia="宋体" w:cs="Times New Roman"/>
                      <w:kern w:val="0"/>
                      <w:szCs w:val="21"/>
                    </w:rPr>
                    <w:t>( GB20952-2007)限值要求。</w:t>
                  </w:r>
                </w:p>
              </w:tc>
              <w:tc>
                <w:tcPr>
                  <w:tcW w:w="3889" w:type="dxa"/>
                  <w:tcBorders>
                    <w:right w:val="nil"/>
                  </w:tcBorders>
                  <w:vAlign w:val="center"/>
                </w:tcPr>
                <w:p>
                  <w:pPr>
                    <w:adjustRightInd w:val="0"/>
                    <w:snapToGrid w:val="0"/>
                    <w:ind w:firstLine="422" w:firstLineChars="200"/>
                    <w:rPr>
                      <w:rFonts w:ascii="Times New Roman" w:hAnsi="Times New Roman" w:cs="Times New Roman"/>
                      <w:szCs w:val="21"/>
                    </w:rPr>
                  </w:pPr>
                  <w:r>
                    <w:rPr>
                      <w:rFonts w:ascii="Times New Roman" w:hAnsi="Times New Roman" w:cs="Times New Roman"/>
                      <w:b/>
                      <w:bCs/>
                      <w:kern w:val="0"/>
                      <w:szCs w:val="21"/>
                    </w:rPr>
                    <w:t>治理措施：</w:t>
                  </w:r>
                  <w:r>
                    <w:rPr>
                      <w:rFonts w:ascii="Times New Roman" w:hAnsi="Times New Roman" w:cs="Times New Roman"/>
                      <w:szCs w:val="21"/>
                    </w:rPr>
                    <w:t>本项目设置油气回收系统，包括卸油油气回收系统和加油油气回收系统。</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pacing w:val="6"/>
                      <w:szCs w:val="21"/>
                    </w:rPr>
                    <w:t>非甲烷总烃类</w:t>
                  </w:r>
                  <w:r>
                    <w:rPr>
                      <w:rFonts w:ascii="Times New Roman" w:hAnsi="Times New Roman" w:cs="Times New Roman"/>
                      <w:szCs w:val="21"/>
                    </w:rPr>
                    <w:t>废气：加油站在汽油系统设密闭卸油油气回收系统、加油油气回收系统及油罐</w:t>
                  </w:r>
                  <w:r>
                    <w:rPr>
                      <w:rFonts w:hint="eastAsia" w:ascii="Times New Roman" w:hAnsi="Times New Roman" w:cs="Times New Roman"/>
                      <w:szCs w:val="21"/>
                    </w:rPr>
                    <w:t>大</w:t>
                  </w:r>
                  <w:r>
                    <w:rPr>
                      <w:rFonts w:ascii="Times New Roman" w:hAnsi="Times New Roman" w:cs="Times New Roman"/>
                      <w:szCs w:val="21"/>
                    </w:rPr>
                    <w:t>小呼吸油气后处理装置，并在通气管管口加装阻火器，对柴油系统设置卸油回气管。这样可以一定程度上减少非甲烷总烃的排放。</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建设项目采用</w:t>
                  </w:r>
                  <w:r>
                    <w:rPr>
                      <w:rFonts w:hint="eastAsia" w:ascii="Times New Roman" w:hAnsi="Times New Roman" w:cs="Times New Roman"/>
                      <w:szCs w:val="21"/>
                    </w:rPr>
                    <w:t>SF双层地埋储罐</w:t>
                  </w:r>
                  <w:r>
                    <w:rPr>
                      <w:rFonts w:ascii="Times New Roman" w:hAnsi="Times New Roman" w:cs="Times New Roman"/>
                      <w:szCs w:val="21"/>
                    </w:rPr>
                    <w:t>，由于该罐密闭型较好，因此储油罐罐室内气温比较稳定，受大气环境稳定影响较小，可减少油罐小呼吸蒸发损耗，延缓油品变质。另外，汽油系统设密闭卸油油气回收系统、加油油气回收系统及油罐小呼吸油气后处理装置，并在通气管管口加装阻火器，对柴油系统设置卸油回气管，这样可以一定程度上减少非甲烷总烃的排放。而且本加油站毗临道路，站址较开阔，空气流动良好，排放的烃类有害物质量较少，经大气扩散后，虽会对周围空气造成轻微污染，但对人体健康造成影响较小。</w:t>
                  </w:r>
                </w:p>
                <w:p>
                  <w:pPr>
                    <w:pStyle w:val="8"/>
                    <w:adjustRightInd w:val="0"/>
                    <w:snapToGrid w:val="0"/>
                    <w:ind w:firstLine="420" w:firstLineChars="200"/>
                    <w:rPr>
                      <w:rFonts w:ascii="Times New Roman" w:hAnsi="Times New Roman" w:cs="Times New Roman"/>
                      <w:sz w:val="21"/>
                      <w:szCs w:val="21"/>
                    </w:rPr>
                  </w:pPr>
                  <w:r>
                    <w:rPr>
                      <w:rFonts w:ascii="Times New Roman" w:hAnsi="Times New Roman" w:cs="Times New Roman"/>
                      <w:sz w:val="21"/>
                      <w:szCs w:val="21"/>
                    </w:rPr>
                    <w:t>（2）对于汽车尾气：本项目通过加强绿化、加油车辆的管理及自然扩散，汽车尾气对环境影响较小。</w:t>
                  </w:r>
                </w:p>
                <w:p>
                  <w:pPr>
                    <w:pStyle w:val="8"/>
                    <w:tabs>
                      <w:tab w:val="left" w:pos="2841"/>
                    </w:tabs>
                    <w:adjustRightInd w:val="0"/>
                    <w:snapToGrid w:val="0"/>
                    <w:ind w:firstLine="420" w:firstLineChars="200"/>
                    <w:rPr>
                      <w:rFonts w:ascii="Times New Roman" w:hAnsi="Times New Roman" w:cs="Times New Roman"/>
                      <w:sz w:val="21"/>
                      <w:szCs w:val="21"/>
                    </w:rPr>
                  </w:pPr>
                  <w:r>
                    <w:rPr>
                      <w:rFonts w:ascii="Times New Roman" w:hAnsi="Times New Roman" w:cs="Times New Roman"/>
                      <w:sz w:val="21"/>
                      <w:szCs w:val="21"/>
                    </w:rPr>
                    <w:t>本项目通过设置油气回收系统、自然扩散、加强绿化及加油车辆管理，项目产生的非甲烷总烃及汽车尾气对环境的影响较小。</w:t>
                  </w:r>
                </w:p>
                <w:p>
                  <w:pPr>
                    <w:widowControl/>
                    <w:ind w:firstLine="420" w:firstLineChars="200"/>
                    <w:jc w:val="left"/>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550" w:type="dxa"/>
                  <w:tcBorders>
                    <w:left w:val="nil"/>
                    <w:bottom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2790" w:type="dxa"/>
                  <w:tcBorders>
                    <w:bottom w:val="single" w:color="auto" w:sz="4" w:space="0"/>
                  </w:tcBorders>
                  <w:vAlign w:val="center"/>
                </w:tcPr>
                <w:p>
                  <w:pPr>
                    <w:pStyle w:val="26"/>
                    <w:keepNext w:val="0"/>
                    <w:autoSpaceDE/>
                    <w:autoSpaceDN/>
                    <w:snapToGrid w:val="0"/>
                    <w:jc w:val="both"/>
                    <w:textAlignment w:val="auto"/>
                    <w:rPr>
                      <w:szCs w:val="21"/>
                    </w:rPr>
                  </w:pPr>
                  <w:r>
                    <w:rPr>
                      <w:rFonts w:hint="eastAsia"/>
                      <w:sz w:val="21"/>
                      <w:szCs w:val="18"/>
                    </w:rPr>
                    <w:t>运</w:t>
                  </w:r>
                  <w:r>
                    <w:rPr>
                      <w:rFonts w:hint="eastAsia"/>
                      <w:sz w:val="21"/>
                      <w:szCs w:val="21"/>
                    </w:rPr>
                    <w:t>营期噪声主要来源于出入加油站的车辆产生的交通噪声，加油机、加油泵运行时产生的设备噪声。通过优先选用低噪声设备、建筑隔声、防振、绿化、消声等措施控制，可以大大降低噪声，对外环境影响小；风机、加油泵采取地埋式安装，通过墙体隔声对外环境影响有限。通过采取有效的降噪措施，加油站厂界噪声可达到《工业企业厂界环境噪声排放标准》（GB12348-2008）可达到2类标准要求</w:t>
                  </w:r>
                </w:p>
              </w:tc>
              <w:tc>
                <w:tcPr>
                  <w:tcW w:w="2361" w:type="dxa"/>
                  <w:tcBorders>
                    <w:bottom w:val="single" w:color="auto" w:sz="4"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选用低噪声设备，采取限速限载，禁止鸣笛，减震、消声、绿化等防治措施减少对周边环境的影响。</w:t>
                  </w:r>
                </w:p>
              </w:tc>
              <w:tc>
                <w:tcPr>
                  <w:tcW w:w="3889" w:type="dxa"/>
                  <w:tcBorders>
                    <w:bottom w:val="single" w:color="auto" w:sz="4" w:space="0"/>
                    <w:right w:val="nil"/>
                  </w:tcBorders>
                  <w:vAlign w:val="center"/>
                </w:tcPr>
                <w:p>
                  <w:pPr>
                    <w:widowControl/>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kern w:val="0"/>
                      <w:szCs w:val="21"/>
                    </w:rPr>
                    <w:t>治理措施</w:t>
                  </w:r>
                  <w:r>
                    <w:rPr>
                      <w:rFonts w:hint="eastAsia" w:ascii="Times New Roman" w:hAnsi="Times New Roman" w:eastAsia="宋体" w:cs="Times New Roman"/>
                      <w:kern w:val="0"/>
                      <w:szCs w:val="21"/>
                    </w:rPr>
                    <w:t>：采用低噪声设备，对泵体等高噪声设备采取隔音降噪；在项目区域内加强交通管理，做好交通疏导，限制进入区域内车辆的车速，同时，禁止在区域内鸣喇叭；备用发电机噪声通过优选低噪声设备、建筑隔声、防振、消声措施控制；站区内、外加强绿化等措施，减小项目产生的噪声对周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550" w:type="dxa"/>
                  <w:tcBorders>
                    <w:top w:val="single" w:color="auto" w:sz="4" w:space="0"/>
                    <w:left w:val="nil"/>
                    <w:bottom w:val="single" w:color="auto" w:sz="12"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固废</w:t>
                  </w:r>
                </w:p>
              </w:tc>
              <w:tc>
                <w:tcPr>
                  <w:tcW w:w="2790" w:type="dxa"/>
                  <w:tcBorders>
                    <w:top w:val="single" w:color="auto" w:sz="4" w:space="0"/>
                    <w:bottom w:val="single" w:color="auto" w:sz="12" w:space="0"/>
                  </w:tcBorders>
                  <w:vAlign w:val="center"/>
                </w:tcPr>
                <w:p>
                  <w:pPr>
                    <w:adjustRightInd w:val="0"/>
                    <w:snapToGrid w:val="0"/>
                    <w:rPr>
                      <w:szCs w:val="21"/>
                    </w:rPr>
                  </w:pPr>
                  <w:r>
                    <w:rPr>
                      <w:rFonts w:hint="eastAsia"/>
                      <w:szCs w:val="21"/>
                    </w:rPr>
                    <w:t>营运期固废主要来源于职工的生活垃圾、化粪池污泥、隔油沉淀池油泥以及油罐油泥等。生活垃圾集中收集后，由当地环卫部门定期清运；隔油沉淀池及储油罐清洗将会产生一定量的油泥，属于</w:t>
                  </w:r>
                  <w:r>
                    <w:rPr>
                      <w:rFonts w:hint="eastAsia"/>
                      <w:szCs w:val="21"/>
                      <w:lang w:val="zh-CN"/>
                    </w:rPr>
                    <w:t>《国家危险废物名录》</w:t>
                  </w:r>
                  <w:r>
                    <w:rPr>
                      <w:rFonts w:hint="eastAsia"/>
                      <w:szCs w:val="21"/>
                    </w:rPr>
                    <w:t>危险废物</w:t>
                  </w:r>
                  <w:r>
                    <w:rPr>
                      <w:rFonts w:hint="eastAsia"/>
                      <w:szCs w:val="21"/>
                      <w:lang w:val="zh-CN"/>
                    </w:rPr>
                    <w:t>HW08废矿物油</w:t>
                  </w:r>
                  <w:r>
                    <w:rPr>
                      <w:rFonts w:hint="eastAsia"/>
                      <w:szCs w:val="21"/>
                    </w:rPr>
                    <w:t>，按照</w:t>
                  </w:r>
                  <w:r>
                    <w:rPr>
                      <w:rFonts w:hint="eastAsia" w:ascii="Times New Roman" w:hAnsi="Times New Roman" w:eastAsia="宋体" w:cs="Times New Roman"/>
                      <w:kern w:val="0"/>
                      <w:szCs w:val="21"/>
                    </w:rPr>
                    <w:t>《危险废物贮存污染控制标准》(GB18597-2001)的有关规定收集，</w:t>
                  </w:r>
                  <w:r>
                    <w:rPr>
                      <w:rFonts w:hint="eastAsia"/>
                      <w:szCs w:val="21"/>
                    </w:rPr>
                    <w:t>集中收集后暂存于不小于100</w:t>
                  </w:r>
                  <w:r>
                    <w:rPr>
                      <w:szCs w:val="21"/>
                    </w:rPr>
                    <w:t>L</w:t>
                  </w:r>
                  <w:r>
                    <w:rPr>
                      <w:rFonts w:hint="eastAsia"/>
                      <w:szCs w:val="21"/>
                    </w:rPr>
                    <w:t>防腐铁桶，定期委托具有危险废物处置资质的单位进行处置。</w:t>
                  </w:r>
                </w:p>
              </w:tc>
              <w:tc>
                <w:tcPr>
                  <w:tcW w:w="2361" w:type="dxa"/>
                  <w:tcBorders>
                    <w:top w:val="single" w:color="auto" w:sz="4" w:space="0"/>
                    <w:bottom w:val="single" w:color="auto" w:sz="12"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固体废物采取分类收集、集中处理。生活垃圾由环卫部门统一处理集中处理。隔油池油泥、储油罐油泥、设备维修产生的废机油等属于危险废物，须按照《危险废物贮存污染控制标准》(GB18597-2001)的有关规定收集、暂存交由有资质的单位进行处置，并按《危险废物转移联单管理办法》进行登记处理。</w:t>
                  </w:r>
                </w:p>
              </w:tc>
              <w:tc>
                <w:tcPr>
                  <w:tcW w:w="3889" w:type="dxa"/>
                  <w:tcBorders>
                    <w:top w:val="single" w:color="auto" w:sz="4" w:space="0"/>
                    <w:bottom w:val="single" w:color="auto" w:sz="12" w:space="0"/>
                    <w:right w:val="nil"/>
                  </w:tcBorders>
                  <w:vAlign w:val="center"/>
                </w:tcPr>
                <w:p>
                  <w:pPr>
                    <w:pStyle w:val="8"/>
                    <w:widowControl/>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加油站运营后产生的生活垃圾，经垃圾桶集中收集后，交由环卫部门处理。</w:t>
                  </w:r>
                </w:p>
                <w:p>
                  <w:pPr>
                    <w:pStyle w:val="8"/>
                    <w:widowControl/>
                    <w:ind w:firstLine="420" w:firstLineChars="200"/>
                    <w:rPr>
                      <w:rFonts w:ascii="Times New Roman" w:hAnsi="Times New Roman" w:eastAsia="宋体" w:cs="Times New Roman"/>
                      <w:szCs w:val="21"/>
                    </w:rPr>
                  </w:pPr>
                  <w:r>
                    <w:rPr>
                      <w:rFonts w:hint="eastAsia" w:ascii="Times New Roman" w:hAnsi="Times New Roman" w:eastAsia="宋体" w:cs="Times New Roman"/>
                      <w:sz w:val="21"/>
                      <w:szCs w:val="21"/>
                    </w:rPr>
                    <w:t>油泥与废机油等危险废物由加油站委托有资质单位对产生的危废进行现场处理，不在加油站场区内贮存。</w:t>
                  </w:r>
                </w:p>
              </w:tc>
            </w:tr>
          </w:tbl>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rPr>
                <w:rFonts w:ascii="Times New Roman" w:hAnsi="Times New Roman" w:cs="Times New Roman"/>
              </w:rPr>
            </w:pPr>
          </w:p>
        </w:tc>
      </w:tr>
    </w:tbl>
    <w:p>
      <w:pPr>
        <w:pageBreakBefore/>
        <w:kinsoku w:val="0"/>
        <w:overflowPunct w:val="0"/>
        <w:autoSpaceDE w:val="0"/>
        <w:autoSpaceDN w:val="0"/>
        <w:spacing w:before="156" w:beforeLines="50" w:line="360" w:lineRule="auto"/>
        <w:outlineLvl w:val="0"/>
        <w:rPr>
          <w:rFonts w:ascii="Times New Roman" w:hAnsi="Times New Roman" w:eastAsia="宋体" w:cs="Times New Roman"/>
          <w:sz w:val="28"/>
          <w:szCs w:val="28"/>
        </w:rPr>
      </w:pPr>
      <w:bookmarkStart w:id="60" w:name="_Toc2089"/>
      <w:r>
        <w:rPr>
          <w:rFonts w:ascii="Times New Roman" w:hAnsi="Times New Roman" w:cs="Times New Roman"/>
          <w:b/>
          <w:sz w:val="28"/>
          <w:szCs w:val="28"/>
        </w:rPr>
        <w:t xml:space="preserve">表九  </w:t>
      </w:r>
      <w:r>
        <w:rPr>
          <w:rFonts w:ascii="Times New Roman" w:hAnsi="Times New Roman" w:eastAsia="宋体" w:cs="Times New Roman"/>
          <w:b/>
          <w:sz w:val="28"/>
          <w:szCs w:val="28"/>
        </w:rPr>
        <w:t>验收监测结论及建议</w:t>
      </w:r>
      <w:bookmarkEnd w:id="58"/>
      <w:bookmarkEnd w:id="59"/>
      <w:bookmarkEnd w:id="60"/>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6" w:hRule="atLeast"/>
          <w:jc w:val="center"/>
        </w:trPr>
        <w:tc>
          <w:tcPr>
            <w:tcW w:w="9288" w:type="dxa"/>
          </w:tcPr>
          <w:p>
            <w:pPr>
              <w:tabs>
                <w:tab w:val="left" w:pos="395"/>
              </w:tabs>
              <w:spacing w:line="360" w:lineRule="auto"/>
              <w:rPr>
                <w:rFonts w:ascii="Times New Roman" w:hAnsi="Times New Roman" w:eastAsia="宋体" w:cs="Times New Roman"/>
                <w:b/>
                <w:bCs/>
                <w:sz w:val="28"/>
                <w:szCs w:val="28"/>
              </w:rPr>
            </w:pPr>
            <w:bookmarkStart w:id="61" w:name="_Toc19036"/>
            <w:r>
              <w:rPr>
                <w:rFonts w:ascii="Times New Roman" w:hAnsi="Times New Roman" w:cs="Times New Roman"/>
                <w:b/>
                <w:bCs/>
                <w:sz w:val="28"/>
                <w:szCs w:val="28"/>
              </w:rPr>
              <w:t>9</w:t>
            </w:r>
            <w:r>
              <w:rPr>
                <w:rFonts w:ascii="Times New Roman" w:hAnsi="Times New Roman" w:eastAsia="宋体" w:cs="Times New Roman"/>
                <w:b/>
                <w:bCs/>
                <w:sz w:val="28"/>
                <w:szCs w:val="28"/>
              </w:rPr>
              <w:t>.1</w:t>
            </w:r>
            <w:r>
              <w:rPr>
                <w:rFonts w:ascii="Times New Roman" w:hAnsi="Times New Roman" w:cs="Times New Roman"/>
                <w:b/>
                <w:bCs/>
                <w:sz w:val="28"/>
                <w:szCs w:val="28"/>
              </w:rPr>
              <w:t>、</w:t>
            </w:r>
            <w:r>
              <w:rPr>
                <w:rFonts w:ascii="Times New Roman" w:hAnsi="Times New Roman" w:eastAsia="宋体" w:cs="Times New Roman"/>
                <w:b/>
                <w:bCs/>
                <w:sz w:val="28"/>
                <w:szCs w:val="28"/>
              </w:rPr>
              <w:t>验收监测结论：</w:t>
            </w:r>
            <w:bookmarkEnd w:id="61"/>
          </w:p>
          <w:p>
            <w:pPr>
              <w:tabs>
                <w:tab w:val="left" w:pos="395"/>
              </w:tabs>
              <w:spacing w:line="360" w:lineRule="auto"/>
              <w:ind w:firstLine="480" w:firstLineChars="200"/>
              <w:rPr>
                <w:rFonts w:ascii="Times New Roman" w:hAnsi="Times New Roman" w:eastAsia="宋体" w:cs="Times New Roman"/>
                <w:b/>
                <w:sz w:val="24"/>
              </w:rPr>
            </w:pPr>
            <w:bookmarkStart w:id="62" w:name="_Toc18451"/>
            <w:r>
              <w:rPr>
                <w:rFonts w:hint="eastAsia" w:ascii="Times New Roman" w:hAnsi="Times New Roman" w:cs="Times New Roman"/>
                <w:sz w:val="24"/>
              </w:rPr>
              <w:t>中海油贵州销售有限公司三荔高速荔波西加油站建设项目</w:t>
            </w:r>
            <w:r>
              <w:rPr>
                <w:rFonts w:ascii="Times New Roman" w:hAnsi="Times New Roman" w:cs="Times New Roman"/>
                <w:sz w:val="24"/>
              </w:rPr>
              <w:t>执行了国家有关环境保护法律法规，环境保护审批手续齐全，履行了环境影响评价制度，通过对该项目进行竣工环境保护验收监测及检查，得出以下结论：</w:t>
            </w:r>
          </w:p>
          <w:p>
            <w:pPr>
              <w:spacing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（1）废水</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项目区内排水采用雨污分流。</w:t>
            </w:r>
          </w:p>
          <w:p>
            <w:pPr>
              <w:spacing w:line="360" w:lineRule="auto"/>
              <w:ind w:firstLine="480" w:firstLineChars="200"/>
              <w:rPr>
                <w:rFonts w:ascii="Times New Roman" w:hAnsi="Times New Roman" w:cs="Times New Roman"/>
                <w:sz w:val="24"/>
              </w:rPr>
            </w:pPr>
            <w:r>
              <w:rPr>
                <w:rFonts w:hint="eastAsia" w:ascii="Times New Roman" w:hAnsi="Times New Roman" w:eastAsia="宋体" w:cs="Times New Roman"/>
                <w:sz w:val="24"/>
              </w:rPr>
              <w:t>雨水经雨水收集管收集排出项目区外；</w:t>
            </w:r>
            <w:r>
              <w:rPr>
                <w:sz w:val="24"/>
              </w:rPr>
              <w:t>场地冲洗水经隔油池预处理与其他生活污水一并进入三级化粪池处理达《污水综合排放标 准标(GB8978-1996)中三级标准后，</w:t>
            </w:r>
            <w:r>
              <w:rPr>
                <w:rFonts w:hint="eastAsia"/>
                <w:sz w:val="24"/>
              </w:rPr>
              <w:t>委托污水处理单位送至污水处理单位处理，</w:t>
            </w:r>
            <w:r>
              <w:rPr>
                <w:sz w:val="24"/>
              </w:rPr>
              <w:t>不外排</w:t>
            </w:r>
            <w:r>
              <w:rPr>
                <w:rFonts w:hint="eastAsia" w:ascii="Times New Roman" w:hAnsi="Times New Roman" w:eastAsia="宋体" w:cs="Times New Roman"/>
                <w:sz w:val="24"/>
              </w:rPr>
              <w:t>。</w:t>
            </w:r>
          </w:p>
          <w:p>
            <w:pPr>
              <w:spacing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（2）废气</w:t>
            </w:r>
          </w:p>
          <w:p>
            <w:pPr>
              <w:tabs>
                <w:tab w:val="right" w:leader="dot" w:pos="8640"/>
              </w:tabs>
              <w:spacing w:line="360" w:lineRule="auto"/>
              <w:ind w:right="-21" w:rightChars="-10" w:firstLine="480" w:firstLineChars="200"/>
              <w:rPr>
                <w:rFonts w:ascii="Times New Roman" w:hAnsi="Times New Roman" w:eastAsia="宋体" w:cs="Times New Roman"/>
                <w:b/>
                <w:sz w:val="24"/>
              </w:rPr>
            </w:pPr>
            <w:r>
              <w:rPr>
                <w:rFonts w:ascii="Times New Roman" w:hAnsi="Times New Roman" w:cs="Times New Roman"/>
                <w:sz w:val="24"/>
              </w:rPr>
              <w:t>监测结果表明：验收监测期间，本项目无组织排放废气中的非甲烷总烃浓度满足《大气污染物综合排放标准》（GB16297-1996）表2中无组织排放标准要求。</w:t>
            </w:r>
          </w:p>
          <w:p>
            <w:pPr>
              <w:tabs>
                <w:tab w:val="right" w:leader="dot" w:pos="8640"/>
              </w:tabs>
              <w:spacing w:line="360" w:lineRule="auto"/>
              <w:ind w:right="-21" w:rightChars="-10" w:firstLine="482" w:firstLineChars="200"/>
              <w:rPr>
                <w:rFonts w:ascii="Times New Roman" w:hAnsi="Times New Roman" w:eastAsia="宋体" w:cs="Times New Roman"/>
                <w:b/>
                <w:sz w:val="24"/>
              </w:rPr>
            </w:pPr>
            <w:r>
              <w:rPr>
                <w:rFonts w:ascii="Times New Roman" w:hAnsi="Times New Roman" w:eastAsia="宋体" w:cs="Times New Roman"/>
                <w:b/>
                <w:sz w:val="24"/>
              </w:rPr>
              <w:t>（3）噪声</w:t>
            </w:r>
          </w:p>
          <w:p>
            <w:pPr>
              <w:spacing w:line="360" w:lineRule="auto"/>
              <w:ind w:firstLine="480" w:firstLineChars="200"/>
              <w:rPr>
                <w:rFonts w:ascii="Times New Roman" w:hAnsi="Times New Roman" w:eastAsia="宋体" w:cs="Times New Roman"/>
                <w:b/>
                <w:sz w:val="24"/>
              </w:rPr>
            </w:pPr>
            <w:r>
              <w:rPr>
                <w:rFonts w:ascii="Times New Roman" w:hAnsi="Times New Roman" w:cs="Times New Roman"/>
                <w:sz w:val="24"/>
              </w:rPr>
              <w:t>监测结果表明：验收监测期间，</w:t>
            </w:r>
            <w:r>
              <w:rPr>
                <w:rFonts w:ascii="Times New Roman" w:hAnsi="Times New Roman" w:eastAsia="宋体" w:cs="Times New Roman"/>
                <w:sz w:val="24"/>
              </w:rPr>
              <w:t>项目</w:t>
            </w:r>
            <w:r>
              <w:rPr>
                <w:rFonts w:hint="eastAsia" w:ascii="Times New Roman" w:hAnsi="Times New Roman" w:eastAsia="宋体" w:cs="Times New Roman"/>
                <w:sz w:val="24"/>
              </w:rPr>
              <w:t>东、</w:t>
            </w:r>
            <w:r>
              <w:rPr>
                <w:rFonts w:ascii="Times New Roman" w:hAnsi="Times New Roman" w:cs="Times New Roman"/>
                <w:sz w:val="24"/>
              </w:rPr>
              <w:t>南、西、北</w:t>
            </w:r>
            <w:r>
              <w:rPr>
                <w:rFonts w:ascii="Times New Roman" w:hAnsi="Times New Roman" w:eastAsia="宋体" w:cs="Times New Roman"/>
                <w:sz w:val="24"/>
              </w:rPr>
              <w:t>厂界噪声昼</w:t>
            </w:r>
            <w:r>
              <w:rPr>
                <w:rFonts w:hint="eastAsia" w:ascii="Times New Roman" w:hAnsi="Times New Roman" w:eastAsia="宋体" w:cs="Times New Roman"/>
                <w:sz w:val="24"/>
              </w:rPr>
              <w:t>、夜</w:t>
            </w:r>
            <w:r>
              <w:rPr>
                <w:rFonts w:ascii="Times New Roman" w:hAnsi="Times New Roman" w:eastAsia="宋体" w:cs="Times New Roman"/>
                <w:sz w:val="24"/>
              </w:rPr>
              <w:t>间监测值</w:t>
            </w:r>
            <w:r>
              <w:rPr>
                <w:rFonts w:hint="eastAsia" w:ascii="Times New Roman" w:hAnsi="Times New Roman" w:eastAsia="宋体" w:cs="Times New Roman"/>
                <w:sz w:val="24"/>
              </w:rPr>
              <w:t>均能</w:t>
            </w:r>
            <w:r>
              <w:rPr>
                <w:rFonts w:ascii="Times New Roman" w:hAnsi="Times New Roman" w:eastAsia="宋体" w:cs="Times New Roman"/>
                <w:sz w:val="24"/>
              </w:rPr>
              <w:t>满足《工业企业厂界环境噪声排放标准》（GB 12348-2008）中</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及4a</w:t>
            </w:r>
            <w:r>
              <w:rPr>
                <w:rFonts w:ascii="Times New Roman" w:hAnsi="Times New Roman" w:eastAsia="宋体" w:cs="Times New Roman"/>
                <w:sz w:val="24"/>
              </w:rPr>
              <w:t>标准的要求</w:t>
            </w:r>
            <w:r>
              <w:rPr>
                <w:rFonts w:ascii="Times New Roman" w:hAnsi="Times New Roman" w:cs="Times New Roman"/>
                <w:sz w:val="24"/>
              </w:rPr>
              <w:t>。</w:t>
            </w:r>
          </w:p>
          <w:p>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（4）固体废弃物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加油站运营后产生的生活垃圾，经垃圾桶集中收集后，交由环卫部门处理。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油泥与废机油等危险废物由加油站委托有资质单位对产生的危废进行现场处理，不在加油站场区内贮存。</w:t>
            </w:r>
          </w:p>
          <w:p>
            <w:pPr>
              <w:spacing w:line="360" w:lineRule="auto"/>
              <w:ind w:left="420" w:leftChars="200"/>
              <w:rPr>
                <w:rFonts w:ascii="Times New Roman" w:hAnsi="Times New Roman" w:cs="Times New Roman"/>
                <w:sz w:val="24"/>
              </w:rPr>
            </w:pPr>
            <w:r>
              <w:rPr>
                <w:rFonts w:ascii="Times New Roman" w:hAnsi="Times New Roman" w:eastAsia="宋体" w:cs="Times New Roman"/>
                <w:b/>
                <w:bCs/>
                <w:sz w:val="24"/>
              </w:rPr>
              <w:t>（5）污染物排放总量</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本项目未设置污染物排放总量指标</w:t>
            </w:r>
            <w:r>
              <w:rPr>
                <w:rFonts w:hint="eastAsia" w:ascii="Times New Roman" w:hAnsi="Times New Roman" w:cs="Times New Roman"/>
                <w:bCs/>
                <w:sz w:val="24"/>
              </w:rPr>
              <w:t>。</w:t>
            </w:r>
          </w:p>
          <w:p>
            <w:pPr>
              <w:spacing w:line="360" w:lineRule="auto"/>
              <w:rPr>
                <w:rFonts w:ascii="Times New Roman" w:hAnsi="Times New Roman" w:eastAsia="宋体" w:cs="Times New Roman"/>
                <w:b/>
                <w:sz w:val="28"/>
                <w:szCs w:val="28"/>
              </w:rPr>
            </w:pPr>
            <w:r>
              <w:rPr>
                <w:rFonts w:ascii="Times New Roman" w:hAnsi="Times New Roman" w:cs="Times New Roman"/>
                <w:b/>
                <w:sz w:val="28"/>
                <w:szCs w:val="28"/>
              </w:rPr>
              <w:t>9</w:t>
            </w:r>
            <w:r>
              <w:rPr>
                <w:rFonts w:ascii="Times New Roman" w:hAnsi="Times New Roman" w:eastAsia="宋体" w:cs="Times New Roman"/>
                <w:b/>
                <w:sz w:val="28"/>
                <w:szCs w:val="28"/>
              </w:rPr>
              <w:t>.2</w:t>
            </w:r>
            <w:r>
              <w:rPr>
                <w:rFonts w:ascii="Times New Roman" w:hAnsi="Times New Roman" w:cs="Times New Roman"/>
                <w:b/>
                <w:sz w:val="28"/>
                <w:szCs w:val="28"/>
              </w:rPr>
              <w:t>、</w:t>
            </w:r>
            <w:r>
              <w:rPr>
                <w:rFonts w:hint="eastAsia" w:ascii="Times New Roman" w:hAnsi="Times New Roman" w:cs="Times New Roman"/>
                <w:b/>
                <w:sz w:val="28"/>
                <w:szCs w:val="28"/>
              </w:rPr>
              <w:t>要求及</w:t>
            </w:r>
            <w:r>
              <w:rPr>
                <w:rFonts w:ascii="Times New Roman" w:hAnsi="Times New Roman" w:eastAsia="宋体" w:cs="Times New Roman"/>
                <w:b/>
                <w:sz w:val="28"/>
                <w:szCs w:val="28"/>
              </w:rPr>
              <w:t>建议</w:t>
            </w:r>
            <w:bookmarkEnd w:id="62"/>
          </w:p>
          <w:p>
            <w:pPr>
              <w:spacing w:before="156" w:beforeLines="50" w:line="360" w:lineRule="auto"/>
              <w:ind w:firstLine="480" w:firstLineChars="200"/>
              <w:outlineLvl w:val="0"/>
              <w:rPr>
                <w:rFonts w:ascii="Times New Roman" w:hAnsi="Times New Roman" w:cs="Times New Roman"/>
                <w:sz w:val="24"/>
              </w:rPr>
            </w:pPr>
            <w:bookmarkStart w:id="63" w:name="_Toc8701"/>
            <w:bookmarkStart w:id="64" w:name="_Toc7543"/>
            <w:bookmarkStart w:id="65" w:name="_Toc1131"/>
            <w:bookmarkStart w:id="66" w:name="_Toc2288"/>
            <w:r>
              <w:rPr>
                <w:rFonts w:ascii="Times New Roman" w:hAnsi="Times New Roman" w:cs="Times New Roman"/>
                <w:sz w:val="24"/>
              </w:rPr>
              <w:t>（1）严格遵守国家和地方的有关环保法律、法规，并落实报告表中提出的各项污染防治措施，实现污染物达标排放。</w:t>
            </w:r>
            <w:bookmarkEnd w:id="63"/>
            <w:bookmarkEnd w:id="64"/>
            <w:bookmarkEnd w:id="65"/>
            <w:bookmarkEnd w:id="66"/>
          </w:p>
          <w:p>
            <w:pPr>
              <w:spacing w:before="156" w:beforeLines="50"/>
              <w:ind w:firstLine="480" w:firstLineChars="200"/>
              <w:outlineLvl w:val="0"/>
              <w:rPr>
                <w:rFonts w:ascii="Times New Roman" w:hAnsi="Times New Roman" w:cs="Times New Roman"/>
                <w:sz w:val="24"/>
              </w:rPr>
            </w:pPr>
            <w:bookmarkStart w:id="67" w:name="_Toc17074"/>
            <w:bookmarkStart w:id="68" w:name="_Toc19503"/>
            <w:bookmarkStart w:id="69" w:name="_Toc25057"/>
            <w:bookmarkStart w:id="70" w:name="_Toc1901"/>
            <w:r>
              <w:rPr>
                <w:rFonts w:ascii="Times New Roman" w:hAnsi="Times New Roman" w:cs="Times New Roman"/>
                <w:sz w:val="24"/>
              </w:rPr>
              <w:t>（2）建议对工作人员进行专业的环保知识培训，加强环保意识。</w:t>
            </w:r>
            <w:bookmarkEnd w:id="67"/>
            <w:bookmarkEnd w:id="68"/>
            <w:bookmarkEnd w:id="69"/>
            <w:bookmarkEnd w:id="70"/>
          </w:p>
          <w:p>
            <w:pPr>
              <w:spacing w:before="156" w:beforeLines="50"/>
              <w:ind w:firstLine="480" w:firstLineChars="200"/>
              <w:outlineLvl w:val="0"/>
              <w:rPr>
                <w:rFonts w:ascii="Times New Roman" w:hAnsi="Times New Roman" w:cs="Times New Roman"/>
                <w:color w:val="000000" w:themeColor="text1"/>
                <w:sz w:val="24"/>
              </w:rPr>
            </w:pPr>
            <w:bookmarkStart w:id="71" w:name="_Toc6143"/>
            <w:bookmarkStart w:id="72" w:name="_Toc21958"/>
            <w:bookmarkStart w:id="73" w:name="_Toc26541"/>
            <w:bookmarkStart w:id="74" w:name="_Toc17305"/>
            <w:r>
              <w:rPr>
                <w:rFonts w:ascii="Times New Roman" w:hAnsi="Times New Roman" w:cs="Times New Roman"/>
                <w:sz w:val="24"/>
              </w:rPr>
              <w:t>（3）加强</w:t>
            </w:r>
            <w:r>
              <w:rPr>
                <w:rFonts w:hint="eastAsia" w:ascii="Times New Roman" w:hAnsi="Times New Roman" w:cs="Times New Roman"/>
                <w:sz w:val="24"/>
              </w:rPr>
              <w:t>项目区域</w:t>
            </w:r>
            <w:r>
              <w:rPr>
                <w:rFonts w:ascii="Times New Roman" w:hAnsi="Times New Roman" w:cs="Times New Roman"/>
                <w:color w:val="000000" w:themeColor="text1"/>
                <w:sz w:val="24"/>
              </w:rPr>
              <w:t>管理建设，使厂区工作环境保持干净整洁。</w:t>
            </w:r>
            <w:bookmarkEnd w:id="71"/>
            <w:bookmarkEnd w:id="72"/>
            <w:bookmarkEnd w:id="73"/>
            <w:bookmarkEnd w:id="74"/>
          </w:p>
          <w:p>
            <w:pPr>
              <w:spacing w:before="156" w:beforeLines="50"/>
              <w:ind w:firstLine="480" w:firstLineChars="200"/>
              <w:outlineLvl w:val="0"/>
              <w:rPr>
                <w:rFonts w:ascii="Times New Roman" w:hAnsi="Times New Roman" w:cs="Times New Roman"/>
                <w:color w:val="000000" w:themeColor="text1"/>
                <w:sz w:val="24"/>
              </w:rPr>
            </w:pPr>
            <w:bookmarkStart w:id="75" w:name="_Toc17679"/>
            <w:bookmarkStart w:id="76" w:name="_Toc25887"/>
            <w:bookmarkStart w:id="77" w:name="_Toc6359"/>
            <w:bookmarkStart w:id="78" w:name="_Toc32030"/>
            <w:r>
              <w:rPr>
                <w:rFonts w:ascii="Times New Roman" w:hAnsi="Times New Roman" w:cs="Times New Roman"/>
                <w:color w:val="000000" w:themeColor="text1"/>
                <w:sz w:val="24"/>
              </w:rPr>
              <w:t>（4）建立完整的环保手续档案。</w:t>
            </w:r>
            <w:bookmarkEnd w:id="75"/>
            <w:bookmarkEnd w:id="76"/>
            <w:bookmarkEnd w:id="77"/>
            <w:bookmarkEnd w:id="78"/>
          </w:p>
          <w:p>
            <w:pPr>
              <w:spacing w:before="156" w:beforeLines="50"/>
              <w:ind w:firstLine="480" w:firstLineChars="200"/>
              <w:outlineLvl w:val="0"/>
              <w:rPr>
                <w:rFonts w:ascii="Times New Roman" w:hAnsi="Times New Roman" w:cs="Times New Roman"/>
                <w:color w:val="000000" w:themeColor="text1"/>
                <w:sz w:val="24"/>
              </w:rPr>
            </w:pPr>
            <w:bookmarkStart w:id="79" w:name="_Toc28859"/>
            <w:bookmarkStart w:id="80" w:name="_Toc32316"/>
            <w:r>
              <w:rPr>
                <w:rFonts w:ascii="Times New Roman" w:hAnsi="Times New Roman" w:cs="Times New Roman"/>
                <w:color w:val="000000" w:themeColor="text1"/>
                <w:sz w:val="24"/>
              </w:rPr>
              <w:t>（5）加强</w:t>
            </w:r>
            <w:r>
              <w:rPr>
                <w:rFonts w:hint="eastAsia" w:ascii="Times New Roman" w:hAnsi="Times New Roman" w:cs="Times New Roman"/>
                <w:color w:val="000000" w:themeColor="text1"/>
                <w:sz w:val="24"/>
              </w:rPr>
              <w:t>项目区域</w:t>
            </w:r>
            <w:r>
              <w:rPr>
                <w:rFonts w:ascii="Times New Roman" w:hAnsi="Times New Roman" w:cs="Times New Roman"/>
                <w:color w:val="000000" w:themeColor="text1"/>
                <w:sz w:val="24"/>
              </w:rPr>
              <w:t>绿化</w:t>
            </w:r>
            <w:r>
              <w:rPr>
                <w:rFonts w:hint="eastAsia" w:ascii="Times New Roman" w:hAnsi="Times New Roman" w:cs="Times New Roman"/>
                <w:color w:val="000000" w:themeColor="text1"/>
                <w:sz w:val="24"/>
              </w:rPr>
              <w:t>维护</w:t>
            </w:r>
            <w:r>
              <w:rPr>
                <w:rFonts w:ascii="Times New Roman" w:hAnsi="Times New Roman" w:cs="Times New Roman"/>
                <w:color w:val="000000" w:themeColor="text1"/>
                <w:sz w:val="24"/>
              </w:rPr>
              <w:t>。</w:t>
            </w:r>
            <w:bookmarkEnd w:id="79"/>
            <w:bookmarkEnd w:id="80"/>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6</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完善油罐区双层罐或防渗池、隔油池、危废暂存间等</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7</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加强项目环保管理工作，完善环境保护管理规章制度</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8</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加强环保设施的运行管理和日常维护</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9</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加强危险废物管理，建立健全相关管理制度及管理档案</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10</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进一步落实环境风险防范措施（设施），定期开展环境应急演练，提高应对突发环境风险事件的能力</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p>
          <w:p>
            <w:pPr>
              <w:spacing w:before="156" w:beforeLines="50"/>
              <w:ind w:firstLine="480" w:firstLineChars="200"/>
              <w:outlineLvl w:val="0"/>
              <w:rPr>
                <w:rFonts w:ascii="Times New Roman" w:hAnsi="Times New Roman" w:cs="Times New Roman"/>
                <w:color w:val="000000" w:themeColor="text1"/>
                <w:sz w:val="24"/>
              </w:rPr>
            </w:pPr>
          </w:p>
          <w:p>
            <w:pPr>
              <w:spacing w:before="156" w:beforeLines="50"/>
              <w:ind w:firstLine="562" w:firstLineChars="200"/>
              <w:outlineLvl w:val="0"/>
              <w:rPr>
                <w:rFonts w:ascii="Times New Roman" w:hAnsi="Times New Roman" w:cs="Times New Roman"/>
                <w:b/>
                <w:bCs/>
                <w:sz w:val="28"/>
                <w:szCs w:val="28"/>
              </w:rPr>
            </w:pPr>
          </w:p>
        </w:tc>
      </w:tr>
    </w:tbl>
    <w:p/>
    <w:p>
      <w:pPr>
        <w:spacing w:before="156" w:beforeLines="50"/>
        <w:outlineLvl w:val="0"/>
        <w:rPr>
          <w:rFonts w:ascii="Times New Roman" w:hAnsi="Times New Roman" w:cs="Times New Roman"/>
          <w:b/>
          <w:bCs/>
          <w:sz w:val="28"/>
          <w:szCs w:val="28"/>
        </w:rPr>
        <w:sectPr>
          <w:headerReference r:id="rId6" w:type="default"/>
          <w:footerReference r:id="rId7" w:type="default"/>
          <w:pgSz w:w="11850" w:h="16783"/>
          <w:pgMar w:top="1440" w:right="1080" w:bottom="1440" w:left="1080" w:header="851" w:footer="992" w:gutter="0"/>
          <w:pgNumType w:start="1"/>
          <w:cols w:space="425" w:num="1"/>
          <w:docGrid w:type="lines" w:linePitch="312" w:charSpace="0"/>
        </w:sectPr>
      </w:pPr>
      <w:bookmarkStart w:id="81" w:name="_Toc14546"/>
    </w:p>
    <w:p>
      <w:pPr>
        <w:spacing w:before="156" w:beforeLines="50"/>
        <w:outlineLvl w:val="0"/>
        <w:rPr>
          <w:rFonts w:ascii="Times New Roman" w:hAnsi="Times New Roman" w:eastAsia="宋体" w:cs="Times New Roman"/>
          <w:b/>
          <w:bCs/>
          <w:sz w:val="28"/>
          <w:szCs w:val="28"/>
        </w:rPr>
      </w:pPr>
      <w:bookmarkStart w:id="82" w:name="_Toc21693"/>
      <w:r>
        <w:rPr>
          <w:rFonts w:ascii="Times New Roman" w:hAnsi="Times New Roman" w:cs="Times New Roman"/>
          <w:b/>
          <w:bCs/>
          <w:sz w:val="28"/>
          <w:szCs w:val="28"/>
        </w:rPr>
        <w:t xml:space="preserve">表十  </w:t>
      </w:r>
      <w:r>
        <w:rPr>
          <w:rFonts w:ascii="Times New Roman" w:hAnsi="Times New Roman" w:eastAsia="宋体" w:cs="Times New Roman"/>
          <w:b/>
          <w:bCs/>
          <w:sz w:val="28"/>
          <w:szCs w:val="28"/>
        </w:rPr>
        <w:t>附件</w:t>
      </w:r>
      <w:bookmarkEnd w:id="81"/>
      <w:r>
        <w:rPr>
          <w:rFonts w:ascii="Times New Roman" w:hAnsi="Times New Roman" w:cs="Times New Roman"/>
          <w:b/>
          <w:bCs/>
          <w:sz w:val="28"/>
          <w:szCs w:val="28"/>
        </w:rPr>
        <w:t>、附图</w:t>
      </w:r>
      <w:bookmarkEnd w:id="82"/>
      <w:r>
        <w:rPr>
          <w:rFonts w:ascii="Times New Roman" w:hAnsi="Times New Roman" w:cs="Times New Roman"/>
          <w:b/>
          <w:bCs/>
          <w:sz w:val="28"/>
          <w:szCs w:val="28"/>
        </w:rPr>
        <w:t>及附表</w:t>
      </w:r>
    </w:p>
    <w:tbl>
      <w:tblPr>
        <w:tblStyle w:val="16"/>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906" w:type="dxa"/>
          </w:tcPr>
          <w:p>
            <w:pPr>
              <w:rPr>
                <w:rFonts w:ascii="Times New Roman" w:hAnsi="Times New Roman" w:cs="Times New Roman"/>
                <w:b/>
                <w:bCs/>
                <w:sz w:val="24"/>
              </w:rPr>
            </w:pPr>
            <w:r>
              <w:rPr>
                <w:rFonts w:ascii="Times New Roman" w:hAnsi="Times New Roman" w:cs="Times New Roman"/>
                <w:b/>
                <w:bCs/>
                <w:sz w:val="24"/>
              </w:rPr>
              <w:t>附件</w:t>
            </w:r>
            <w:r>
              <w:rPr>
                <w:rFonts w:hint="eastAsia" w:ascii="Times New Roman" w:hAnsi="Times New Roman" w:cs="Times New Roman"/>
                <w:b/>
                <w:bCs/>
                <w:sz w:val="24"/>
              </w:rPr>
              <w:t>1</w:t>
            </w:r>
            <w:r>
              <w:rPr>
                <w:rFonts w:ascii="Times New Roman" w:hAnsi="Times New Roman" w:cs="Times New Roman"/>
                <w:b/>
                <w:bCs/>
                <w:sz w:val="24"/>
              </w:rPr>
              <w:t>：环评</w:t>
            </w:r>
            <w:r>
              <w:rPr>
                <w:rFonts w:hint="eastAsia" w:ascii="Times New Roman" w:hAnsi="Times New Roman" w:cs="Times New Roman"/>
                <w:b/>
                <w:bCs/>
                <w:sz w:val="24"/>
              </w:rPr>
              <w:t>及环评</w:t>
            </w:r>
            <w:r>
              <w:rPr>
                <w:rFonts w:ascii="Times New Roman" w:hAnsi="Times New Roman" w:cs="Times New Roman"/>
                <w:b/>
                <w:bCs/>
                <w:sz w:val="24"/>
              </w:rPr>
              <w:t>批复</w:t>
            </w:r>
          </w:p>
          <w:p>
            <w:pPr>
              <w:pStyle w:val="5"/>
              <w:jc w:val="center"/>
              <w:outlineLvl w:val="3"/>
              <w:rPr>
                <w:rFonts w:ascii="Times New Roman" w:hAnsi="Times New Roman" w:cs="Times New Roman"/>
                <w:bCs/>
                <w:color w:val="FF0000"/>
                <w:sz w:val="24"/>
              </w:rPr>
            </w:pPr>
            <w:r>
              <w:rPr>
                <w:rFonts w:ascii="宋体" w:hAnsi="宋体" w:eastAsia="宋体" w:cs="宋体"/>
                <w:kern w:val="0"/>
                <w:sz w:val="24"/>
              </w:rPr>
              <w:drawing>
                <wp:anchor distT="0" distB="0" distL="114300" distR="114300" simplePos="0" relativeHeight="251658240" behindDoc="1" locked="0" layoutInCell="1" allowOverlap="1">
                  <wp:simplePos x="0" y="0"/>
                  <wp:positionH relativeFrom="page">
                    <wp:posOffset>-298450</wp:posOffset>
                  </wp:positionH>
                  <wp:positionV relativeFrom="page">
                    <wp:posOffset>-157480</wp:posOffset>
                  </wp:positionV>
                  <wp:extent cx="6153150" cy="8698865"/>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53150" cy="8698865"/>
                          </a:xfrm>
                          <a:prstGeom prst="rect">
                            <a:avLst/>
                          </a:prstGeom>
                          <a:noFill/>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r>
              <w:rPr>
                <w:rFonts w:ascii="宋体" w:hAnsi="宋体" w:eastAsia="宋体" w:cs="宋体"/>
                <w:kern w:val="0"/>
                <w:sz w:val="24"/>
              </w:rPr>
              <w:drawing>
                <wp:anchor distT="0" distB="0" distL="114300" distR="114300" simplePos="0" relativeHeight="251659264" behindDoc="1" locked="0" layoutInCell="1" allowOverlap="1">
                  <wp:simplePos x="0" y="0"/>
                  <wp:positionH relativeFrom="page">
                    <wp:posOffset>-298450</wp:posOffset>
                  </wp:positionH>
                  <wp:positionV relativeFrom="page">
                    <wp:posOffset>-157480</wp:posOffset>
                  </wp:positionV>
                  <wp:extent cx="6153150" cy="8698865"/>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53150" cy="8698865"/>
                          </a:xfrm>
                          <a:prstGeom prst="rect">
                            <a:avLst/>
                          </a:prstGeom>
                          <a:noFill/>
                        </pic:spPr>
                      </pic:pic>
                    </a:graphicData>
                  </a:graphic>
                </wp:anchor>
              </w:drawing>
            </w: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tc>
      </w:tr>
    </w:tbl>
    <w:p>
      <w:pPr>
        <w:rPr>
          <w:rFonts w:ascii="Times New Roman" w:hAnsi="Times New Roman" w:cs="Times New Roman"/>
        </w:rPr>
        <w:sectPr>
          <w:pgSz w:w="11850" w:h="16783"/>
          <w:pgMar w:top="1440" w:right="1080" w:bottom="1440" w:left="1080" w:header="851" w:footer="992" w:gutter="0"/>
          <w:cols w:space="425" w:num="1"/>
          <w:docGrid w:type="lines" w:linePitch="312" w:charSpace="0"/>
        </w:sectPr>
      </w:pPr>
    </w:p>
    <w:p>
      <w:pPr>
        <w:jc w:val="center"/>
      </w:pPr>
    </w:p>
    <w:p>
      <w:r>
        <w:rPr>
          <w:rFonts w:ascii="宋体" w:hAnsi="宋体" w:eastAsia="宋体" w:cs="宋体"/>
          <w:kern w:val="0"/>
          <w:sz w:val="24"/>
        </w:rPr>
        <w:drawing>
          <wp:anchor distT="0" distB="0" distL="114300" distR="114300" simplePos="0" relativeHeight="251653120" behindDoc="0" locked="0" layoutInCell="1" allowOverlap="1">
            <wp:simplePos x="0" y="0"/>
            <wp:positionH relativeFrom="column">
              <wp:posOffset>160020</wp:posOffset>
            </wp:positionH>
            <wp:positionV relativeFrom="paragraph">
              <wp:posOffset>240030</wp:posOffset>
            </wp:positionV>
            <wp:extent cx="8092440" cy="489204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t="3494" b="4959"/>
                    <a:stretch>
                      <a:fillRect/>
                    </a:stretch>
                  </pic:blipFill>
                  <pic:spPr>
                    <a:xfrm>
                      <a:off x="0" y="0"/>
                      <a:ext cx="8092440" cy="4892040"/>
                    </a:xfrm>
                    <a:prstGeom prst="rect">
                      <a:avLst/>
                    </a:prstGeom>
                    <a:noFill/>
                    <a:ln>
                      <a:noFill/>
                    </a:ln>
                  </pic:spPr>
                </pic:pic>
              </a:graphicData>
            </a:graphic>
          </wp:anchor>
        </w:drawing>
      </w:r>
    </w:p>
    <w:p/>
    <w:p>
      <w:pPr>
        <w:tabs>
          <w:tab w:val="left" w:pos="5382"/>
        </w:tabs>
        <w:rPr>
          <w:sz w:val="28"/>
          <w:szCs w:val="28"/>
        </w:rPr>
      </w:pPr>
      <w:r>
        <w:tab/>
      </w:r>
      <w:r>
        <w:rPr>
          <w:rFonts w:hint="eastAsia"/>
        </w:rPr>
        <w:t xml:space="preserve">附图一 </w:t>
      </w:r>
      <w:r>
        <w:rPr>
          <w:rFonts w:hint="eastAsia"/>
          <w:sz w:val="28"/>
          <w:szCs w:val="28"/>
        </w:rPr>
        <w:t>项目地理位置图</w:t>
      </w:r>
    </w:p>
    <w:p>
      <w:r>
        <w:drawing>
          <wp:anchor distT="0" distB="0" distL="114300" distR="114300" simplePos="0" relativeHeight="251656192" behindDoc="0" locked="0" layoutInCell="1" allowOverlap="1">
            <wp:simplePos x="0" y="0"/>
            <wp:positionH relativeFrom="column">
              <wp:posOffset>571500</wp:posOffset>
            </wp:positionH>
            <wp:positionV relativeFrom="paragraph">
              <wp:posOffset>224790</wp:posOffset>
            </wp:positionV>
            <wp:extent cx="7749540" cy="4709160"/>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49540" cy="4709160"/>
                    </a:xfrm>
                    <a:prstGeom prst="rect">
                      <a:avLst/>
                    </a:prstGeom>
                  </pic:spPr>
                </pic:pic>
              </a:graphicData>
            </a:graphic>
          </wp:anchor>
        </w:drawing>
      </w:r>
    </w:p>
    <w:p/>
    <w:p/>
    <w:p>
      <w:pPr>
        <w:tabs>
          <w:tab w:val="left" w:pos="4542"/>
        </w:tabs>
        <w:rPr>
          <w:sz w:val="28"/>
          <w:szCs w:val="28"/>
        </w:rPr>
      </w:pPr>
      <w:r>
        <w:tab/>
      </w:r>
      <w:r>
        <w:rPr>
          <w:rFonts w:hint="eastAsia"/>
          <w:sz w:val="28"/>
          <w:szCs w:val="28"/>
        </w:rPr>
        <w:t xml:space="preserve">附图二 </w:t>
      </w:r>
      <w:r>
        <w:rPr>
          <w:sz w:val="28"/>
          <w:szCs w:val="28"/>
        </w:rPr>
        <w:t xml:space="preserve"> </w:t>
      </w:r>
      <w:r>
        <w:rPr>
          <w:rFonts w:hint="eastAsia"/>
          <w:sz w:val="28"/>
          <w:szCs w:val="28"/>
        </w:rPr>
        <w:t>项目区域水系图</w:t>
      </w:r>
    </w:p>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8793480" cy="538734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8811188" cy="5398189"/>
                    </a:xfrm>
                    <a:prstGeom prst="rect">
                      <a:avLst/>
                    </a:prstGeom>
                    <a:noFill/>
                    <a:ln>
                      <a:noFill/>
                    </a:ln>
                  </pic:spPr>
                </pic:pic>
              </a:graphicData>
            </a:graphic>
          </wp:inline>
        </w:drawing>
      </w:r>
    </w:p>
    <w:p>
      <w:pPr>
        <w:rPr>
          <w:rFonts w:ascii="宋体" w:hAnsi="宋体" w:eastAsia="宋体" w:cs="宋体"/>
          <w:kern w:val="0"/>
          <w:sz w:val="24"/>
        </w:rPr>
      </w:pPr>
    </w:p>
    <w:p>
      <w:pPr>
        <w:tabs>
          <w:tab w:val="left" w:pos="4068"/>
        </w:tabs>
        <w:rPr>
          <w:rFonts w:ascii="宋体" w:hAnsi="宋体" w:eastAsia="宋体" w:cs="宋体"/>
          <w:kern w:val="0"/>
          <w:sz w:val="24"/>
        </w:rPr>
      </w:pPr>
      <w:r>
        <w:rPr>
          <w:rFonts w:ascii="宋体" w:hAnsi="宋体" w:eastAsia="宋体" w:cs="宋体"/>
          <w:kern w:val="0"/>
          <w:sz w:val="24"/>
        </w:rPr>
        <w:tab/>
      </w:r>
      <w:r>
        <w:rPr>
          <w:rFonts w:hint="eastAsia" w:ascii="宋体" w:hAnsi="宋体" w:eastAsia="宋体" w:cs="宋体"/>
          <w:kern w:val="0"/>
          <w:sz w:val="24"/>
        </w:rPr>
        <w:t xml:space="preserve">附图三 </w:t>
      </w:r>
      <w:r>
        <w:rPr>
          <w:rFonts w:ascii="宋体" w:hAnsi="宋体" w:eastAsia="宋体" w:cs="宋体"/>
          <w:kern w:val="0"/>
          <w:sz w:val="24"/>
        </w:rPr>
        <w:t xml:space="preserve">  </w:t>
      </w:r>
      <w:r>
        <w:rPr>
          <w:rFonts w:hint="eastAsia" w:ascii="宋体" w:hAnsi="宋体" w:eastAsia="宋体" w:cs="宋体"/>
          <w:kern w:val="0"/>
          <w:sz w:val="24"/>
        </w:rPr>
        <w:t>项目与周边敏感目标关系图</w:t>
      </w:r>
    </w:p>
    <w:p>
      <w:pPr>
        <w:widowControl/>
        <w:jc w:val="left"/>
        <w:rPr>
          <w:rFonts w:ascii="宋体" w:hAnsi="宋体" w:eastAsia="宋体" w:cs="宋体"/>
          <w:kern w:val="0"/>
          <w:sz w:val="24"/>
        </w:rPr>
      </w:pPr>
    </w:p>
    <w:p>
      <w:pPr>
        <w:widowControl/>
        <w:jc w:val="left"/>
        <w:rPr>
          <w:rFonts w:ascii="宋体" w:hAnsi="宋体" w:eastAsia="宋体" w:cs="宋体"/>
          <w:kern w:val="0"/>
          <w:sz w:val="24"/>
        </w:rPr>
      </w:pPr>
      <w:r>
        <w:drawing>
          <wp:anchor distT="0" distB="0" distL="114300" distR="114300" simplePos="0" relativeHeight="251660288" behindDoc="0" locked="0" layoutInCell="1" allowOverlap="1">
            <wp:simplePos x="0" y="0"/>
            <wp:positionH relativeFrom="column">
              <wp:posOffset>742950</wp:posOffset>
            </wp:positionH>
            <wp:positionV relativeFrom="paragraph">
              <wp:posOffset>342900</wp:posOffset>
            </wp:positionV>
            <wp:extent cx="7194550" cy="4146550"/>
            <wp:effectExtent l="0" t="0" r="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cstate="print">
                      <a:extLst>
                        <a:ext uri="{28A0092B-C50C-407E-A947-70E740481C1C}">
                          <a14:useLocalDpi xmlns:a14="http://schemas.microsoft.com/office/drawing/2010/main" val="0"/>
                        </a:ext>
                      </a:extLst>
                    </a:blip>
                    <a:srcRect l="16014" t="11975" r="17437" b="8535"/>
                    <a:stretch>
                      <a:fillRect/>
                    </a:stretch>
                  </pic:blipFill>
                  <pic:spPr>
                    <a:xfrm>
                      <a:off x="0" y="0"/>
                      <a:ext cx="7194550" cy="4146550"/>
                    </a:xfrm>
                    <a:prstGeom prst="rect">
                      <a:avLst/>
                    </a:prstGeom>
                    <a:ln>
                      <a:noFill/>
                    </a:ln>
                  </pic:spPr>
                </pic:pic>
              </a:graphicData>
            </a:graphic>
          </wp:anchor>
        </w:drawing>
      </w: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tabs>
          <w:tab w:val="left" w:pos="4068"/>
        </w:tabs>
        <w:rPr>
          <w:sz w:val="28"/>
          <w:szCs w:val="28"/>
        </w:rPr>
        <w:sectPr>
          <w:pgSz w:w="16783" w:h="11850" w:orient="landscape"/>
          <w:pgMar w:top="1080" w:right="1440" w:bottom="1080" w:left="1440" w:header="851" w:footer="992" w:gutter="0"/>
          <w:cols w:space="425" w:num="1"/>
          <w:docGrid w:type="lines" w:linePitch="312" w:charSpace="0"/>
        </w:sectPr>
      </w:pPr>
      <w:r>
        <w:t xml:space="preserve">                                       </w:t>
      </w:r>
      <w:r>
        <w:rPr>
          <w:sz w:val="24"/>
        </w:rPr>
        <w:t xml:space="preserve"> </w:t>
      </w:r>
      <w:r>
        <w:rPr>
          <w:rFonts w:hint="eastAsia"/>
          <w:sz w:val="24"/>
        </w:rPr>
        <w:t xml:space="preserve">附图四 </w:t>
      </w:r>
      <w:r>
        <w:rPr>
          <w:sz w:val="24"/>
        </w:rPr>
        <w:t xml:space="preserve"> </w:t>
      </w:r>
      <w:r>
        <w:t xml:space="preserve">  </w:t>
      </w:r>
      <w:r>
        <w:rPr>
          <w:sz w:val="28"/>
          <w:szCs w:val="28"/>
        </w:rPr>
        <w:t xml:space="preserve"> </w:t>
      </w:r>
      <w:r>
        <w:rPr>
          <w:rFonts w:hint="eastAsia"/>
          <w:sz w:val="28"/>
          <w:szCs w:val="28"/>
        </w:rPr>
        <w:t>项目总的平面布置图</w:t>
      </w:r>
      <w:r>
        <w:rPr>
          <w:sz w:val="28"/>
          <w:szCs w:val="28"/>
        </w:rPr>
        <w:tab/>
      </w:r>
    </w:p>
    <w:p>
      <w:pPr>
        <w:jc w:val="center"/>
        <w:rPr>
          <w:rFonts w:ascii="宋体" w:hAnsi="宋体" w:eastAsia="宋体" w:cs="宋体"/>
          <w:kern w:val="0"/>
          <w:sz w:val="24"/>
        </w:rPr>
      </w:pPr>
    </w:p>
    <w:p>
      <w:pPr>
        <w:jc w:val="center"/>
        <w:rPr>
          <w:rFonts w:ascii="宋体" w:hAnsi="宋体" w:eastAsia="宋体" w:cs="宋体"/>
          <w:kern w:val="0"/>
          <w:sz w:val="24"/>
        </w:rPr>
      </w:pPr>
      <w:r>
        <w:drawing>
          <wp:inline distT="0" distB="0" distL="0" distR="0">
            <wp:extent cx="7181850" cy="48133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cstate="print"/>
                    <a:srcRect l="27260" t="19631" r="28289" b="23320"/>
                    <a:stretch>
                      <a:fillRect/>
                    </a:stretch>
                  </pic:blipFill>
                  <pic:spPr>
                    <a:xfrm>
                      <a:off x="0" y="0"/>
                      <a:ext cx="7181850" cy="4813300"/>
                    </a:xfrm>
                    <a:prstGeom prst="rect">
                      <a:avLst/>
                    </a:prstGeom>
                    <a:ln>
                      <a:noFill/>
                    </a:ln>
                  </pic:spPr>
                </pic:pic>
              </a:graphicData>
            </a:graphic>
          </wp:inline>
        </w:drawing>
      </w:r>
    </w:p>
    <w:p/>
    <w:p>
      <w:pPr>
        <w:widowControl/>
        <w:jc w:val="left"/>
        <w:rPr>
          <w:rFonts w:ascii="宋体" w:hAnsi="宋体" w:eastAsia="宋体" w:cs="宋体"/>
          <w:kern w:val="0"/>
          <w:sz w:val="24"/>
        </w:rPr>
      </w:pPr>
    </w:p>
    <w:p>
      <w:pPr>
        <w:ind w:firstLine="5040" w:firstLineChars="1800"/>
        <w:rPr>
          <w:sz w:val="28"/>
          <w:szCs w:val="28"/>
        </w:rPr>
      </w:pPr>
      <w:r>
        <w:rPr>
          <w:rFonts w:hint="eastAsia"/>
          <w:sz w:val="28"/>
          <w:szCs w:val="28"/>
        </w:rPr>
        <w:t xml:space="preserve">附图五 </w:t>
      </w:r>
      <w:r>
        <w:rPr>
          <w:sz w:val="28"/>
          <w:szCs w:val="28"/>
        </w:rPr>
        <w:t xml:space="preserve"> </w:t>
      </w:r>
      <w:r>
        <w:rPr>
          <w:rFonts w:hint="eastAsia"/>
          <w:sz w:val="28"/>
          <w:szCs w:val="28"/>
        </w:rPr>
        <w:t>项目分区防渗图</w:t>
      </w:r>
    </w:p>
    <w:p>
      <w:pPr>
        <w:widowControl/>
        <w:jc w:val="left"/>
        <w:rPr>
          <w:rFonts w:eastAsia="宋体"/>
          <w:szCs w:val="20"/>
        </w:rPr>
        <w:sectPr>
          <w:pgSz w:w="16783" w:h="11850" w:orient="landscape"/>
          <w:pgMar w:top="1080" w:right="1440" w:bottom="1080" w:left="1440" w:header="851" w:footer="992" w:gutter="0"/>
          <w:cols w:space="425" w:num="1"/>
          <w:docGrid w:type="lines" w:linePitch="312" w:charSpace="0"/>
        </w:sectPr>
      </w:pPr>
    </w:p>
    <w:p>
      <w:pPr>
        <w:widowControl/>
        <w:jc w:val="left"/>
        <w:rPr>
          <w:rFonts w:eastAsia="宋体"/>
          <w:szCs w:val="20"/>
        </w:rPr>
      </w:pPr>
    </w:p>
    <w:p>
      <w:pPr>
        <w:ind w:firstLine="3780" w:firstLineChars="1800"/>
      </w:pPr>
      <w:r>
        <w:t xml:space="preserve">                    </w:t>
      </w:r>
    </w:p>
    <w:p>
      <w:pPr>
        <w:pStyle w:val="6"/>
        <w:ind w:firstLine="0" w:firstLineChars="0"/>
        <w:jc w:val="center"/>
      </w:pPr>
      <w:r>
        <w:pict>
          <v:shape id="_x0000_s1089" o:spid="_x0000_s1089" o:spt="32" type="#_x0000_t32" style="position:absolute;left:0pt;flip:x y;margin-left:481.95pt;margin-top:234.95pt;height:33pt;width:51pt;z-index:251667456;mso-width-relative:page;mso-height-relative:page;" o:connectortype="straight" filled="f" coordsize="21600,21600">
            <v:path arrowok="t"/>
            <v:fill on="f" focussize="0,0"/>
            <v:stroke endarrow="block"/>
            <v:imagedata o:title=""/>
            <o:lock v:ext="edit"/>
          </v:shape>
        </w:pict>
      </w:r>
      <w:r>
        <w:drawing>
          <wp:inline distT="0" distB="0" distL="114300" distR="114300">
            <wp:extent cx="7696200" cy="4295775"/>
            <wp:effectExtent l="0" t="0" r="0"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7696200" cy="4295775"/>
                    </a:xfrm>
                    <a:prstGeom prst="rect">
                      <a:avLst/>
                    </a:prstGeom>
                    <a:noFill/>
                    <a:ln>
                      <a:noFill/>
                    </a:ln>
                  </pic:spPr>
                </pic:pic>
              </a:graphicData>
            </a:graphic>
          </wp:inline>
        </w:drawing>
      </w:r>
      <w:r>
        <w:pict>
          <v:rect id="_x0000_s1092" o:spid="_x0000_s1092" o:spt="1" style="position:absolute;left:0pt;margin-left:488.4pt;margin-top:212.45pt;height:25.2pt;width:60pt;z-index:251668480;mso-width-relative:page;mso-height-relative:page;" stroked="t" coordsize="21600,21600">
            <v:path/>
            <v:fill focussize="0,0"/>
            <v:stroke color="#FFFFFF"/>
            <v:imagedata o:title=""/>
            <o:lock v:ext="edit"/>
            <v:textbox>
              <w:txbxContent>
                <w:p>
                  <w:r>
                    <w:rPr>
                      <w:rFonts w:hint="eastAsia"/>
                    </w:rPr>
                    <w:t>风向</w:t>
                  </w:r>
                </w:p>
              </w:txbxContent>
            </v:textbox>
          </v:rect>
        </w:pict>
      </w:r>
    </w:p>
    <w:p>
      <w:pPr>
        <w:jc w:val="center"/>
        <w:rPr>
          <w:b/>
          <w:sz w:val="24"/>
        </w:rPr>
      </w:pPr>
    </w:p>
    <w:p>
      <w:pPr>
        <w:jc w:val="center"/>
        <w:rPr>
          <w:b/>
          <w:sz w:val="24"/>
        </w:rPr>
      </w:pPr>
    </w:p>
    <w:p>
      <w:pPr>
        <w:jc w:val="center"/>
        <w:rPr>
          <w:b/>
          <w:sz w:val="24"/>
        </w:rPr>
      </w:pPr>
    </w:p>
    <w:p>
      <w:pPr>
        <w:ind w:firstLine="4578" w:firstLineChars="1900"/>
        <w:rPr>
          <w:b/>
          <w:sz w:val="24"/>
        </w:rPr>
      </w:pPr>
      <w:r>
        <w:rPr>
          <w:rFonts w:hint="eastAsia"/>
          <w:b/>
          <w:sz w:val="24"/>
        </w:rPr>
        <w:t xml:space="preserve">附图六 </w:t>
      </w:r>
      <w:r>
        <w:rPr>
          <w:b/>
          <w:sz w:val="24"/>
        </w:rPr>
        <w:t xml:space="preserve">  </w:t>
      </w:r>
      <w:r>
        <w:rPr>
          <w:rFonts w:hint="eastAsia"/>
          <w:b/>
          <w:sz w:val="24"/>
        </w:rPr>
        <w:t xml:space="preserve"> 项目验收监测布点图</w:t>
      </w:r>
    </w:p>
    <w:p>
      <w:pPr>
        <w:pStyle w:val="6"/>
        <w:ind w:firstLine="0" w:firstLineChars="0"/>
        <w:jc w:val="center"/>
      </w:pPr>
    </w:p>
    <w:p>
      <w:pPr>
        <w:pStyle w:val="6"/>
        <w:ind w:firstLine="0" w:firstLineChars="0"/>
        <w:sectPr>
          <w:pgSz w:w="16783" w:h="11850" w:orient="landscape"/>
          <w:pgMar w:top="1080" w:right="1440" w:bottom="1080" w:left="1440" w:header="851" w:footer="992" w:gutter="0"/>
          <w:cols w:space="425" w:num="1"/>
          <w:docGrid w:type="lines" w:linePitch="312" w:charSpace="0"/>
        </w:sectPr>
      </w:pPr>
    </w:p>
    <w:p>
      <w:pPr>
        <w:pStyle w:val="8"/>
        <w:rPr>
          <w:rFonts w:ascii="Times New Roman" w:hAnsi="Times New Roman" w:cs="Times New Roman"/>
        </w:rPr>
      </w:pPr>
    </w:p>
    <w:p>
      <w:pPr>
        <w:pStyle w:val="8"/>
        <w:rPr>
          <w:rFonts w:ascii="Times New Roman" w:hAnsi="Times New Roman" w:cs="Times New Roman"/>
        </w:rPr>
      </w:pPr>
      <w:r>
        <w:rPr>
          <w:rFonts w:ascii="Times New Roman" w:hAnsi="Times New Roman" w:eastAsia="宋体" w:cs="Times New Roman"/>
          <w:b/>
          <w:sz w:val="21"/>
          <w:szCs w:val="24"/>
        </w:rPr>
        <w:pict>
          <v:shape id="_x0000_s1080" o:spid="_x0000_s1080" o:spt="202" type="#_x0000_t202" style="position:absolute;left:0pt;margin-left:-17.65pt;margin-top:5.25pt;height:26.25pt;width:1157.6pt;z-index:251662336;mso-width-relative:page;mso-height-relative:page;" filled="f" stroked="f" coordsize="21600,21600" o:gfxdata="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dUoeY2AAAAAoBAAAPAAAAAAAA&#10;AAEAIAAAACIAAABkcnMvZG93bnJldi54bWxQSwECFAAUAAAACACHTuJAN/2kbqABAAAaAwAADgAA&#10;AAAAAAABACAAAAAnAQAAZHJzL2Uyb0RvYy54bWxQSwUGAAAAAAYABgBZAQAAOQUAAAAA&#10;">
            <v:path/>
            <v:fill on="f" focussize="0,0"/>
            <v:stroke on="f" joinstyle="miter"/>
            <v:imagedata o:title=""/>
            <o:lock v:ext="edit"/>
            <v:textbox>
              <w:txbxContent>
                <w:p>
                  <w:pPr>
                    <w:ind w:firstLine="199" w:firstLineChars="90"/>
                    <w:rPr>
                      <w:sz w:val="22"/>
                    </w:rPr>
                  </w:pPr>
                  <w:r>
                    <w:rPr>
                      <w:rFonts w:hint="eastAsia" w:eastAsia="宋体"/>
                      <w:b/>
                      <w:sz w:val="22"/>
                    </w:rPr>
                    <w:t>填表单位（盖章）：中海油贵州销售有限公司三荔高速荔波西加油站                    填表人（签字）：                                                  项目经办人（签字）：</w:t>
                  </w:r>
                </w:p>
              </w:txbxContent>
            </v:textbox>
          </v:shape>
        </w:pict>
      </w:r>
    </w:p>
    <w:p>
      <w:pPr>
        <w:pStyle w:val="8"/>
        <w:rPr>
          <w:rFonts w:ascii="Times New Roman" w:hAnsi="Times New Roman" w:cs="Times New Roman"/>
        </w:rPr>
      </w:pPr>
    </w:p>
    <w:tbl>
      <w:tblPr>
        <w:tblStyle w:val="15"/>
        <w:tblW w:w="219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
        <w:gridCol w:w="372"/>
        <w:gridCol w:w="1838"/>
        <w:gridCol w:w="981"/>
        <w:gridCol w:w="758"/>
        <w:gridCol w:w="2235"/>
        <w:gridCol w:w="529"/>
        <w:gridCol w:w="433"/>
        <w:gridCol w:w="1584"/>
        <w:gridCol w:w="73"/>
        <w:gridCol w:w="532"/>
        <w:gridCol w:w="642"/>
        <w:gridCol w:w="1128"/>
        <w:gridCol w:w="1217"/>
        <w:gridCol w:w="2975"/>
        <w:gridCol w:w="1843"/>
        <w:gridCol w:w="1681"/>
        <w:gridCol w:w="1380"/>
        <w:gridCol w:w="1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exact"/>
          <w:jc w:val="center"/>
        </w:trPr>
        <w:tc>
          <w:tcPr>
            <w:tcW w:w="524" w:type="dxa"/>
            <w:vMerge w:val="restart"/>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建设项目</w:t>
            </w: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rPr>
              <w:pict>
                <v:shape id="_x0000_s1081" o:spid="_x0000_s1081" o:spt="202" type="#_x0000_t202" style="position:absolute;left:0pt;margin-left:76.45pt;margin-top:-47.1pt;height:26.25pt;width:815.25pt;z-index:251661312;mso-width-relative:page;mso-height-relative:page;" filled="f" stroked="f" coordsize="21600,21600" o:gfxdata="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MqaKdkAAAAMAQAADwAAAAAA&#10;AAABACAAAAAiAAAAZHJzL2Rvd25yZXYueG1sUEsBAhQAFAAAAAgAh07iQMooxFmgAQAAGgMAAA4A&#10;AAAAAAAAAQAgAAAAKAEAAGRycy9lMm9Eb2MueG1sUEsFBgAAAAAGAAYAWQEAADoFAAAAAA==&#10;">
                  <v:path/>
                  <v:fill on="f" focussize="0,0"/>
                  <v:stroke on="f" joinstyle="miter"/>
                  <v:imagedata o:title=""/>
                  <o:lock v:ext="edit"/>
                  <v:textbox>
                    <w:txbxContent>
                      <w:p>
                        <w:pPr>
                          <w:jc w:val="center"/>
                          <w:rPr>
                            <w:rFonts w:eastAsia="宋体"/>
                            <w:b/>
                          </w:rPr>
                        </w:pPr>
                        <w:r>
                          <w:rPr>
                            <w:rFonts w:hint="eastAsia" w:eastAsia="宋体"/>
                            <w:b/>
                          </w:rPr>
                          <w:t>建设项目工程竣工环境保护“三同时”验收登记表</w:t>
                        </w:r>
                      </w:p>
                    </w:txbxContent>
                  </v:textbox>
                </v:shape>
              </w:pict>
            </w:r>
            <w:r>
              <w:rPr>
                <w:rFonts w:ascii="Times New Roman" w:hAnsi="Times New Roman" w:eastAsia="宋体" w:cs="Times New Roman"/>
                <w:b/>
                <w:sz w:val="18"/>
                <w:szCs w:val="18"/>
              </w:rPr>
              <w:t>项目名称</w:t>
            </w:r>
          </w:p>
        </w:tc>
        <w:tc>
          <w:tcPr>
            <w:tcW w:w="6144" w:type="dxa"/>
            <w:gridSpan w:val="7"/>
            <w:vAlign w:val="center"/>
          </w:tcPr>
          <w:p>
            <w:pPr>
              <w:keepLines/>
              <w:rPr>
                <w:rFonts w:ascii="Times New Roman" w:hAnsi="Times New Roman" w:eastAsia="宋体" w:cs="Times New Roman"/>
                <w:bCs/>
                <w:sz w:val="18"/>
                <w:szCs w:val="18"/>
              </w:rPr>
            </w:pPr>
            <w:r>
              <w:rPr>
                <w:rFonts w:hint="eastAsia" w:eastAsia="宋体"/>
                <w:bCs/>
                <w:sz w:val="18"/>
                <w:szCs w:val="18"/>
              </w:rPr>
              <w:t>中海油贵州销售有限公司三荔高速荔波西</w:t>
            </w:r>
            <w:r>
              <w:rPr>
                <w:rFonts w:hint="eastAsia" w:ascii="Times New Roman" w:hAnsi="Times New Roman" w:eastAsia="宋体" w:cs="Times New Roman"/>
                <w:bCs/>
                <w:sz w:val="18"/>
                <w:szCs w:val="18"/>
              </w:rPr>
              <w:t>加油站建设项目</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项目代码</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建设地点</w:t>
            </w:r>
          </w:p>
        </w:tc>
        <w:tc>
          <w:tcPr>
            <w:tcW w:w="4236" w:type="dxa"/>
            <w:gridSpan w:val="3"/>
            <w:vAlign w:val="center"/>
          </w:tcPr>
          <w:p>
            <w:pPr>
              <w:rPr>
                <w:rFonts w:ascii="Times New Roman" w:hAnsi="Times New Roman" w:eastAsia="宋体" w:cs="Times New Roman"/>
                <w:bCs/>
                <w:sz w:val="18"/>
                <w:szCs w:val="18"/>
              </w:rPr>
            </w:pPr>
            <w:r>
              <w:rPr>
                <w:sz w:val="18"/>
                <w:szCs w:val="18"/>
              </w:rPr>
              <w:t>贵州省黔南州荔波县三荔高速荔波服务区</w:t>
            </w:r>
            <w:r>
              <w:rPr>
                <w:rFonts w:hint="eastAsia"/>
                <w:sz w:val="18"/>
                <w:szCs w:val="18"/>
              </w:rPr>
              <w:t>西</w:t>
            </w:r>
            <w:r>
              <w:rPr>
                <w:sz w:val="18"/>
                <w:szCs w:val="18"/>
              </w:rPr>
              <w:t>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行业类别（分类管理名录）</w:t>
            </w:r>
          </w:p>
        </w:tc>
        <w:tc>
          <w:tcPr>
            <w:tcW w:w="6144" w:type="dxa"/>
            <w:gridSpan w:val="7"/>
            <w:vAlign w:val="center"/>
          </w:tcPr>
          <w:p>
            <w:pPr>
              <w:snapToGrid w:val="0"/>
              <w:rPr>
                <w:rFonts w:ascii="Times New Roman" w:hAnsi="Times New Roman" w:eastAsia="宋体" w:cs="Times New Roman"/>
                <w:sz w:val="18"/>
                <w:szCs w:val="18"/>
              </w:rPr>
            </w:pPr>
            <w:r>
              <w:rPr>
                <w:rFonts w:ascii="Times New Roman" w:hAnsi="Times New Roman" w:eastAsia="宋体" w:cs="Times New Roman"/>
                <w:sz w:val="18"/>
                <w:szCs w:val="18"/>
              </w:rPr>
              <w:t>机动车燃料零售F5264</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建设性质</w:t>
            </w:r>
          </w:p>
        </w:tc>
        <w:tc>
          <w:tcPr>
            <w:tcW w:w="9054" w:type="dxa"/>
            <w:gridSpan w:val="5"/>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sym w:font="Wingdings 2" w:char="0052"/>
            </w:r>
            <w:r>
              <w:rPr>
                <w:rFonts w:ascii="Times New Roman" w:hAnsi="Times New Roman" w:eastAsia="宋体" w:cs="Times New Roman"/>
                <w:b/>
                <w:sz w:val="18"/>
                <w:szCs w:val="18"/>
              </w:rPr>
              <w:t xml:space="preserve">新建  </w:t>
            </w:r>
            <w:r>
              <w:rPr>
                <w:rFonts w:ascii="Times New Roman" w:hAnsi="Times New Roman" w:cs="Times New Roman"/>
                <w:b/>
                <w:sz w:val="18"/>
                <w:szCs w:val="18"/>
              </w:rPr>
              <w:t>□</w:t>
            </w:r>
            <w:r>
              <w:rPr>
                <w:rFonts w:ascii="Times New Roman" w:hAnsi="Times New Roman" w:eastAsia="宋体" w:cs="Times New Roman"/>
                <w:b/>
                <w:sz w:val="18"/>
                <w:szCs w:val="18"/>
              </w:rPr>
              <w:t>改扩建  □技术改造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设计生产能力</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实际生产能力</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环评单位</w:t>
            </w:r>
          </w:p>
        </w:tc>
        <w:tc>
          <w:tcPr>
            <w:tcW w:w="4236" w:type="dxa"/>
            <w:gridSpan w:val="3"/>
            <w:vAlign w:val="center"/>
          </w:tcPr>
          <w:p>
            <w:pPr>
              <w:rPr>
                <w:rFonts w:ascii="Times New Roman" w:hAnsi="Times New Roman" w:eastAsia="宋体" w:cs="Times New Roman"/>
                <w:sz w:val="18"/>
                <w:szCs w:val="18"/>
              </w:rPr>
            </w:pPr>
            <w:r>
              <w:rPr>
                <w:sz w:val="18"/>
                <w:szCs w:val="18"/>
              </w:rPr>
              <w:t>贵州怡宁环保咨询有限公司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环评文件审批机关</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黔南州生态环境局</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审批文号</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黔南环审[2019]5</w:t>
            </w:r>
            <w:r>
              <w:rPr>
                <w:rFonts w:ascii="Times New Roman" w:hAnsi="Times New Roman" w:eastAsia="宋体" w:cs="Times New Roman"/>
                <w:sz w:val="18"/>
                <w:szCs w:val="18"/>
              </w:rPr>
              <w:t>0</w:t>
            </w:r>
            <w:r>
              <w:rPr>
                <w:rFonts w:hint="eastAsia" w:ascii="Times New Roman" w:hAnsi="Times New Roman" w:eastAsia="宋体" w:cs="Times New Roman"/>
                <w:sz w:val="18"/>
                <w:szCs w:val="18"/>
              </w:rPr>
              <w:t>号</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环评文件类型</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环境影响报告表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开工日期</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2019年08月</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竣工日期</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2019年10月</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排污许可证申领时间</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环保设施设计单位</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环保设施施工单位</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本工程排污许可证编号</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验收单位</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贵州明德工程咨询有限公司</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环保设施监测单位</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贵州明德工程咨询有限公司</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验收监测时工况</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75%以上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投资总概算（万元）</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4700</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环保投资总概算（万元）</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52.3</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所占比例（%）</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实际总投资（万元）</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4700</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实际环保投资（万元）</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52.3</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所占比例（%）</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废水治理（万元）</w:t>
            </w:r>
          </w:p>
        </w:tc>
        <w:tc>
          <w:tcPr>
            <w:tcW w:w="758"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235"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废气治理（万元）</w:t>
            </w:r>
          </w:p>
        </w:tc>
        <w:tc>
          <w:tcPr>
            <w:tcW w:w="529"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090"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噪声治理（万元）</w:t>
            </w:r>
          </w:p>
        </w:tc>
        <w:tc>
          <w:tcPr>
            <w:tcW w:w="532"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固废废物治理（万元）</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绿化及生态（万元）</w:t>
            </w:r>
          </w:p>
        </w:tc>
        <w:tc>
          <w:tcPr>
            <w:tcW w:w="1681"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380"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其他（万元）</w:t>
            </w:r>
          </w:p>
        </w:tc>
        <w:tc>
          <w:tcPr>
            <w:tcW w:w="11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新增废水处理设施能力</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新增废气处理设施能力</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年平均工作时</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365天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3715" w:type="dxa"/>
            <w:gridSpan w:val="4"/>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运营单位</w:t>
            </w:r>
          </w:p>
        </w:tc>
        <w:tc>
          <w:tcPr>
            <w:tcW w:w="5539" w:type="dxa"/>
            <w:gridSpan w:val="5"/>
            <w:vAlign w:val="center"/>
          </w:tcPr>
          <w:p>
            <w:pPr>
              <w:spacing w:line="24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中海油贵州销售有限公司三荔高速荔波西加油站</w:t>
            </w:r>
          </w:p>
        </w:tc>
        <w:tc>
          <w:tcPr>
            <w:tcW w:w="3592" w:type="dxa"/>
            <w:gridSpan w:val="5"/>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运营单位社会统一信用代码（或组织机构代码）</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915227</w:t>
            </w:r>
            <w:r>
              <w:rPr>
                <w:rFonts w:hint="eastAsia" w:ascii="Times New Roman" w:hAnsi="Times New Roman" w:eastAsia="宋体" w:cs="Times New Roman"/>
                <w:sz w:val="18"/>
                <w:szCs w:val="18"/>
              </w:rPr>
              <w:t>32</w:t>
            </w:r>
            <w:r>
              <w:rPr>
                <w:rFonts w:ascii="Times New Roman" w:hAnsi="Times New Roman" w:eastAsia="宋体" w:cs="Times New Roman"/>
                <w:sz w:val="18"/>
                <w:szCs w:val="18"/>
              </w:rPr>
              <w:t>MA6HX4QC85</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验收时间</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2020年4月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7" w:hRule="exact"/>
          <w:jc w:val="center"/>
        </w:trPr>
        <w:tc>
          <w:tcPr>
            <w:tcW w:w="896" w:type="dxa"/>
            <w:gridSpan w:val="2"/>
            <w:vMerge w:val="restart"/>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污染物排放达标与总量控制（工业建设项目详填）</w:t>
            </w: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污染物</w:t>
            </w:r>
          </w:p>
        </w:tc>
        <w:tc>
          <w:tcPr>
            <w:tcW w:w="758"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原有排放量（1）</w:t>
            </w:r>
          </w:p>
        </w:tc>
        <w:tc>
          <w:tcPr>
            <w:tcW w:w="223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本期工程实际排放浓度（2）</w:t>
            </w:r>
          </w:p>
        </w:tc>
        <w:tc>
          <w:tcPr>
            <w:tcW w:w="962"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本期工程允许排放浓度（3）</w:t>
            </w:r>
          </w:p>
        </w:tc>
        <w:tc>
          <w:tcPr>
            <w:tcW w:w="1584"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本期工程生产量（4）</w:t>
            </w:r>
          </w:p>
        </w:tc>
        <w:tc>
          <w:tcPr>
            <w:tcW w:w="1247" w:type="dxa"/>
            <w:gridSpan w:val="3"/>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本期工程自身削减量（5）</w:t>
            </w:r>
          </w:p>
        </w:tc>
        <w:tc>
          <w:tcPr>
            <w:tcW w:w="1128"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本期工程实际排放量（6）</w:t>
            </w:r>
          </w:p>
        </w:tc>
        <w:tc>
          <w:tcPr>
            <w:tcW w:w="1217"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本期工程核定排放总量（7）</w:t>
            </w:r>
          </w:p>
        </w:tc>
        <w:tc>
          <w:tcPr>
            <w:tcW w:w="297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本期工程“以新带老”削减量（8）</w:t>
            </w:r>
          </w:p>
        </w:tc>
        <w:tc>
          <w:tcPr>
            <w:tcW w:w="1843"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全厂实际排放总量（9）</w:t>
            </w:r>
          </w:p>
        </w:tc>
        <w:tc>
          <w:tcPr>
            <w:tcW w:w="1681"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全厂核定排放总量（10）</w:t>
            </w:r>
          </w:p>
        </w:tc>
        <w:tc>
          <w:tcPr>
            <w:tcW w:w="1380"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区域平衡替代削减量（11）</w:t>
            </w:r>
          </w:p>
        </w:tc>
        <w:tc>
          <w:tcPr>
            <w:tcW w:w="117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排放增减量（12）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废水</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化学需氧量</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氨氮</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石油类</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废气</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二氧化硫</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烟尘</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工业粉尘</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氮氧化物</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工业固体废物</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1838" w:type="dxa"/>
            <w:vMerge w:val="restart"/>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与项目有关的其他特征污染物</w:t>
            </w: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rPr>
                <w:rFonts w:ascii="Times New Roman" w:hAnsi="Times New Roman" w:eastAsia="宋体" w:cs="Times New Roman"/>
                <w:b/>
                <w:sz w:val="18"/>
                <w:szCs w:val="18"/>
              </w:rPr>
            </w:pPr>
          </w:p>
        </w:tc>
        <w:tc>
          <w:tcPr>
            <w:tcW w:w="1838" w:type="dxa"/>
            <w:vMerge w:val="continue"/>
            <w:vAlign w:val="center"/>
          </w:tcPr>
          <w:p>
            <w:pPr>
              <w:rPr>
                <w:rFonts w:ascii="Times New Roman" w:hAnsi="Times New Roman" w:eastAsia="宋体" w:cs="Times New Roman"/>
                <w:b/>
                <w:sz w:val="18"/>
                <w:szCs w:val="18"/>
              </w:rPr>
            </w:pP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3" w:hRule="exact"/>
          <w:jc w:val="center"/>
        </w:trPr>
        <w:tc>
          <w:tcPr>
            <w:tcW w:w="896" w:type="dxa"/>
            <w:gridSpan w:val="2"/>
            <w:vMerge w:val="continue"/>
            <w:vAlign w:val="center"/>
          </w:tcPr>
          <w:p>
            <w:pPr>
              <w:rPr>
                <w:rFonts w:ascii="Times New Roman" w:hAnsi="Times New Roman" w:eastAsia="宋体" w:cs="Times New Roman"/>
                <w:b/>
                <w:sz w:val="18"/>
                <w:szCs w:val="18"/>
              </w:rPr>
            </w:pPr>
          </w:p>
        </w:tc>
        <w:tc>
          <w:tcPr>
            <w:tcW w:w="1838" w:type="dxa"/>
            <w:vMerge w:val="continue"/>
            <w:vAlign w:val="center"/>
          </w:tcPr>
          <w:p>
            <w:pPr>
              <w:rPr>
                <w:rFonts w:ascii="Times New Roman" w:hAnsi="Times New Roman" w:eastAsia="宋体" w:cs="Times New Roman"/>
                <w:b/>
                <w:sz w:val="18"/>
                <w:szCs w:val="18"/>
              </w:rPr>
            </w:pP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bl>
    <w:p>
      <w:pPr>
        <w:ind w:firstLine="149" w:firstLineChars="83"/>
        <w:rPr>
          <w:rFonts w:ascii="Times New Roman" w:hAnsi="Times New Roman" w:cs="Times New Roman"/>
        </w:rPr>
      </w:pPr>
      <w:r>
        <w:rPr>
          <w:rFonts w:ascii="Times New Roman" w:hAnsi="Times New Roman" w:eastAsia="宋体" w:cs="Times New Roman"/>
          <w:sz w:val="18"/>
          <w:szCs w:val="18"/>
        </w:rPr>
        <w:t>注：1、排放增减量：（+）表示增加，（-）表示减少。2、（12）=（6）-（8）-（11），（9）=（4）+（5）-（8）-（11）+（1）。3、计量单位：废水排放量——万吨/年；废气排放量——万标立方米/年；工业固体废物排放量——万吨/年；水污染物排放浓度——毫克/升。</w:t>
      </w:r>
    </w:p>
    <w:p>
      <w:pPr>
        <w:pStyle w:val="8"/>
        <w:rPr>
          <w:rFonts w:ascii="Times New Roman" w:hAnsi="Times New Roman" w:cs="Times New Roman"/>
        </w:rPr>
      </w:pPr>
    </w:p>
    <w:p>
      <w:pPr>
        <w:pStyle w:val="8"/>
        <w:rPr>
          <w:rFonts w:ascii="Times New Roman" w:hAnsi="Times New Roman" w:cs="Times New Roman"/>
        </w:rPr>
        <w:sectPr>
          <w:pgSz w:w="23757" w:h="16783" w:orient="landscape"/>
          <w:pgMar w:top="1080" w:right="1440" w:bottom="1080" w:left="1440" w:header="851" w:footer="992" w:gutter="0"/>
          <w:cols w:space="425" w:num="1"/>
          <w:docGrid w:type="lines" w:linePitch="312" w:charSpace="0"/>
        </w:sectPr>
      </w:pPr>
    </w:p>
    <w:p>
      <w:pPr>
        <w:pStyle w:val="8"/>
        <w:rPr>
          <w:rFonts w:ascii="Times New Roman" w:hAnsi="Times New Roman" w:cs="Times New Roman"/>
        </w:rPr>
      </w:pPr>
      <w:r>
        <w:rPr>
          <w:rFonts w:hint="eastAsia" w:ascii="Times New Roman" w:hAnsi="Times New Roman" w:cs="Times New Roman"/>
        </w:rPr>
        <w:t>附件2：检测报告</w:t>
      </w:r>
    </w:p>
    <w:p>
      <w:r>
        <w:rPr>
          <w:rFonts w:hint="eastAsia"/>
        </w:rPr>
        <w:t xml:space="preserve"> </w:t>
      </w:r>
      <w:r>
        <w:drawing>
          <wp:inline distT="0" distB="0" distL="114300" distR="114300">
            <wp:extent cx="6000115" cy="8217535"/>
            <wp:effectExtent l="0" t="0" r="63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6000115" cy="8217535"/>
                    </a:xfrm>
                    <a:prstGeom prst="rect">
                      <a:avLst/>
                    </a:prstGeom>
                    <a:noFill/>
                    <a:ln>
                      <a:noFill/>
                    </a:ln>
                  </pic:spPr>
                </pic:pic>
              </a:graphicData>
            </a:graphic>
          </wp:inline>
        </w:drawing>
      </w:r>
      <w:r>
        <w:rPr>
          <w:rFonts w:hint="eastAsia"/>
        </w:rPr>
        <w:t xml:space="preserve"> </w:t>
      </w:r>
    </w:p>
    <w:p/>
    <w:p/>
    <w:p>
      <w:r>
        <w:rPr>
          <w:rFonts w:hint="eastAsia"/>
        </w:rPr>
        <w:t xml:space="preserve">  </w:t>
      </w:r>
      <w:r>
        <w:drawing>
          <wp:inline distT="0" distB="0" distL="114300" distR="114300">
            <wp:extent cx="5876925" cy="8247380"/>
            <wp:effectExtent l="0" t="0" r="952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5876925" cy="8247380"/>
                    </a:xfrm>
                    <a:prstGeom prst="rect">
                      <a:avLst/>
                    </a:prstGeom>
                    <a:noFill/>
                    <a:ln>
                      <a:noFill/>
                    </a:ln>
                  </pic:spPr>
                </pic:pic>
              </a:graphicData>
            </a:graphic>
          </wp:inline>
        </w:drawing>
      </w:r>
    </w:p>
    <w:p/>
    <w:p>
      <w:r>
        <w:rPr>
          <w:rFonts w:hint="eastAsia"/>
        </w:rPr>
        <w:t xml:space="preserve">  </w:t>
      </w:r>
    </w:p>
    <w:p>
      <w:r>
        <w:drawing>
          <wp:inline distT="0" distB="0" distL="114300" distR="114300">
            <wp:extent cx="6085840" cy="8294370"/>
            <wp:effectExtent l="0" t="0" r="1016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6085840" cy="8294370"/>
                    </a:xfrm>
                    <a:prstGeom prst="rect">
                      <a:avLst/>
                    </a:prstGeom>
                    <a:noFill/>
                    <a:ln>
                      <a:noFill/>
                    </a:ln>
                  </pic:spPr>
                </pic:pic>
              </a:graphicData>
            </a:graphic>
          </wp:inline>
        </w:drawing>
      </w:r>
    </w:p>
    <w:p/>
    <w:p>
      <w:r>
        <w:rPr>
          <w:rFonts w:hint="eastAsia"/>
        </w:rPr>
        <w:t xml:space="preserve">  </w:t>
      </w:r>
      <w:r>
        <w:drawing>
          <wp:inline distT="0" distB="0" distL="114300" distR="114300">
            <wp:extent cx="5932805" cy="8504555"/>
            <wp:effectExtent l="0" t="0" r="10795" b="1079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2"/>
                    <a:stretch>
                      <a:fillRect/>
                    </a:stretch>
                  </pic:blipFill>
                  <pic:spPr>
                    <a:xfrm>
                      <a:off x="0" y="0"/>
                      <a:ext cx="5932805" cy="8504555"/>
                    </a:xfrm>
                    <a:prstGeom prst="rect">
                      <a:avLst/>
                    </a:prstGeom>
                    <a:noFill/>
                    <a:ln>
                      <a:noFill/>
                    </a:ln>
                  </pic:spPr>
                </pic:pic>
              </a:graphicData>
            </a:graphic>
          </wp:inline>
        </w:drawing>
      </w:r>
    </w:p>
    <w:p/>
    <w:p>
      <w:r>
        <w:rPr>
          <w:rFonts w:hint="eastAsia"/>
        </w:rPr>
        <w:t xml:space="preserve">  </w:t>
      </w:r>
      <w:r>
        <w:drawing>
          <wp:inline distT="0" distB="0" distL="114300" distR="114300">
            <wp:extent cx="5895975" cy="8370570"/>
            <wp:effectExtent l="0" t="0" r="9525"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3"/>
                    <a:stretch>
                      <a:fillRect/>
                    </a:stretch>
                  </pic:blipFill>
                  <pic:spPr>
                    <a:xfrm>
                      <a:off x="0" y="0"/>
                      <a:ext cx="5895975" cy="8370570"/>
                    </a:xfrm>
                    <a:prstGeom prst="rect">
                      <a:avLst/>
                    </a:prstGeom>
                    <a:noFill/>
                    <a:ln>
                      <a:noFill/>
                    </a:ln>
                  </pic:spPr>
                </pic:pic>
              </a:graphicData>
            </a:graphic>
          </wp:inline>
        </w:drawing>
      </w:r>
    </w:p>
    <w:p/>
    <w:p>
      <w:r>
        <w:rPr>
          <w:rFonts w:hint="eastAsia"/>
        </w:rPr>
        <w:t xml:space="preserve">  </w:t>
      </w:r>
      <w:r>
        <w:drawing>
          <wp:inline distT="0" distB="0" distL="114300" distR="114300">
            <wp:extent cx="5905500" cy="8486775"/>
            <wp:effectExtent l="0" t="0" r="0"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4"/>
                    <a:stretch>
                      <a:fillRect/>
                    </a:stretch>
                  </pic:blipFill>
                  <pic:spPr>
                    <a:xfrm>
                      <a:off x="0" y="0"/>
                      <a:ext cx="5905500" cy="8486775"/>
                    </a:xfrm>
                    <a:prstGeom prst="rect">
                      <a:avLst/>
                    </a:prstGeom>
                    <a:noFill/>
                    <a:ln>
                      <a:noFill/>
                    </a:ln>
                  </pic:spPr>
                </pic:pic>
              </a:graphicData>
            </a:graphic>
          </wp:inline>
        </w:drawing>
      </w:r>
    </w:p>
    <w:p/>
    <w:p>
      <w:r>
        <w:rPr>
          <w:rFonts w:hint="eastAsia"/>
        </w:rPr>
        <w:t xml:space="preserve">  </w:t>
      </w:r>
      <w:r>
        <w:drawing>
          <wp:inline distT="0" distB="0" distL="114300" distR="114300">
            <wp:extent cx="5913755" cy="8552815"/>
            <wp:effectExtent l="0" t="0" r="10795" b="63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5"/>
                    <a:stretch>
                      <a:fillRect/>
                    </a:stretch>
                  </pic:blipFill>
                  <pic:spPr>
                    <a:xfrm>
                      <a:off x="0" y="0"/>
                      <a:ext cx="5913755" cy="8552815"/>
                    </a:xfrm>
                    <a:prstGeom prst="rect">
                      <a:avLst/>
                    </a:prstGeom>
                    <a:noFill/>
                    <a:ln>
                      <a:noFill/>
                    </a:ln>
                  </pic:spPr>
                </pic:pic>
              </a:graphicData>
            </a:graphic>
          </wp:inline>
        </w:drawing>
      </w:r>
    </w:p>
    <w:p>
      <w:r>
        <w:rPr>
          <w:rFonts w:hint="eastAsia"/>
        </w:rPr>
        <w:t xml:space="preserve">  </w:t>
      </w:r>
      <w:r>
        <w:drawing>
          <wp:inline distT="0" distB="0" distL="114300" distR="114300">
            <wp:extent cx="5800725" cy="8333105"/>
            <wp:effectExtent l="0" t="0" r="9525" b="1079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6"/>
                    <a:stretch>
                      <a:fillRect/>
                    </a:stretch>
                  </pic:blipFill>
                  <pic:spPr>
                    <a:xfrm>
                      <a:off x="0" y="0"/>
                      <a:ext cx="5800725" cy="8333105"/>
                    </a:xfrm>
                    <a:prstGeom prst="rect">
                      <a:avLst/>
                    </a:prstGeom>
                    <a:noFill/>
                    <a:ln>
                      <a:noFill/>
                    </a:ln>
                  </pic:spPr>
                </pic:pic>
              </a:graphicData>
            </a:graphic>
          </wp:inline>
        </w:drawing>
      </w:r>
    </w:p>
    <w:p/>
    <w:p/>
    <w:p>
      <w:r>
        <w:rPr>
          <w:rFonts w:hint="eastAsia"/>
        </w:rPr>
        <w:t xml:space="preserve">  </w:t>
      </w:r>
      <w:r>
        <w:drawing>
          <wp:inline distT="0" distB="0" distL="114300" distR="114300">
            <wp:extent cx="5809615" cy="8020050"/>
            <wp:effectExtent l="0" t="0" r="635"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7"/>
                    <a:stretch>
                      <a:fillRect/>
                    </a:stretch>
                  </pic:blipFill>
                  <pic:spPr>
                    <a:xfrm>
                      <a:off x="0" y="0"/>
                      <a:ext cx="5809615" cy="8020050"/>
                    </a:xfrm>
                    <a:prstGeom prst="rect">
                      <a:avLst/>
                    </a:prstGeom>
                    <a:noFill/>
                    <a:ln>
                      <a:noFill/>
                    </a:ln>
                  </pic:spPr>
                </pic:pic>
              </a:graphicData>
            </a:graphic>
          </wp:inline>
        </w:drawing>
      </w:r>
    </w:p>
    <w:p/>
    <w:p/>
    <w:p/>
    <w:p>
      <w:r>
        <w:rPr>
          <w:rFonts w:hint="eastAsia"/>
        </w:rPr>
        <w:t xml:space="preserve">  </w:t>
      </w:r>
    </w:p>
    <w:p>
      <w:r>
        <w:drawing>
          <wp:inline distT="0" distB="0" distL="114300" distR="114300">
            <wp:extent cx="5982335" cy="7895590"/>
            <wp:effectExtent l="0" t="0" r="18415" b="1016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5982335" cy="7895590"/>
                    </a:xfrm>
                    <a:prstGeom prst="rect">
                      <a:avLst/>
                    </a:prstGeom>
                    <a:noFill/>
                    <a:ln>
                      <a:noFill/>
                    </a:ln>
                  </pic:spPr>
                </pic:pic>
              </a:graphicData>
            </a:graphic>
          </wp:inline>
        </w:drawing>
      </w:r>
    </w:p>
    <w:p/>
    <w:p/>
    <w:p>
      <w:pPr>
        <w:rPr>
          <w:rFonts w:hint="eastAsia"/>
        </w:rPr>
      </w:pPr>
      <w:r>
        <w:drawing>
          <wp:anchor distT="0" distB="0" distL="114300" distR="114300" simplePos="0" relativeHeight="251660288" behindDoc="0" locked="0" layoutInCell="1" allowOverlap="1">
            <wp:simplePos x="0" y="0"/>
            <wp:positionH relativeFrom="column">
              <wp:posOffset>603250</wp:posOffset>
            </wp:positionH>
            <wp:positionV relativeFrom="paragraph">
              <wp:posOffset>304800</wp:posOffset>
            </wp:positionV>
            <wp:extent cx="5099050" cy="8013700"/>
            <wp:effectExtent l="0" t="0" r="0" b="0"/>
            <wp:wrapNone/>
            <wp:docPr id="18" name="图片 18" descr="mmexport159158434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158434565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099050" cy="8013700"/>
                    </a:xfrm>
                    <a:prstGeom prst="rect">
                      <a:avLst/>
                    </a:prstGeom>
                  </pic:spPr>
                </pic:pic>
              </a:graphicData>
            </a:graphic>
          </wp:anchor>
        </w:drawing>
      </w:r>
      <w:r>
        <w:rPr>
          <w:rFonts w:hint="eastAsia"/>
        </w:rPr>
        <w:t xml:space="preserve">         附件3：污水处理相关证明</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default" w:eastAsiaTheme="minorEastAsia"/>
          <w:lang w:val="en-US" w:eastAsia="zh-CN"/>
        </w:rPr>
      </w:pPr>
      <w:r>
        <w:rPr>
          <w:rFonts w:hint="eastAsia"/>
          <w:lang w:eastAsia="zh-CN"/>
        </w:rPr>
        <w:t>附件</w:t>
      </w:r>
      <w:r>
        <w:rPr>
          <w:rFonts w:hint="eastAsia"/>
          <w:lang w:val="en-US" w:eastAsia="zh-CN"/>
        </w:rPr>
        <w:t>4：专家意见</w:t>
      </w:r>
    </w:p>
    <w:p>
      <w:pPr>
        <w:rPr>
          <w:rFonts w:hint="eastAsia"/>
        </w:rPr>
      </w:pPr>
    </w:p>
    <w:p>
      <w:pPr>
        <w:bidi w:val="0"/>
        <w:rPr>
          <w:rFonts w:hint="eastAsia" w:asciiTheme="minorHAnsi" w:hAnsiTheme="minorHAnsi" w:eastAsiaTheme="minorEastAsia" w:cstheme="minorBidi"/>
          <w:kern w:val="2"/>
          <w:sz w:val="21"/>
          <w:szCs w:val="24"/>
          <w:lang w:val="en-US" w:eastAsia="zh-CN" w:bidi="ar-SA"/>
        </w:rPr>
      </w:pPr>
      <w:r>
        <w:drawing>
          <wp:anchor distT="0" distB="0" distL="114300" distR="114300" simplePos="0" relativeHeight="251661312" behindDoc="0" locked="0" layoutInCell="1" allowOverlap="1">
            <wp:simplePos x="0" y="0"/>
            <wp:positionH relativeFrom="column">
              <wp:posOffset>447675</wp:posOffset>
            </wp:positionH>
            <wp:positionV relativeFrom="paragraph">
              <wp:posOffset>32385</wp:posOffset>
            </wp:positionV>
            <wp:extent cx="5227320" cy="8152130"/>
            <wp:effectExtent l="0" t="0" r="11430" b="1270"/>
            <wp:wrapTopAndBottom/>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0"/>
                    <a:stretch>
                      <a:fillRect/>
                    </a:stretch>
                  </pic:blipFill>
                  <pic:spPr>
                    <a:xfrm>
                      <a:off x="0" y="0"/>
                      <a:ext cx="5227320" cy="8152130"/>
                    </a:xfrm>
                    <a:prstGeom prst="rect">
                      <a:avLst/>
                    </a:prstGeom>
                    <a:noFill/>
                    <a:ln>
                      <a:noFill/>
                    </a:ln>
                  </pic:spPr>
                </pic:pic>
              </a:graphicData>
            </a:graphic>
          </wp:anchor>
        </w:drawing>
      </w:r>
    </w:p>
    <w:p>
      <w:pPr>
        <w:bidi w:val="0"/>
        <w:rPr>
          <w:rFonts w:hint="eastAsia"/>
          <w:lang w:val="en-US" w:eastAsia="zh-CN"/>
        </w:rPr>
      </w:pPr>
      <w:r>
        <w:drawing>
          <wp:anchor distT="0" distB="0" distL="114300" distR="114300" simplePos="0" relativeHeight="251662336" behindDoc="0" locked="0" layoutInCell="1" allowOverlap="1">
            <wp:simplePos x="0" y="0"/>
            <wp:positionH relativeFrom="column">
              <wp:posOffset>504190</wp:posOffset>
            </wp:positionH>
            <wp:positionV relativeFrom="paragraph">
              <wp:posOffset>0</wp:posOffset>
            </wp:positionV>
            <wp:extent cx="5087620" cy="8000365"/>
            <wp:effectExtent l="0" t="0" r="17780" b="635"/>
            <wp:wrapTopAndBottom/>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1"/>
                    <a:stretch>
                      <a:fillRect/>
                    </a:stretch>
                  </pic:blipFill>
                  <pic:spPr>
                    <a:xfrm>
                      <a:off x="0" y="0"/>
                      <a:ext cx="5087620" cy="8000365"/>
                    </a:xfrm>
                    <a:prstGeom prst="rect">
                      <a:avLst/>
                    </a:prstGeom>
                    <a:noFill/>
                    <a:ln>
                      <a:noFill/>
                    </a:ln>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drawing>
          <wp:anchor distT="0" distB="0" distL="114300" distR="114300" simplePos="0" relativeHeight="251663360" behindDoc="0" locked="0" layoutInCell="1" allowOverlap="1">
            <wp:simplePos x="0" y="0"/>
            <wp:positionH relativeFrom="column">
              <wp:posOffset>627380</wp:posOffset>
            </wp:positionH>
            <wp:positionV relativeFrom="paragraph">
              <wp:posOffset>19050</wp:posOffset>
            </wp:positionV>
            <wp:extent cx="4895850" cy="7780020"/>
            <wp:effectExtent l="0" t="0" r="0" b="11430"/>
            <wp:wrapTopAndBottom/>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32"/>
                    <a:stretch>
                      <a:fillRect/>
                    </a:stretch>
                  </pic:blipFill>
                  <pic:spPr>
                    <a:xfrm>
                      <a:off x="0" y="0"/>
                      <a:ext cx="4895850" cy="7780020"/>
                    </a:xfrm>
                    <a:prstGeom prst="rect">
                      <a:avLst/>
                    </a:prstGeom>
                    <a:noFill/>
                    <a:ln>
                      <a:noFill/>
                    </a:ln>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default"/>
          <w:lang w:val="en-US" w:eastAsia="zh-CN"/>
        </w:rPr>
      </w:pPr>
      <w:r>
        <w:drawing>
          <wp:anchor distT="0" distB="0" distL="114300" distR="114300" simplePos="0" relativeHeight="251664384" behindDoc="0" locked="0" layoutInCell="1" allowOverlap="1">
            <wp:simplePos x="0" y="0"/>
            <wp:positionH relativeFrom="column">
              <wp:posOffset>400050</wp:posOffset>
            </wp:positionH>
            <wp:positionV relativeFrom="paragraph">
              <wp:posOffset>70485</wp:posOffset>
            </wp:positionV>
            <wp:extent cx="5132070" cy="7552055"/>
            <wp:effectExtent l="0" t="0" r="11430" b="10795"/>
            <wp:wrapTopAndBottom/>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33"/>
                    <a:stretch>
                      <a:fillRect/>
                    </a:stretch>
                  </pic:blipFill>
                  <pic:spPr>
                    <a:xfrm>
                      <a:off x="0" y="0"/>
                      <a:ext cx="5132070" cy="7552055"/>
                    </a:xfrm>
                    <a:prstGeom prst="rect">
                      <a:avLst/>
                    </a:prstGeom>
                    <a:noFill/>
                    <a:ln>
                      <a:noFill/>
                    </a:ln>
                  </pic:spPr>
                </pic:pic>
              </a:graphicData>
            </a:graphic>
          </wp:anchor>
        </w:drawing>
      </w:r>
      <w:r>
        <w:rPr>
          <w:rFonts w:hint="eastAsia"/>
          <w:lang w:val="en-US" w:eastAsia="zh-CN"/>
        </w:rPr>
        <w:t xml:space="preserve"> </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073"/>
        </w:tabs>
        <w:bidi w:val="0"/>
        <w:jc w:val="left"/>
        <w:rPr>
          <w:rFonts w:hint="eastAsia"/>
          <w:lang w:val="en-US" w:eastAsia="zh-CN"/>
        </w:rPr>
      </w:pPr>
    </w:p>
    <w:sectPr>
      <w:pgSz w:w="11850" w:h="16783"/>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方正仿宋简体">
    <w:altName w:val="微软雅黑"/>
    <w:panose1 w:val="00000000000000000000"/>
    <w:charset w:val="86"/>
    <w:family w:val="script"/>
    <w:pitch w:val="default"/>
    <w:sig w:usb0="00000000" w:usb1="00000000" w:usb2="00000010" w:usb3="00000000" w:csb0="00040000" w:csb1="00000000"/>
  </w:font>
  <w:font w:name="Wingdings 2">
    <w:altName w:val="Wingdings"/>
    <w:panose1 w:val="00000000000000000000"/>
    <w:charset w:val="02"/>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wordWrap w:val="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wordWrap w:val="0"/>
      <w:jc w:val="right"/>
    </w:pPr>
    <w:r>
      <w:pict>
        <v:shape id="_x0000_s2049" o:spid="_x0000_s2049"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WPnUV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ZWPnUVAgAAFwQAAA4AAAAAAAAA&#10;AQAgAAAAHwEAAGRycy9lMm9Eb2MueG1sUEsFBgAAAAAGAAYAWQEAAKYFAAAAAA==&#10;">
          <v:path/>
          <v:fill on="f" focussize="0,0"/>
          <v:stroke on="f" weight="0.5pt" joinstyle="miter"/>
          <v:imagedata o:title=""/>
          <o:lock v:ext="edit"/>
          <v:textbox inset="0mm,0mm,0mm,0mm" style="mso-fit-shape-to-text:t;">
            <w:txbxContent>
              <w:p>
                <w:pPr>
                  <w:pStyle w:val="10"/>
                  <w:rPr>
                    <w:rFonts w:eastAsia="宋体"/>
                  </w:rPr>
                </w:pPr>
                <w:r>
                  <w:fldChar w:fldCharType="begin"/>
                </w:r>
                <w:r>
                  <w:instrText xml:space="preserve"> PAGE  \* MERGEFORMAT </w:instrText>
                </w:r>
                <w:r>
                  <w:fldChar w:fldCharType="separate"/>
                </w:r>
                <w:r>
                  <w:t>27</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845"/>
        <w:tab w:val="clear" w:pos="4153"/>
      </w:tabs>
    </w:pPr>
    <w:r>
      <w:pict>
        <v:shape id="_x0000_s2050" o:spid="_x0000_s2050"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path/>
          <v:fill on="f" focussize="0,0"/>
          <v:stroke on="f" weight="0.5pt" joinstyle="miter"/>
          <v:imagedata o:title=""/>
          <o:lock v:ext="edit"/>
          <v:textbox inset="0mm,0mm,0mm,0mm" style="mso-fit-shape-to-text:t;">
            <w:txbxContent>
              <w:p>
                <w:pPr>
                  <w:pStyle w:val="10"/>
                  <w:rPr>
                    <w:rFonts w:eastAsia="宋体"/>
                  </w:rPr>
                </w:pPr>
                <w:r>
                  <w:fldChar w:fldCharType="begin"/>
                </w:r>
                <w:r>
                  <w:instrText xml:space="preserve"> PAGE  \* MERGEFORMAT </w:instrText>
                </w:r>
                <w:r>
                  <w:fldChar w:fldCharType="separate"/>
                </w:r>
                <w:r>
                  <w:t>42</w:t>
                </w:r>
                <w: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Cs w:val="21"/>
      </w:rPr>
    </w:pPr>
    <w:r>
      <w:rPr>
        <w:rFonts w:hint="eastAsia"/>
        <w:sz w:val="21"/>
        <w:szCs w:val="21"/>
      </w:rPr>
      <w:t>中海油贵州销售有限公司三荔高速荔波西加油站建设项目竣工环境保护验收监测报告表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Cs w:val="21"/>
      </w:rPr>
    </w:pPr>
    <w:r>
      <w:rPr>
        <w:rFonts w:hint="eastAsia"/>
        <w:sz w:val="21"/>
        <w:szCs w:val="21"/>
      </w:rPr>
      <w:t>中海油贵州销售有限公司三荔高速荔波西加油站建设项目竣工环境保护验收监测报告表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EnclosedCircle"/>
      <w:lvlText w:val="%1"/>
      <w:lvlJc w:val="left"/>
      <w:pPr>
        <w:ind w:left="1609" w:hanging="420"/>
      </w:pPr>
      <w:rPr>
        <w:rFonts w:hint="eastAsia" w:ascii="宋体"/>
      </w:rPr>
    </w:lvl>
    <w:lvl w:ilvl="1" w:tentative="0">
      <w:start w:val="1"/>
      <w:numFmt w:val="lowerLetter"/>
      <w:lvlText w:val="%2)"/>
      <w:lvlJc w:val="left"/>
      <w:pPr>
        <w:ind w:left="2029" w:hanging="420"/>
      </w:pPr>
    </w:lvl>
    <w:lvl w:ilvl="2" w:tentative="0">
      <w:start w:val="1"/>
      <w:numFmt w:val="lowerRoman"/>
      <w:lvlText w:val="%3."/>
      <w:lvlJc w:val="right"/>
      <w:pPr>
        <w:ind w:left="2449" w:hanging="420"/>
      </w:pPr>
    </w:lvl>
    <w:lvl w:ilvl="3" w:tentative="0">
      <w:start w:val="1"/>
      <w:numFmt w:val="decimal"/>
      <w:lvlText w:val="%4."/>
      <w:lvlJc w:val="left"/>
      <w:pPr>
        <w:ind w:left="2869" w:hanging="420"/>
      </w:pPr>
    </w:lvl>
    <w:lvl w:ilvl="4" w:tentative="0">
      <w:start w:val="1"/>
      <w:numFmt w:val="lowerLetter"/>
      <w:lvlText w:val="%5)"/>
      <w:lvlJc w:val="left"/>
      <w:pPr>
        <w:ind w:left="3289" w:hanging="420"/>
      </w:pPr>
    </w:lvl>
    <w:lvl w:ilvl="5" w:tentative="0">
      <w:start w:val="1"/>
      <w:numFmt w:val="lowerRoman"/>
      <w:lvlText w:val="%6."/>
      <w:lvlJc w:val="right"/>
      <w:pPr>
        <w:ind w:left="3709" w:hanging="420"/>
      </w:pPr>
    </w:lvl>
    <w:lvl w:ilvl="6" w:tentative="0">
      <w:start w:val="1"/>
      <w:numFmt w:val="decimal"/>
      <w:lvlText w:val="%7."/>
      <w:lvlJc w:val="left"/>
      <w:pPr>
        <w:ind w:left="4129" w:hanging="420"/>
      </w:pPr>
    </w:lvl>
    <w:lvl w:ilvl="7" w:tentative="0">
      <w:start w:val="1"/>
      <w:numFmt w:val="lowerLetter"/>
      <w:lvlText w:val="%8)"/>
      <w:lvlJc w:val="left"/>
      <w:pPr>
        <w:ind w:left="4549" w:hanging="420"/>
      </w:pPr>
    </w:lvl>
    <w:lvl w:ilvl="8" w:tentative="0">
      <w:start w:val="1"/>
      <w:numFmt w:val="lowerRoman"/>
      <w:lvlText w:val="%9."/>
      <w:lvlJc w:val="right"/>
      <w:pPr>
        <w:ind w:left="4969" w:hanging="420"/>
      </w:pPr>
    </w:lvl>
  </w:abstractNum>
  <w:abstractNum w:abstractNumId="1">
    <w:nsid w:val="2C116449"/>
    <w:multiLevelType w:val="singleLevel"/>
    <w:tmpl w:val="2C116449"/>
    <w:lvl w:ilvl="0" w:tentative="0">
      <w:start w:val="1"/>
      <w:numFmt w:val="decimal"/>
      <w:suff w:val="nothing"/>
      <w:lvlText w:val="（%1）"/>
      <w:lvlJc w:val="left"/>
    </w:lvl>
  </w:abstractNum>
  <w:abstractNum w:abstractNumId="2">
    <w:nsid w:val="2D694BE4"/>
    <w:multiLevelType w:val="multilevel"/>
    <w:tmpl w:val="2D694BE4"/>
    <w:lvl w:ilvl="0" w:tentative="0">
      <w:start w:val="2"/>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597A0C92"/>
    <w:multiLevelType w:val="singleLevel"/>
    <w:tmpl w:val="597A0C92"/>
    <w:lvl w:ilvl="0" w:tentative="0">
      <w:start w:val="2"/>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FA1190F"/>
    <w:rsid w:val="0000069F"/>
    <w:rsid w:val="00002797"/>
    <w:rsid w:val="00003146"/>
    <w:rsid w:val="000034AC"/>
    <w:rsid w:val="0000623A"/>
    <w:rsid w:val="0000736E"/>
    <w:rsid w:val="000106C5"/>
    <w:rsid w:val="00011525"/>
    <w:rsid w:val="0001247C"/>
    <w:rsid w:val="000130DE"/>
    <w:rsid w:val="00013A3A"/>
    <w:rsid w:val="00013C80"/>
    <w:rsid w:val="00014246"/>
    <w:rsid w:val="000161C1"/>
    <w:rsid w:val="00017ACA"/>
    <w:rsid w:val="00025178"/>
    <w:rsid w:val="00026D3C"/>
    <w:rsid w:val="00027EF0"/>
    <w:rsid w:val="000313EE"/>
    <w:rsid w:val="000335A6"/>
    <w:rsid w:val="00034C27"/>
    <w:rsid w:val="00034D33"/>
    <w:rsid w:val="00035406"/>
    <w:rsid w:val="00035B8A"/>
    <w:rsid w:val="000367A5"/>
    <w:rsid w:val="000418A6"/>
    <w:rsid w:val="00041B04"/>
    <w:rsid w:val="00042038"/>
    <w:rsid w:val="00042AC2"/>
    <w:rsid w:val="00043BFB"/>
    <w:rsid w:val="00043CC1"/>
    <w:rsid w:val="00044395"/>
    <w:rsid w:val="00044A7C"/>
    <w:rsid w:val="0005045F"/>
    <w:rsid w:val="00050B19"/>
    <w:rsid w:val="00053FB6"/>
    <w:rsid w:val="000547CD"/>
    <w:rsid w:val="00054E63"/>
    <w:rsid w:val="00056648"/>
    <w:rsid w:val="000568BB"/>
    <w:rsid w:val="00057D70"/>
    <w:rsid w:val="00062374"/>
    <w:rsid w:val="0006274F"/>
    <w:rsid w:val="00063AA6"/>
    <w:rsid w:val="0006403D"/>
    <w:rsid w:val="00065124"/>
    <w:rsid w:val="000652FA"/>
    <w:rsid w:val="0006678B"/>
    <w:rsid w:val="000711FA"/>
    <w:rsid w:val="000712DA"/>
    <w:rsid w:val="00073613"/>
    <w:rsid w:val="00075DE6"/>
    <w:rsid w:val="000771C8"/>
    <w:rsid w:val="00077582"/>
    <w:rsid w:val="000778F6"/>
    <w:rsid w:val="00077CC1"/>
    <w:rsid w:val="000811A8"/>
    <w:rsid w:val="00081CF9"/>
    <w:rsid w:val="00082C90"/>
    <w:rsid w:val="000836BC"/>
    <w:rsid w:val="000845AC"/>
    <w:rsid w:val="00084816"/>
    <w:rsid w:val="00084844"/>
    <w:rsid w:val="00087F8B"/>
    <w:rsid w:val="0009062D"/>
    <w:rsid w:val="00090D4C"/>
    <w:rsid w:val="00092A63"/>
    <w:rsid w:val="00094D22"/>
    <w:rsid w:val="00094E4A"/>
    <w:rsid w:val="000974D7"/>
    <w:rsid w:val="00097D6D"/>
    <w:rsid w:val="000A0404"/>
    <w:rsid w:val="000A2221"/>
    <w:rsid w:val="000A4F2F"/>
    <w:rsid w:val="000A509E"/>
    <w:rsid w:val="000A719C"/>
    <w:rsid w:val="000A720E"/>
    <w:rsid w:val="000B374C"/>
    <w:rsid w:val="000B3C9F"/>
    <w:rsid w:val="000B5B83"/>
    <w:rsid w:val="000B6140"/>
    <w:rsid w:val="000B6388"/>
    <w:rsid w:val="000B6C3D"/>
    <w:rsid w:val="000B72F7"/>
    <w:rsid w:val="000B7681"/>
    <w:rsid w:val="000B7F09"/>
    <w:rsid w:val="000C0321"/>
    <w:rsid w:val="000C2F29"/>
    <w:rsid w:val="000C65A5"/>
    <w:rsid w:val="000D0C39"/>
    <w:rsid w:val="000D2A24"/>
    <w:rsid w:val="000D3190"/>
    <w:rsid w:val="000D3806"/>
    <w:rsid w:val="000D59E2"/>
    <w:rsid w:val="000D7EB9"/>
    <w:rsid w:val="000E46E8"/>
    <w:rsid w:val="000E48F0"/>
    <w:rsid w:val="000E4ACC"/>
    <w:rsid w:val="000E5CD3"/>
    <w:rsid w:val="000E6AC5"/>
    <w:rsid w:val="000E77C4"/>
    <w:rsid w:val="000E79A1"/>
    <w:rsid w:val="000F04E2"/>
    <w:rsid w:val="000F3B60"/>
    <w:rsid w:val="000F4FD4"/>
    <w:rsid w:val="000F56CC"/>
    <w:rsid w:val="000F5C3D"/>
    <w:rsid w:val="000F66FE"/>
    <w:rsid w:val="000F72E3"/>
    <w:rsid w:val="000F7A95"/>
    <w:rsid w:val="001000FC"/>
    <w:rsid w:val="00101321"/>
    <w:rsid w:val="00101689"/>
    <w:rsid w:val="00104D75"/>
    <w:rsid w:val="00105408"/>
    <w:rsid w:val="00106AA9"/>
    <w:rsid w:val="00111F55"/>
    <w:rsid w:val="00112014"/>
    <w:rsid w:val="001138C6"/>
    <w:rsid w:val="001138F9"/>
    <w:rsid w:val="00114B5A"/>
    <w:rsid w:val="00115650"/>
    <w:rsid w:val="00117365"/>
    <w:rsid w:val="00117B71"/>
    <w:rsid w:val="0012133B"/>
    <w:rsid w:val="00122559"/>
    <w:rsid w:val="00122995"/>
    <w:rsid w:val="001238B9"/>
    <w:rsid w:val="00124557"/>
    <w:rsid w:val="00124756"/>
    <w:rsid w:val="00130F68"/>
    <w:rsid w:val="00131385"/>
    <w:rsid w:val="00131E94"/>
    <w:rsid w:val="00134BCB"/>
    <w:rsid w:val="001356A4"/>
    <w:rsid w:val="00140BB2"/>
    <w:rsid w:val="00140DEC"/>
    <w:rsid w:val="001412E4"/>
    <w:rsid w:val="00141D7E"/>
    <w:rsid w:val="001460A3"/>
    <w:rsid w:val="00146A37"/>
    <w:rsid w:val="00146E70"/>
    <w:rsid w:val="00147DAD"/>
    <w:rsid w:val="00153945"/>
    <w:rsid w:val="00153D2E"/>
    <w:rsid w:val="00154CE2"/>
    <w:rsid w:val="00155511"/>
    <w:rsid w:val="00160F91"/>
    <w:rsid w:val="00161E31"/>
    <w:rsid w:val="00161E56"/>
    <w:rsid w:val="00170007"/>
    <w:rsid w:val="0017177B"/>
    <w:rsid w:val="0017199A"/>
    <w:rsid w:val="0017380D"/>
    <w:rsid w:val="00174807"/>
    <w:rsid w:val="001750BE"/>
    <w:rsid w:val="00175326"/>
    <w:rsid w:val="00176054"/>
    <w:rsid w:val="00177D6B"/>
    <w:rsid w:val="00177FAF"/>
    <w:rsid w:val="00180ACF"/>
    <w:rsid w:val="00181A7B"/>
    <w:rsid w:val="00182753"/>
    <w:rsid w:val="00182B5A"/>
    <w:rsid w:val="0018465F"/>
    <w:rsid w:val="0019320C"/>
    <w:rsid w:val="00195541"/>
    <w:rsid w:val="0019732F"/>
    <w:rsid w:val="0019788E"/>
    <w:rsid w:val="00197BF6"/>
    <w:rsid w:val="00197F0A"/>
    <w:rsid w:val="001A1BE3"/>
    <w:rsid w:val="001A2E1F"/>
    <w:rsid w:val="001A42F4"/>
    <w:rsid w:val="001A4BD7"/>
    <w:rsid w:val="001A7413"/>
    <w:rsid w:val="001B02CE"/>
    <w:rsid w:val="001B09A5"/>
    <w:rsid w:val="001B5B8D"/>
    <w:rsid w:val="001B61CD"/>
    <w:rsid w:val="001C1499"/>
    <w:rsid w:val="001C1D9C"/>
    <w:rsid w:val="001C2A48"/>
    <w:rsid w:val="001C2FB7"/>
    <w:rsid w:val="001C4B7D"/>
    <w:rsid w:val="001D0354"/>
    <w:rsid w:val="001D0B6E"/>
    <w:rsid w:val="001D19C3"/>
    <w:rsid w:val="001D6271"/>
    <w:rsid w:val="001D7F25"/>
    <w:rsid w:val="001E1EAC"/>
    <w:rsid w:val="001E2A76"/>
    <w:rsid w:val="001E2AF3"/>
    <w:rsid w:val="001F0186"/>
    <w:rsid w:val="001F13F6"/>
    <w:rsid w:val="001F4A79"/>
    <w:rsid w:val="001F5F8A"/>
    <w:rsid w:val="001F7489"/>
    <w:rsid w:val="0020035F"/>
    <w:rsid w:val="00202A75"/>
    <w:rsid w:val="00203693"/>
    <w:rsid w:val="00203A43"/>
    <w:rsid w:val="00206962"/>
    <w:rsid w:val="0020790B"/>
    <w:rsid w:val="0021130B"/>
    <w:rsid w:val="002119FB"/>
    <w:rsid w:val="00212D66"/>
    <w:rsid w:val="00214CA8"/>
    <w:rsid w:val="00216531"/>
    <w:rsid w:val="002171CA"/>
    <w:rsid w:val="00217B7F"/>
    <w:rsid w:val="00221A29"/>
    <w:rsid w:val="00221E2A"/>
    <w:rsid w:val="00223111"/>
    <w:rsid w:val="0022400E"/>
    <w:rsid w:val="00224A75"/>
    <w:rsid w:val="00225CC7"/>
    <w:rsid w:val="00225FA4"/>
    <w:rsid w:val="00226691"/>
    <w:rsid w:val="00226E88"/>
    <w:rsid w:val="0023018E"/>
    <w:rsid w:val="002301D4"/>
    <w:rsid w:val="00232087"/>
    <w:rsid w:val="002336BD"/>
    <w:rsid w:val="00233FA2"/>
    <w:rsid w:val="0023416A"/>
    <w:rsid w:val="002356D7"/>
    <w:rsid w:val="002364A3"/>
    <w:rsid w:val="0023651F"/>
    <w:rsid w:val="002415F6"/>
    <w:rsid w:val="00241D07"/>
    <w:rsid w:val="002432D8"/>
    <w:rsid w:val="002449BC"/>
    <w:rsid w:val="0024616E"/>
    <w:rsid w:val="00247D41"/>
    <w:rsid w:val="00250A04"/>
    <w:rsid w:val="0025228B"/>
    <w:rsid w:val="00253ABE"/>
    <w:rsid w:val="00253D5F"/>
    <w:rsid w:val="002551C0"/>
    <w:rsid w:val="002569DC"/>
    <w:rsid w:val="00256BF9"/>
    <w:rsid w:val="002608C3"/>
    <w:rsid w:val="00261862"/>
    <w:rsid w:val="00263255"/>
    <w:rsid w:val="00263B99"/>
    <w:rsid w:val="00264AB1"/>
    <w:rsid w:val="002659D5"/>
    <w:rsid w:val="002662A5"/>
    <w:rsid w:val="002674B0"/>
    <w:rsid w:val="00271E3B"/>
    <w:rsid w:val="00272507"/>
    <w:rsid w:val="00272509"/>
    <w:rsid w:val="002746C9"/>
    <w:rsid w:val="00275346"/>
    <w:rsid w:val="00280C16"/>
    <w:rsid w:val="00282A42"/>
    <w:rsid w:val="00284FC6"/>
    <w:rsid w:val="0028509A"/>
    <w:rsid w:val="0029100F"/>
    <w:rsid w:val="00292E71"/>
    <w:rsid w:val="00293223"/>
    <w:rsid w:val="00294596"/>
    <w:rsid w:val="00296D5C"/>
    <w:rsid w:val="0029787B"/>
    <w:rsid w:val="002A0F32"/>
    <w:rsid w:val="002A203A"/>
    <w:rsid w:val="002A2160"/>
    <w:rsid w:val="002A27A2"/>
    <w:rsid w:val="002A2D3B"/>
    <w:rsid w:val="002A370D"/>
    <w:rsid w:val="002A3758"/>
    <w:rsid w:val="002A4282"/>
    <w:rsid w:val="002A7699"/>
    <w:rsid w:val="002B1996"/>
    <w:rsid w:val="002B52B2"/>
    <w:rsid w:val="002B7373"/>
    <w:rsid w:val="002C10BF"/>
    <w:rsid w:val="002C2CE9"/>
    <w:rsid w:val="002C327B"/>
    <w:rsid w:val="002C5403"/>
    <w:rsid w:val="002D6412"/>
    <w:rsid w:val="002D6995"/>
    <w:rsid w:val="002E0406"/>
    <w:rsid w:val="002E175D"/>
    <w:rsid w:val="002E24B5"/>
    <w:rsid w:val="002E3A8F"/>
    <w:rsid w:val="002E40CC"/>
    <w:rsid w:val="002E4A3F"/>
    <w:rsid w:val="002E5729"/>
    <w:rsid w:val="002E6C01"/>
    <w:rsid w:val="002E7A42"/>
    <w:rsid w:val="002E7E32"/>
    <w:rsid w:val="002F1925"/>
    <w:rsid w:val="002F1EEE"/>
    <w:rsid w:val="002F1F7C"/>
    <w:rsid w:val="002F27EF"/>
    <w:rsid w:val="002F2A41"/>
    <w:rsid w:val="002F3808"/>
    <w:rsid w:val="002F620F"/>
    <w:rsid w:val="002F6745"/>
    <w:rsid w:val="002F69AF"/>
    <w:rsid w:val="003022A0"/>
    <w:rsid w:val="00302969"/>
    <w:rsid w:val="0030336C"/>
    <w:rsid w:val="00303F17"/>
    <w:rsid w:val="00305A2F"/>
    <w:rsid w:val="00305AA4"/>
    <w:rsid w:val="003077F5"/>
    <w:rsid w:val="00310968"/>
    <w:rsid w:val="00313FA2"/>
    <w:rsid w:val="003154D1"/>
    <w:rsid w:val="00317923"/>
    <w:rsid w:val="00320B13"/>
    <w:rsid w:val="00320F58"/>
    <w:rsid w:val="00323768"/>
    <w:rsid w:val="003256C3"/>
    <w:rsid w:val="00326C40"/>
    <w:rsid w:val="00327F10"/>
    <w:rsid w:val="003301F2"/>
    <w:rsid w:val="00330754"/>
    <w:rsid w:val="00330FBC"/>
    <w:rsid w:val="0033138B"/>
    <w:rsid w:val="00332B68"/>
    <w:rsid w:val="003330A1"/>
    <w:rsid w:val="00333453"/>
    <w:rsid w:val="0034074B"/>
    <w:rsid w:val="00341272"/>
    <w:rsid w:val="003443C2"/>
    <w:rsid w:val="0034489D"/>
    <w:rsid w:val="00344CB2"/>
    <w:rsid w:val="003453BA"/>
    <w:rsid w:val="003461CA"/>
    <w:rsid w:val="00346CA8"/>
    <w:rsid w:val="00350306"/>
    <w:rsid w:val="003508DC"/>
    <w:rsid w:val="00351DFB"/>
    <w:rsid w:val="003522D4"/>
    <w:rsid w:val="003535E3"/>
    <w:rsid w:val="00356051"/>
    <w:rsid w:val="0035612F"/>
    <w:rsid w:val="00356250"/>
    <w:rsid w:val="003627E9"/>
    <w:rsid w:val="00364DF5"/>
    <w:rsid w:val="0036598A"/>
    <w:rsid w:val="00365BB4"/>
    <w:rsid w:val="0036653E"/>
    <w:rsid w:val="00366D08"/>
    <w:rsid w:val="00367C3D"/>
    <w:rsid w:val="00371106"/>
    <w:rsid w:val="00371DC3"/>
    <w:rsid w:val="00373DE6"/>
    <w:rsid w:val="00374F8C"/>
    <w:rsid w:val="0037565A"/>
    <w:rsid w:val="00375BE0"/>
    <w:rsid w:val="003771A5"/>
    <w:rsid w:val="00377A92"/>
    <w:rsid w:val="003800E1"/>
    <w:rsid w:val="00383C29"/>
    <w:rsid w:val="00383C9B"/>
    <w:rsid w:val="003850E1"/>
    <w:rsid w:val="0038558D"/>
    <w:rsid w:val="00387389"/>
    <w:rsid w:val="0039210D"/>
    <w:rsid w:val="00392A8D"/>
    <w:rsid w:val="00392CA8"/>
    <w:rsid w:val="003933E5"/>
    <w:rsid w:val="003934C5"/>
    <w:rsid w:val="00395354"/>
    <w:rsid w:val="00395AA4"/>
    <w:rsid w:val="003961E0"/>
    <w:rsid w:val="00396A14"/>
    <w:rsid w:val="0039762A"/>
    <w:rsid w:val="00397DF3"/>
    <w:rsid w:val="003A0E76"/>
    <w:rsid w:val="003A241B"/>
    <w:rsid w:val="003A2640"/>
    <w:rsid w:val="003A3491"/>
    <w:rsid w:val="003A3765"/>
    <w:rsid w:val="003A4A0D"/>
    <w:rsid w:val="003A6407"/>
    <w:rsid w:val="003A682E"/>
    <w:rsid w:val="003B18A4"/>
    <w:rsid w:val="003B21BA"/>
    <w:rsid w:val="003B2946"/>
    <w:rsid w:val="003B488C"/>
    <w:rsid w:val="003B51BB"/>
    <w:rsid w:val="003B67E1"/>
    <w:rsid w:val="003B7648"/>
    <w:rsid w:val="003C10D4"/>
    <w:rsid w:val="003C32FA"/>
    <w:rsid w:val="003C4858"/>
    <w:rsid w:val="003C5353"/>
    <w:rsid w:val="003D07CF"/>
    <w:rsid w:val="003D1868"/>
    <w:rsid w:val="003D1B99"/>
    <w:rsid w:val="003D23D6"/>
    <w:rsid w:val="003D35E4"/>
    <w:rsid w:val="003D3C3B"/>
    <w:rsid w:val="003D6D84"/>
    <w:rsid w:val="003E0676"/>
    <w:rsid w:val="003E1698"/>
    <w:rsid w:val="003E31CA"/>
    <w:rsid w:val="003E4BFA"/>
    <w:rsid w:val="003F09A4"/>
    <w:rsid w:val="003F4940"/>
    <w:rsid w:val="003F6DDC"/>
    <w:rsid w:val="00402A9D"/>
    <w:rsid w:val="00403C7B"/>
    <w:rsid w:val="00405357"/>
    <w:rsid w:val="004108CF"/>
    <w:rsid w:val="00410A72"/>
    <w:rsid w:val="0041110F"/>
    <w:rsid w:val="00412956"/>
    <w:rsid w:val="00420F3F"/>
    <w:rsid w:val="00420F6A"/>
    <w:rsid w:val="0042102E"/>
    <w:rsid w:val="00421F4F"/>
    <w:rsid w:val="0042249A"/>
    <w:rsid w:val="00425EE2"/>
    <w:rsid w:val="0042751C"/>
    <w:rsid w:val="00432F66"/>
    <w:rsid w:val="004343F3"/>
    <w:rsid w:val="00434D87"/>
    <w:rsid w:val="00436988"/>
    <w:rsid w:val="004375E5"/>
    <w:rsid w:val="004420DA"/>
    <w:rsid w:val="00443A26"/>
    <w:rsid w:val="00443A5F"/>
    <w:rsid w:val="00447D34"/>
    <w:rsid w:val="004560BD"/>
    <w:rsid w:val="004573BE"/>
    <w:rsid w:val="004603CE"/>
    <w:rsid w:val="00462B67"/>
    <w:rsid w:val="00462BD3"/>
    <w:rsid w:val="00463BC4"/>
    <w:rsid w:val="00463FB2"/>
    <w:rsid w:val="0046793E"/>
    <w:rsid w:val="0047210C"/>
    <w:rsid w:val="00474B48"/>
    <w:rsid w:val="004757F8"/>
    <w:rsid w:val="00477CDC"/>
    <w:rsid w:val="00480A1A"/>
    <w:rsid w:val="00481450"/>
    <w:rsid w:val="00482665"/>
    <w:rsid w:val="004831B6"/>
    <w:rsid w:val="00483C3F"/>
    <w:rsid w:val="00484097"/>
    <w:rsid w:val="00485B73"/>
    <w:rsid w:val="00486D3E"/>
    <w:rsid w:val="00487EBB"/>
    <w:rsid w:val="004913C5"/>
    <w:rsid w:val="00491B7D"/>
    <w:rsid w:val="00492F27"/>
    <w:rsid w:val="004953F2"/>
    <w:rsid w:val="00496582"/>
    <w:rsid w:val="0049764E"/>
    <w:rsid w:val="00497C77"/>
    <w:rsid w:val="004A345F"/>
    <w:rsid w:val="004A39E7"/>
    <w:rsid w:val="004A53D2"/>
    <w:rsid w:val="004A5C91"/>
    <w:rsid w:val="004A7587"/>
    <w:rsid w:val="004B1FB4"/>
    <w:rsid w:val="004B2922"/>
    <w:rsid w:val="004B2D9F"/>
    <w:rsid w:val="004B33D1"/>
    <w:rsid w:val="004B45DC"/>
    <w:rsid w:val="004B5FDB"/>
    <w:rsid w:val="004B73B2"/>
    <w:rsid w:val="004B7B4A"/>
    <w:rsid w:val="004C1211"/>
    <w:rsid w:val="004C24FE"/>
    <w:rsid w:val="004C3D0B"/>
    <w:rsid w:val="004D368B"/>
    <w:rsid w:val="004D43D5"/>
    <w:rsid w:val="004D4693"/>
    <w:rsid w:val="004D4BF5"/>
    <w:rsid w:val="004D7562"/>
    <w:rsid w:val="004D7AFA"/>
    <w:rsid w:val="004E0748"/>
    <w:rsid w:val="004E165D"/>
    <w:rsid w:val="004E2719"/>
    <w:rsid w:val="004E2D02"/>
    <w:rsid w:val="004E2E42"/>
    <w:rsid w:val="004F18C0"/>
    <w:rsid w:val="004F1FCE"/>
    <w:rsid w:val="004F3968"/>
    <w:rsid w:val="004F4913"/>
    <w:rsid w:val="004F4A07"/>
    <w:rsid w:val="004F54A7"/>
    <w:rsid w:val="004F5C35"/>
    <w:rsid w:val="004F6F9F"/>
    <w:rsid w:val="00500218"/>
    <w:rsid w:val="005011AE"/>
    <w:rsid w:val="005076F7"/>
    <w:rsid w:val="00507C71"/>
    <w:rsid w:val="00510EC3"/>
    <w:rsid w:val="00514954"/>
    <w:rsid w:val="00516301"/>
    <w:rsid w:val="0051772B"/>
    <w:rsid w:val="0052204E"/>
    <w:rsid w:val="005227D0"/>
    <w:rsid w:val="00523CB2"/>
    <w:rsid w:val="00523D00"/>
    <w:rsid w:val="00523EE0"/>
    <w:rsid w:val="00524BA0"/>
    <w:rsid w:val="00526334"/>
    <w:rsid w:val="00533AA2"/>
    <w:rsid w:val="00534BCB"/>
    <w:rsid w:val="005368F8"/>
    <w:rsid w:val="0053724D"/>
    <w:rsid w:val="0053769F"/>
    <w:rsid w:val="0054184B"/>
    <w:rsid w:val="00542D75"/>
    <w:rsid w:val="00544123"/>
    <w:rsid w:val="0055214B"/>
    <w:rsid w:val="00553256"/>
    <w:rsid w:val="00553304"/>
    <w:rsid w:val="005544C2"/>
    <w:rsid w:val="00554D6A"/>
    <w:rsid w:val="00554DAE"/>
    <w:rsid w:val="00555222"/>
    <w:rsid w:val="00555548"/>
    <w:rsid w:val="0055575F"/>
    <w:rsid w:val="005561F3"/>
    <w:rsid w:val="00557B4B"/>
    <w:rsid w:val="00560D56"/>
    <w:rsid w:val="00560FE8"/>
    <w:rsid w:val="00561FE5"/>
    <w:rsid w:val="00563EB2"/>
    <w:rsid w:val="00566A95"/>
    <w:rsid w:val="005719FD"/>
    <w:rsid w:val="00577968"/>
    <w:rsid w:val="00582EC9"/>
    <w:rsid w:val="00586029"/>
    <w:rsid w:val="005871A4"/>
    <w:rsid w:val="005921E3"/>
    <w:rsid w:val="00592C1E"/>
    <w:rsid w:val="005960BA"/>
    <w:rsid w:val="00596717"/>
    <w:rsid w:val="005975C7"/>
    <w:rsid w:val="005A07F6"/>
    <w:rsid w:val="005A1BDE"/>
    <w:rsid w:val="005A216D"/>
    <w:rsid w:val="005A3C37"/>
    <w:rsid w:val="005A6659"/>
    <w:rsid w:val="005B0780"/>
    <w:rsid w:val="005B0790"/>
    <w:rsid w:val="005B14BF"/>
    <w:rsid w:val="005B1A81"/>
    <w:rsid w:val="005B1C5B"/>
    <w:rsid w:val="005B290F"/>
    <w:rsid w:val="005C232C"/>
    <w:rsid w:val="005C33EB"/>
    <w:rsid w:val="005C46E5"/>
    <w:rsid w:val="005C4715"/>
    <w:rsid w:val="005C6D43"/>
    <w:rsid w:val="005D0B3C"/>
    <w:rsid w:val="005D1E9B"/>
    <w:rsid w:val="005D3F87"/>
    <w:rsid w:val="005D4A0A"/>
    <w:rsid w:val="005D7264"/>
    <w:rsid w:val="005E0C43"/>
    <w:rsid w:val="005E2FF5"/>
    <w:rsid w:val="005E3051"/>
    <w:rsid w:val="005E35BD"/>
    <w:rsid w:val="005E3C97"/>
    <w:rsid w:val="005E42AD"/>
    <w:rsid w:val="005E6312"/>
    <w:rsid w:val="005E66AF"/>
    <w:rsid w:val="005E744A"/>
    <w:rsid w:val="005F1DB6"/>
    <w:rsid w:val="005F2941"/>
    <w:rsid w:val="005F335A"/>
    <w:rsid w:val="005F48DF"/>
    <w:rsid w:val="005F5D91"/>
    <w:rsid w:val="00600404"/>
    <w:rsid w:val="006010CF"/>
    <w:rsid w:val="006021FC"/>
    <w:rsid w:val="00602867"/>
    <w:rsid w:val="00607DB2"/>
    <w:rsid w:val="006106D8"/>
    <w:rsid w:val="00610826"/>
    <w:rsid w:val="00611F0B"/>
    <w:rsid w:val="006160BE"/>
    <w:rsid w:val="00616379"/>
    <w:rsid w:val="00616E9D"/>
    <w:rsid w:val="006206FD"/>
    <w:rsid w:val="00620B35"/>
    <w:rsid w:val="00622AA5"/>
    <w:rsid w:val="00624503"/>
    <w:rsid w:val="00624816"/>
    <w:rsid w:val="00626A3C"/>
    <w:rsid w:val="006301C3"/>
    <w:rsid w:val="006309AB"/>
    <w:rsid w:val="00632944"/>
    <w:rsid w:val="00634995"/>
    <w:rsid w:val="00635706"/>
    <w:rsid w:val="0063609F"/>
    <w:rsid w:val="00637674"/>
    <w:rsid w:val="00637C08"/>
    <w:rsid w:val="00640259"/>
    <w:rsid w:val="00640C09"/>
    <w:rsid w:val="006441DA"/>
    <w:rsid w:val="0064570D"/>
    <w:rsid w:val="00650720"/>
    <w:rsid w:val="0065267B"/>
    <w:rsid w:val="00652E84"/>
    <w:rsid w:val="00656C77"/>
    <w:rsid w:val="006577FB"/>
    <w:rsid w:val="0065789C"/>
    <w:rsid w:val="006604E6"/>
    <w:rsid w:val="00660B24"/>
    <w:rsid w:val="00660E98"/>
    <w:rsid w:val="00663913"/>
    <w:rsid w:val="006679E3"/>
    <w:rsid w:val="00670013"/>
    <w:rsid w:val="00671A92"/>
    <w:rsid w:val="00672983"/>
    <w:rsid w:val="00674A94"/>
    <w:rsid w:val="00675BC3"/>
    <w:rsid w:val="00676C89"/>
    <w:rsid w:val="00680652"/>
    <w:rsid w:val="0068068C"/>
    <w:rsid w:val="006824E2"/>
    <w:rsid w:val="00682E9E"/>
    <w:rsid w:val="00686899"/>
    <w:rsid w:val="00686BF9"/>
    <w:rsid w:val="006905A8"/>
    <w:rsid w:val="00691F94"/>
    <w:rsid w:val="0069246C"/>
    <w:rsid w:val="006943E3"/>
    <w:rsid w:val="00696179"/>
    <w:rsid w:val="0069770E"/>
    <w:rsid w:val="006A01CB"/>
    <w:rsid w:val="006A36FE"/>
    <w:rsid w:val="006A3E94"/>
    <w:rsid w:val="006A5BF4"/>
    <w:rsid w:val="006A6541"/>
    <w:rsid w:val="006B0681"/>
    <w:rsid w:val="006B2161"/>
    <w:rsid w:val="006B321E"/>
    <w:rsid w:val="006B584F"/>
    <w:rsid w:val="006B64E2"/>
    <w:rsid w:val="006C01E2"/>
    <w:rsid w:val="006C0239"/>
    <w:rsid w:val="006C133C"/>
    <w:rsid w:val="006C25E4"/>
    <w:rsid w:val="006C2C79"/>
    <w:rsid w:val="006C30D1"/>
    <w:rsid w:val="006C32B0"/>
    <w:rsid w:val="006C3EFD"/>
    <w:rsid w:val="006C461F"/>
    <w:rsid w:val="006C6DEA"/>
    <w:rsid w:val="006C724E"/>
    <w:rsid w:val="006D1C0F"/>
    <w:rsid w:val="006D455F"/>
    <w:rsid w:val="006D4B21"/>
    <w:rsid w:val="006D529B"/>
    <w:rsid w:val="006D5AA7"/>
    <w:rsid w:val="006D7085"/>
    <w:rsid w:val="006D75D9"/>
    <w:rsid w:val="006E067B"/>
    <w:rsid w:val="006E172A"/>
    <w:rsid w:val="006E3F30"/>
    <w:rsid w:val="006E502D"/>
    <w:rsid w:val="006E6B4A"/>
    <w:rsid w:val="006E70D6"/>
    <w:rsid w:val="006F2734"/>
    <w:rsid w:val="006F2DDB"/>
    <w:rsid w:val="006F401B"/>
    <w:rsid w:val="006F4AEC"/>
    <w:rsid w:val="006F505F"/>
    <w:rsid w:val="006F62FB"/>
    <w:rsid w:val="00701076"/>
    <w:rsid w:val="00707B3C"/>
    <w:rsid w:val="007114B6"/>
    <w:rsid w:val="00712683"/>
    <w:rsid w:val="00713466"/>
    <w:rsid w:val="00716B72"/>
    <w:rsid w:val="00717E2D"/>
    <w:rsid w:val="00721771"/>
    <w:rsid w:val="00724656"/>
    <w:rsid w:val="007252F1"/>
    <w:rsid w:val="007307B1"/>
    <w:rsid w:val="00730902"/>
    <w:rsid w:val="00730BC8"/>
    <w:rsid w:val="0073150F"/>
    <w:rsid w:val="007328F5"/>
    <w:rsid w:val="00734620"/>
    <w:rsid w:val="007346D1"/>
    <w:rsid w:val="00735F60"/>
    <w:rsid w:val="00736FA5"/>
    <w:rsid w:val="00737036"/>
    <w:rsid w:val="00742B13"/>
    <w:rsid w:val="007432E0"/>
    <w:rsid w:val="007433BF"/>
    <w:rsid w:val="00743514"/>
    <w:rsid w:val="00752E17"/>
    <w:rsid w:val="007530B5"/>
    <w:rsid w:val="00754526"/>
    <w:rsid w:val="00755034"/>
    <w:rsid w:val="00755873"/>
    <w:rsid w:val="00762A6E"/>
    <w:rsid w:val="007638F7"/>
    <w:rsid w:val="0077134B"/>
    <w:rsid w:val="00771A75"/>
    <w:rsid w:val="00771F8C"/>
    <w:rsid w:val="00775798"/>
    <w:rsid w:val="00775A60"/>
    <w:rsid w:val="00775FCE"/>
    <w:rsid w:val="00776FBB"/>
    <w:rsid w:val="007816B6"/>
    <w:rsid w:val="007824A4"/>
    <w:rsid w:val="00783453"/>
    <w:rsid w:val="0078543A"/>
    <w:rsid w:val="00786371"/>
    <w:rsid w:val="007870B6"/>
    <w:rsid w:val="00787564"/>
    <w:rsid w:val="0078786B"/>
    <w:rsid w:val="007917C8"/>
    <w:rsid w:val="00793FFC"/>
    <w:rsid w:val="00794923"/>
    <w:rsid w:val="0079662A"/>
    <w:rsid w:val="00797EE1"/>
    <w:rsid w:val="007A170B"/>
    <w:rsid w:val="007A18BE"/>
    <w:rsid w:val="007A75F7"/>
    <w:rsid w:val="007B08C4"/>
    <w:rsid w:val="007B0D18"/>
    <w:rsid w:val="007B21F4"/>
    <w:rsid w:val="007B2DAB"/>
    <w:rsid w:val="007B35D7"/>
    <w:rsid w:val="007B39B4"/>
    <w:rsid w:val="007B3A08"/>
    <w:rsid w:val="007B7DDE"/>
    <w:rsid w:val="007C09F7"/>
    <w:rsid w:val="007C0CD8"/>
    <w:rsid w:val="007C147A"/>
    <w:rsid w:val="007C149B"/>
    <w:rsid w:val="007C17EA"/>
    <w:rsid w:val="007C1FD1"/>
    <w:rsid w:val="007C3247"/>
    <w:rsid w:val="007C3313"/>
    <w:rsid w:val="007C4313"/>
    <w:rsid w:val="007C4464"/>
    <w:rsid w:val="007C4509"/>
    <w:rsid w:val="007C54FC"/>
    <w:rsid w:val="007C6236"/>
    <w:rsid w:val="007C6423"/>
    <w:rsid w:val="007C76AF"/>
    <w:rsid w:val="007C7AF3"/>
    <w:rsid w:val="007D049A"/>
    <w:rsid w:val="007D0E06"/>
    <w:rsid w:val="007D13F1"/>
    <w:rsid w:val="007D3E52"/>
    <w:rsid w:val="007D7039"/>
    <w:rsid w:val="007E075D"/>
    <w:rsid w:val="007E0800"/>
    <w:rsid w:val="007E3096"/>
    <w:rsid w:val="007E4342"/>
    <w:rsid w:val="007E44CA"/>
    <w:rsid w:val="007E65A5"/>
    <w:rsid w:val="007E6D22"/>
    <w:rsid w:val="007F065E"/>
    <w:rsid w:val="007F1091"/>
    <w:rsid w:val="007F200E"/>
    <w:rsid w:val="007F2415"/>
    <w:rsid w:val="007F37B4"/>
    <w:rsid w:val="007F3BE8"/>
    <w:rsid w:val="007F614A"/>
    <w:rsid w:val="007F7ED5"/>
    <w:rsid w:val="007F7F1E"/>
    <w:rsid w:val="00800156"/>
    <w:rsid w:val="00802328"/>
    <w:rsid w:val="008034B0"/>
    <w:rsid w:val="00804BB3"/>
    <w:rsid w:val="00804F57"/>
    <w:rsid w:val="00805FFA"/>
    <w:rsid w:val="00806107"/>
    <w:rsid w:val="00806F86"/>
    <w:rsid w:val="0081114B"/>
    <w:rsid w:val="00812004"/>
    <w:rsid w:val="00812A9F"/>
    <w:rsid w:val="008137F0"/>
    <w:rsid w:val="00814227"/>
    <w:rsid w:val="00817AFD"/>
    <w:rsid w:val="00821FDC"/>
    <w:rsid w:val="00823257"/>
    <w:rsid w:val="008241EF"/>
    <w:rsid w:val="008256F3"/>
    <w:rsid w:val="00825FCE"/>
    <w:rsid w:val="00827495"/>
    <w:rsid w:val="00830A5B"/>
    <w:rsid w:val="00832FF2"/>
    <w:rsid w:val="008333E2"/>
    <w:rsid w:val="00835CED"/>
    <w:rsid w:val="00837CAE"/>
    <w:rsid w:val="00840389"/>
    <w:rsid w:val="00840E43"/>
    <w:rsid w:val="00842EDC"/>
    <w:rsid w:val="00843266"/>
    <w:rsid w:val="00847A9A"/>
    <w:rsid w:val="00852D7D"/>
    <w:rsid w:val="00855F3D"/>
    <w:rsid w:val="00861187"/>
    <w:rsid w:val="00861E70"/>
    <w:rsid w:val="008641FF"/>
    <w:rsid w:val="008677B2"/>
    <w:rsid w:val="008678F8"/>
    <w:rsid w:val="00867A00"/>
    <w:rsid w:val="008722C7"/>
    <w:rsid w:val="00873BD3"/>
    <w:rsid w:val="00874115"/>
    <w:rsid w:val="00874D5F"/>
    <w:rsid w:val="00876ECC"/>
    <w:rsid w:val="00880462"/>
    <w:rsid w:val="00882921"/>
    <w:rsid w:val="00883B88"/>
    <w:rsid w:val="00884976"/>
    <w:rsid w:val="00884CC2"/>
    <w:rsid w:val="00884E84"/>
    <w:rsid w:val="008852FD"/>
    <w:rsid w:val="0089052E"/>
    <w:rsid w:val="00894268"/>
    <w:rsid w:val="00894F63"/>
    <w:rsid w:val="008962F7"/>
    <w:rsid w:val="00896A64"/>
    <w:rsid w:val="008A21F3"/>
    <w:rsid w:val="008A23AE"/>
    <w:rsid w:val="008A3761"/>
    <w:rsid w:val="008A7B2D"/>
    <w:rsid w:val="008B1CED"/>
    <w:rsid w:val="008B1E9A"/>
    <w:rsid w:val="008B2884"/>
    <w:rsid w:val="008B2D5D"/>
    <w:rsid w:val="008B41F3"/>
    <w:rsid w:val="008B429D"/>
    <w:rsid w:val="008B6F60"/>
    <w:rsid w:val="008C15A0"/>
    <w:rsid w:val="008C22CB"/>
    <w:rsid w:val="008C48CB"/>
    <w:rsid w:val="008C5A73"/>
    <w:rsid w:val="008C7118"/>
    <w:rsid w:val="008D0A14"/>
    <w:rsid w:val="008D15D5"/>
    <w:rsid w:val="008D38C3"/>
    <w:rsid w:val="008D6D35"/>
    <w:rsid w:val="008D6FD7"/>
    <w:rsid w:val="008D7432"/>
    <w:rsid w:val="008E5E30"/>
    <w:rsid w:val="008E67AF"/>
    <w:rsid w:val="008E7D88"/>
    <w:rsid w:val="008F19BC"/>
    <w:rsid w:val="008F4C38"/>
    <w:rsid w:val="008F4E39"/>
    <w:rsid w:val="008F5204"/>
    <w:rsid w:val="008F6504"/>
    <w:rsid w:val="008F6C9F"/>
    <w:rsid w:val="008F71E2"/>
    <w:rsid w:val="00900665"/>
    <w:rsid w:val="00901A9B"/>
    <w:rsid w:val="00904153"/>
    <w:rsid w:val="00904E4B"/>
    <w:rsid w:val="00905C8C"/>
    <w:rsid w:val="009074DB"/>
    <w:rsid w:val="00907933"/>
    <w:rsid w:val="00907CA1"/>
    <w:rsid w:val="00911EE7"/>
    <w:rsid w:val="00922731"/>
    <w:rsid w:val="00923700"/>
    <w:rsid w:val="00923D34"/>
    <w:rsid w:val="00925750"/>
    <w:rsid w:val="0092575D"/>
    <w:rsid w:val="0092627A"/>
    <w:rsid w:val="00927B08"/>
    <w:rsid w:val="00931657"/>
    <w:rsid w:val="009324C3"/>
    <w:rsid w:val="00932C2F"/>
    <w:rsid w:val="0093457A"/>
    <w:rsid w:val="00934AFB"/>
    <w:rsid w:val="00935637"/>
    <w:rsid w:val="00935DE9"/>
    <w:rsid w:val="009368E2"/>
    <w:rsid w:val="00936FA8"/>
    <w:rsid w:val="00937D21"/>
    <w:rsid w:val="0094360B"/>
    <w:rsid w:val="00945F8F"/>
    <w:rsid w:val="0094610C"/>
    <w:rsid w:val="00946D20"/>
    <w:rsid w:val="0095096D"/>
    <w:rsid w:val="00951AFE"/>
    <w:rsid w:val="00952508"/>
    <w:rsid w:val="0095300B"/>
    <w:rsid w:val="0095385D"/>
    <w:rsid w:val="00953AAA"/>
    <w:rsid w:val="00955DCE"/>
    <w:rsid w:val="009568C1"/>
    <w:rsid w:val="00956955"/>
    <w:rsid w:val="00956D2C"/>
    <w:rsid w:val="009622C7"/>
    <w:rsid w:val="00962655"/>
    <w:rsid w:val="00962EF2"/>
    <w:rsid w:val="00964BD7"/>
    <w:rsid w:val="00964FEB"/>
    <w:rsid w:val="00965BAB"/>
    <w:rsid w:val="009665FF"/>
    <w:rsid w:val="00966810"/>
    <w:rsid w:val="009677DD"/>
    <w:rsid w:val="00967844"/>
    <w:rsid w:val="00971EF9"/>
    <w:rsid w:val="0097234E"/>
    <w:rsid w:val="00972354"/>
    <w:rsid w:val="0097241D"/>
    <w:rsid w:val="009727CC"/>
    <w:rsid w:val="00974377"/>
    <w:rsid w:val="00974F9E"/>
    <w:rsid w:val="009754BC"/>
    <w:rsid w:val="00976933"/>
    <w:rsid w:val="00976FD6"/>
    <w:rsid w:val="0097701D"/>
    <w:rsid w:val="00980887"/>
    <w:rsid w:val="00980EB8"/>
    <w:rsid w:val="00981BAA"/>
    <w:rsid w:val="00982CA6"/>
    <w:rsid w:val="00983FD5"/>
    <w:rsid w:val="0098471F"/>
    <w:rsid w:val="00984847"/>
    <w:rsid w:val="00984E9A"/>
    <w:rsid w:val="0098594F"/>
    <w:rsid w:val="009906C6"/>
    <w:rsid w:val="00990DE2"/>
    <w:rsid w:val="0099239E"/>
    <w:rsid w:val="00994103"/>
    <w:rsid w:val="00994129"/>
    <w:rsid w:val="009A1681"/>
    <w:rsid w:val="009A28E7"/>
    <w:rsid w:val="009A379F"/>
    <w:rsid w:val="009A3821"/>
    <w:rsid w:val="009A4ADB"/>
    <w:rsid w:val="009A62A2"/>
    <w:rsid w:val="009A6C40"/>
    <w:rsid w:val="009A73FD"/>
    <w:rsid w:val="009B046F"/>
    <w:rsid w:val="009B062D"/>
    <w:rsid w:val="009B0D2F"/>
    <w:rsid w:val="009B19C5"/>
    <w:rsid w:val="009B3234"/>
    <w:rsid w:val="009B43EA"/>
    <w:rsid w:val="009B5C75"/>
    <w:rsid w:val="009B64F0"/>
    <w:rsid w:val="009B68BD"/>
    <w:rsid w:val="009B6C21"/>
    <w:rsid w:val="009B7FDA"/>
    <w:rsid w:val="009C0BA1"/>
    <w:rsid w:val="009C30EE"/>
    <w:rsid w:val="009C6633"/>
    <w:rsid w:val="009C7A58"/>
    <w:rsid w:val="009C7BAC"/>
    <w:rsid w:val="009D10DB"/>
    <w:rsid w:val="009D163C"/>
    <w:rsid w:val="009D1717"/>
    <w:rsid w:val="009D3803"/>
    <w:rsid w:val="009D3C1A"/>
    <w:rsid w:val="009D4A87"/>
    <w:rsid w:val="009D53D2"/>
    <w:rsid w:val="009D66FF"/>
    <w:rsid w:val="009E117D"/>
    <w:rsid w:val="009E1AB3"/>
    <w:rsid w:val="009E228E"/>
    <w:rsid w:val="009E363A"/>
    <w:rsid w:val="009E39EF"/>
    <w:rsid w:val="009E54E5"/>
    <w:rsid w:val="009E6ABD"/>
    <w:rsid w:val="009E7180"/>
    <w:rsid w:val="009F207D"/>
    <w:rsid w:val="009F2E48"/>
    <w:rsid w:val="009F2FA2"/>
    <w:rsid w:val="009F5479"/>
    <w:rsid w:val="00A001B2"/>
    <w:rsid w:val="00A02829"/>
    <w:rsid w:val="00A03DEE"/>
    <w:rsid w:val="00A04A30"/>
    <w:rsid w:val="00A06C18"/>
    <w:rsid w:val="00A07201"/>
    <w:rsid w:val="00A104E9"/>
    <w:rsid w:val="00A121D3"/>
    <w:rsid w:val="00A12CA3"/>
    <w:rsid w:val="00A13FB3"/>
    <w:rsid w:val="00A168D1"/>
    <w:rsid w:val="00A2051D"/>
    <w:rsid w:val="00A31678"/>
    <w:rsid w:val="00A32791"/>
    <w:rsid w:val="00A33877"/>
    <w:rsid w:val="00A33EF9"/>
    <w:rsid w:val="00A34A50"/>
    <w:rsid w:val="00A3786C"/>
    <w:rsid w:val="00A40B59"/>
    <w:rsid w:val="00A417FB"/>
    <w:rsid w:val="00A41D43"/>
    <w:rsid w:val="00A425BB"/>
    <w:rsid w:val="00A4295A"/>
    <w:rsid w:val="00A42FA0"/>
    <w:rsid w:val="00A460B4"/>
    <w:rsid w:val="00A462ED"/>
    <w:rsid w:val="00A46AAF"/>
    <w:rsid w:val="00A5064B"/>
    <w:rsid w:val="00A517BA"/>
    <w:rsid w:val="00A554ED"/>
    <w:rsid w:val="00A5703B"/>
    <w:rsid w:val="00A57415"/>
    <w:rsid w:val="00A57FE9"/>
    <w:rsid w:val="00A623F8"/>
    <w:rsid w:val="00A63120"/>
    <w:rsid w:val="00A638DE"/>
    <w:rsid w:val="00A64844"/>
    <w:rsid w:val="00A6639C"/>
    <w:rsid w:val="00A70CA2"/>
    <w:rsid w:val="00A71129"/>
    <w:rsid w:val="00A71734"/>
    <w:rsid w:val="00A7271D"/>
    <w:rsid w:val="00A73AED"/>
    <w:rsid w:val="00A77F41"/>
    <w:rsid w:val="00A80893"/>
    <w:rsid w:val="00A849F2"/>
    <w:rsid w:val="00A85380"/>
    <w:rsid w:val="00A87F99"/>
    <w:rsid w:val="00A9084C"/>
    <w:rsid w:val="00A91066"/>
    <w:rsid w:val="00A93ED4"/>
    <w:rsid w:val="00A94CC8"/>
    <w:rsid w:val="00AA0528"/>
    <w:rsid w:val="00AA18DA"/>
    <w:rsid w:val="00AA3051"/>
    <w:rsid w:val="00AA5D22"/>
    <w:rsid w:val="00AA6190"/>
    <w:rsid w:val="00AA76A0"/>
    <w:rsid w:val="00AA7A6F"/>
    <w:rsid w:val="00AB249B"/>
    <w:rsid w:val="00AB4211"/>
    <w:rsid w:val="00AB4321"/>
    <w:rsid w:val="00AC23E3"/>
    <w:rsid w:val="00AC23F3"/>
    <w:rsid w:val="00AC271B"/>
    <w:rsid w:val="00AC2E4E"/>
    <w:rsid w:val="00AC373B"/>
    <w:rsid w:val="00AC3B73"/>
    <w:rsid w:val="00AC68B6"/>
    <w:rsid w:val="00AC733B"/>
    <w:rsid w:val="00AD22DD"/>
    <w:rsid w:val="00AD44E2"/>
    <w:rsid w:val="00AE1FED"/>
    <w:rsid w:val="00AE30B3"/>
    <w:rsid w:val="00AF29C0"/>
    <w:rsid w:val="00AF3686"/>
    <w:rsid w:val="00AF3CF3"/>
    <w:rsid w:val="00AF4A4F"/>
    <w:rsid w:val="00AF5610"/>
    <w:rsid w:val="00AF56E5"/>
    <w:rsid w:val="00AF598D"/>
    <w:rsid w:val="00AF6758"/>
    <w:rsid w:val="00AF6EA5"/>
    <w:rsid w:val="00AF725C"/>
    <w:rsid w:val="00AF72EF"/>
    <w:rsid w:val="00B0171E"/>
    <w:rsid w:val="00B01955"/>
    <w:rsid w:val="00B02DDB"/>
    <w:rsid w:val="00B0463E"/>
    <w:rsid w:val="00B062F4"/>
    <w:rsid w:val="00B07979"/>
    <w:rsid w:val="00B13570"/>
    <w:rsid w:val="00B15AC2"/>
    <w:rsid w:val="00B21ABA"/>
    <w:rsid w:val="00B21ECE"/>
    <w:rsid w:val="00B258FC"/>
    <w:rsid w:val="00B3012C"/>
    <w:rsid w:val="00B30A5A"/>
    <w:rsid w:val="00B316E2"/>
    <w:rsid w:val="00B32AA2"/>
    <w:rsid w:val="00B33214"/>
    <w:rsid w:val="00B33A7D"/>
    <w:rsid w:val="00B36624"/>
    <w:rsid w:val="00B37E6B"/>
    <w:rsid w:val="00B4161F"/>
    <w:rsid w:val="00B41A97"/>
    <w:rsid w:val="00B43125"/>
    <w:rsid w:val="00B431B6"/>
    <w:rsid w:val="00B46282"/>
    <w:rsid w:val="00B474E8"/>
    <w:rsid w:val="00B47A5D"/>
    <w:rsid w:val="00B47EE3"/>
    <w:rsid w:val="00B5015C"/>
    <w:rsid w:val="00B50E9F"/>
    <w:rsid w:val="00B55B3D"/>
    <w:rsid w:val="00B5723D"/>
    <w:rsid w:val="00B6057C"/>
    <w:rsid w:val="00B66001"/>
    <w:rsid w:val="00B67847"/>
    <w:rsid w:val="00B679D0"/>
    <w:rsid w:val="00B7082A"/>
    <w:rsid w:val="00B70E3B"/>
    <w:rsid w:val="00B71414"/>
    <w:rsid w:val="00B724B0"/>
    <w:rsid w:val="00B73148"/>
    <w:rsid w:val="00B73899"/>
    <w:rsid w:val="00B74458"/>
    <w:rsid w:val="00B7615A"/>
    <w:rsid w:val="00B8320D"/>
    <w:rsid w:val="00B91440"/>
    <w:rsid w:val="00B9257E"/>
    <w:rsid w:val="00B95199"/>
    <w:rsid w:val="00B95276"/>
    <w:rsid w:val="00B95E40"/>
    <w:rsid w:val="00B9658B"/>
    <w:rsid w:val="00B965AD"/>
    <w:rsid w:val="00B973AD"/>
    <w:rsid w:val="00BA51AC"/>
    <w:rsid w:val="00BA5F58"/>
    <w:rsid w:val="00BA6382"/>
    <w:rsid w:val="00BA76C6"/>
    <w:rsid w:val="00BB17FC"/>
    <w:rsid w:val="00BB2DD2"/>
    <w:rsid w:val="00BB5FDA"/>
    <w:rsid w:val="00BB6F03"/>
    <w:rsid w:val="00BC4202"/>
    <w:rsid w:val="00BC4EDD"/>
    <w:rsid w:val="00BC7F67"/>
    <w:rsid w:val="00BD2394"/>
    <w:rsid w:val="00BD2478"/>
    <w:rsid w:val="00BD2711"/>
    <w:rsid w:val="00BD29D3"/>
    <w:rsid w:val="00BD3863"/>
    <w:rsid w:val="00BD4C5E"/>
    <w:rsid w:val="00BD6BCC"/>
    <w:rsid w:val="00BD799E"/>
    <w:rsid w:val="00BE00AC"/>
    <w:rsid w:val="00BE032A"/>
    <w:rsid w:val="00BE0DA2"/>
    <w:rsid w:val="00BE2A8B"/>
    <w:rsid w:val="00BE350C"/>
    <w:rsid w:val="00BE3B44"/>
    <w:rsid w:val="00BE3C63"/>
    <w:rsid w:val="00BE4477"/>
    <w:rsid w:val="00BE5C85"/>
    <w:rsid w:val="00BE64D0"/>
    <w:rsid w:val="00BF22B1"/>
    <w:rsid w:val="00BF2E3F"/>
    <w:rsid w:val="00BF5A88"/>
    <w:rsid w:val="00BF6D05"/>
    <w:rsid w:val="00BF6EA7"/>
    <w:rsid w:val="00C009A5"/>
    <w:rsid w:val="00C01B2B"/>
    <w:rsid w:val="00C1225F"/>
    <w:rsid w:val="00C1232B"/>
    <w:rsid w:val="00C12D94"/>
    <w:rsid w:val="00C13285"/>
    <w:rsid w:val="00C136C6"/>
    <w:rsid w:val="00C137AA"/>
    <w:rsid w:val="00C13BC1"/>
    <w:rsid w:val="00C1436A"/>
    <w:rsid w:val="00C16086"/>
    <w:rsid w:val="00C16102"/>
    <w:rsid w:val="00C16233"/>
    <w:rsid w:val="00C1688A"/>
    <w:rsid w:val="00C20573"/>
    <w:rsid w:val="00C22B87"/>
    <w:rsid w:val="00C24910"/>
    <w:rsid w:val="00C250AD"/>
    <w:rsid w:val="00C3066A"/>
    <w:rsid w:val="00C31D7F"/>
    <w:rsid w:val="00C34A70"/>
    <w:rsid w:val="00C35050"/>
    <w:rsid w:val="00C350EE"/>
    <w:rsid w:val="00C353E5"/>
    <w:rsid w:val="00C3561D"/>
    <w:rsid w:val="00C369DB"/>
    <w:rsid w:val="00C41C7E"/>
    <w:rsid w:val="00C4236A"/>
    <w:rsid w:val="00C42D6F"/>
    <w:rsid w:val="00C43FD2"/>
    <w:rsid w:val="00C44BD7"/>
    <w:rsid w:val="00C4578F"/>
    <w:rsid w:val="00C46132"/>
    <w:rsid w:val="00C46336"/>
    <w:rsid w:val="00C46842"/>
    <w:rsid w:val="00C47AD7"/>
    <w:rsid w:val="00C50646"/>
    <w:rsid w:val="00C52BCB"/>
    <w:rsid w:val="00C575E9"/>
    <w:rsid w:val="00C57D01"/>
    <w:rsid w:val="00C6292D"/>
    <w:rsid w:val="00C62C09"/>
    <w:rsid w:val="00C6383C"/>
    <w:rsid w:val="00C65768"/>
    <w:rsid w:val="00C66901"/>
    <w:rsid w:val="00C710AB"/>
    <w:rsid w:val="00C75D8A"/>
    <w:rsid w:val="00C769D1"/>
    <w:rsid w:val="00C76D97"/>
    <w:rsid w:val="00C81171"/>
    <w:rsid w:val="00C81398"/>
    <w:rsid w:val="00C82243"/>
    <w:rsid w:val="00C84278"/>
    <w:rsid w:val="00C844AC"/>
    <w:rsid w:val="00C84F32"/>
    <w:rsid w:val="00C8532D"/>
    <w:rsid w:val="00C86368"/>
    <w:rsid w:val="00C9195C"/>
    <w:rsid w:val="00C92D5E"/>
    <w:rsid w:val="00C94A81"/>
    <w:rsid w:val="00C95A1F"/>
    <w:rsid w:val="00C9689D"/>
    <w:rsid w:val="00C97F1B"/>
    <w:rsid w:val="00CA0609"/>
    <w:rsid w:val="00CA0CF8"/>
    <w:rsid w:val="00CA287F"/>
    <w:rsid w:val="00CA308E"/>
    <w:rsid w:val="00CA3A12"/>
    <w:rsid w:val="00CA57C1"/>
    <w:rsid w:val="00CB04EC"/>
    <w:rsid w:val="00CB36BE"/>
    <w:rsid w:val="00CB525F"/>
    <w:rsid w:val="00CB6B28"/>
    <w:rsid w:val="00CC1B16"/>
    <w:rsid w:val="00CC2272"/>
    <w:rsid w:val="00CC468D"/>
    <w:rsid w:val="00CC6527"/>
    <w:rsid w:val="00CC7046"/>
    <w:rsid w:val="00CC7A6B"/>
    <w:rsid w:val="00CD1DDB"/>
    <w:rsid w:val="00CD5F48"/>
    <w:rsid w:val="00CD6453"/>
    <w:rsid w:val="00CE0F51"/>
    <w:rsid w:val="00CE2A01"/>
    <w:rsid w:val="00CE4722"/>
    <w:rsid w:val="00CE517F"/>
    <w:rsid w:val="00CE5D11"/>
    <w:rsid w:val="00CE5D9C"/>
    <w:rsid w:val="00CF1D34"/>
    <w:rsid w:val="00CF2D96"/>
    <w:rsid w:val="00CF398D"/>
    <w:rsid w:val="00CF40B2"/>
    <w:rsid w:val="00CF4747"/>
    <w:rsid w:val="00D00B7A"/>
    <w:rsid w:val="00D033B7"/>
    <w:rsid w:val="00D0440B"/>
    <w:rsid w:val="00D0578A"/>
    <w:rsid w:val="00D05EF9"/>
    <w:rsid w:val="00D07623"/>
    <w:rsid w:val="00D124A7"/>
    <w:rsid w:val="00D152AC"/>
    <w:rsid w:val="00D15338"/>
    <w:rsid w:val="00D158BD"/>
    <w:rsid w:val="00D20787"/>
    <w:rsid w:val="00D20B7E"/>
    <w:rsid w:val="00D20CFD"/>
    <w:rsid w:val="00D22744"/>
    <w:rsid w:val="00D22E5B"/>
    <w:rsid w:val="00D263AA"/>
    <w:rsid w:val="00D26914"/>
    <w:rsid w:val="00D31305"/>
    <w:rsid w:val="00D31DE8"/>
    <w:rsid w:val="00D36930"/>
    <w:rsid w:val="00D36C21"/>
    <w:rsid w:val="00D36DAF"/>
    <w:rsid w:val="00D36F4A"/>
    <w:rsid w:val="00D37B46"/>
    <w:rsid w:val="00D4050D"/>
    <w:rsid w:val="00D446DE"/>
    <w:rsid w:val="00D4798E"/>
    <w:rsid w:val="00D5153B"/>
    <w:rsid w:val="00D515E6"/>
    <w:rsid w:val="00D52A96"/>
    <w:rsid w:val="00D53B94"/>
    <w:rsid w:val="00D544C5"/>
    <w:rsid w:val="00D55EB5"/>
    <w:rsid w:val="00D56674"/>
    <w:rsid w:val="00D57046"/>
    <w:rsid w:val="00D61FBF"/>
    <w:rsid w:val="00D6219B"/>
    <w:rsid w:val="00D626A3"/>
    <w:rsid w:val="00D637D4"/>
    <w:rsid w:val="00D6438B"/>
    <w:rsid w:val="00D64E73"/>
    <w:rsid w:val="00D65F1F"/>
    <w:rsid w:val="00D665D1"/>
    <w:rsid w:val="00D66D86"/>
    <w:rsid w:val="00D701E1"/>
    <w:rsid w:val="00D714FB"/>
    <w:rsid w:val="00D732FE"/>
    <w:rsid w:val="00D73544"/>
    <w:rsid w:val="00D77242"/>
    <w:rsid w:val="00D77363"/>
    <w:rsid w:val="00D779BF"/>
    <w:rsid w:val="00D834EB"/>
    <w:rsid w:val="00D83AAD"/>
    <w:rsid w:val="00D86059"/>
    <w:rsid w:val="00D861F5"/>
    <w:rsid w:val="00D867B5"/>
    <w:rsid w:val="00D877E8"/>
    <w:rsid w:val="00D91589"/>
    <w:rsid w:val="00D91F13"/>
    <w:rsid w:val="00D92665"/>
    <w:rsid w:val="00D9572A"/>
    <w:rsid w:val="00D970FB"/>
    <w:rsid w:val="00D977F9"/>
    <w:rsid w:val="00D97E14"/>
    <w:rsid w:val="00DA17F7"/>
    <w:rsid w:val="00DA27A8"/>
    <w:rsid w:val="00DA3495"/>
    <w:rsid w:val="00DA4BB9"/>
    <w:rsid w:val="00DA5D8B"/>
    <w:rsid w:val="00DA5E0E"/>
    <w:rsid w:val="00DA5FE7"/>
    <w:rsid w:val="00DA7BEB"/>
    <w:rsid w:val="00DB1104"/>
    <w:rsid w:val="00DB25CF"/>
    <w:rsid w:val="00DB38B3"/>
    <w:rsid w:val="00DB540A"/>
    <w:rsid w:val="00DB5879"/>
    <w:rsid w:val="00DB5993"/>
    <w:rsid w:val="00DC10C3"/>
    <w:rsid w:val="00DC265A"/>
    <w:rsid w:val="00DC32AB"/>
    <w:rsid w:val="00DC3A01"/>
    <w:rsid w:val="00DC6528"/>
    <w:rsid w:val="00DD2F68"/>
    <w:rsid w:val="00DD3179"/>
    <w:rsid w:val="00DD31A9"/>
    <w:rsid w:val="00DD3440"/>
    <w:rsid w:val="00DD3BE3"/>
    <w:rsid w:val="00DD45C4"/>
    <w:rsid w:val="00DD4C7D"/>
    <w:rsid w:val="00DD4EF0"/>
    <w:rsid w:val="00DD568F"/>
    <w:rsid w:val="00DE186D"/>
    <w:rsid w:val="00DE20D0"/>
    <w:rsid w:val="00DE2EB7"/>
    <w:rsid w:val="00DE2FCF"/>
    <w:rsid w:val="00DE3FD6"/>
    <w:rsid w:val="00DE7362"/>
    <w:rsid w:val="00DE752E"/>
    <w:rsid w:val="00DF0708"/>
    <w:rsid w:val="00DF14CF"/>
    <w:rsid w:val="00DF3718"/>
    <w:rsid w:val="00DF422D"/>
    <w:rsid w:val="00DF7240"/>
    <w:rsid w:val="00DF7314"/>
    <w:rsid w:val="00E00E40"/>
    <w:rsid w:val="00E022C5"/>
    <w:rsid w:val="00E02528"/>
    <w:rsid w:val="00E0269E"/>
    <w:rsid w:val="00E074DA"/>
    <w:rsid w:val="00E07611"/>
    <w:rsid w:val="00E07DF6"/>
    <w:rsid w:val="00E11184"/>
    <w:rsid w:val="00E116CF"/>
    <w:rsid w:val="00E11F41"/>
    <w:rsid w:val="00E14238"/>
    <w:rsid w:val="00E146C4"/>
    <w:rsid w:val="00E14C99"/>
    <w:rsid w:val="00E200F8"/>
    <w:rsid w:val="00E20DEA"/>
    <w:rsid w:val="00E2158A"/>
    <w:rsid w:val="00E22EA2"/>
    <w:rsid w:val="00E22FF2"/>
    <w:rsid w:val="00E23B2E"/>
    <w:rsid w:val="00E24A6B"/>
    <w:rsid w:val="00E27C1F"/>
    <w:rsid w:val="00E309A4"/>
    <w:rsid w:val="00E3103E"/>
    <w:rsid w:val="00E31E73"/>
    <w:rsid w:val="00E3251B"/>
    <w:rsid w:val="00E40F84"/>
    <w:rsid w:val="00E4122B"/>
    <w:rsid w:val="00E41A50"/>
    <w:rsid w:val="00E4296A"/>
    <w:rsid w:val="00E4373F"/>
    <w:rsid w:val="00E43757"/>
    <w:rsid w:val="00E45E65"/>
    <w:rsid w:val="00E47B7B"/>
    <w:rsid w:val="00E504F6"/>
    <w:rsid w:val="00E5117C"/>
    <w:rsid w:val="00E51309"/>
    <w:rsid w:val="00E52260"/>
    <w:rsid w:val="00E523EA"/>
    <w:rsid w:val="00E548AC"/>
    <w:rsid w:val="00E54A50"/>
    <w:rsid w:val="00E56D36"/>
    <w:rsid w:val="00E628AD"/>
    <w:rsid w:val="00E629CE"/>
    <w:rsid w:val="00E62C31"/>
    <w:rsid w:val="00E63C0C"/>
    <w:rsid w:val="00E6481A"/>
    <w:rsid w:val="00E672EE"/>
    <w:rsid w:val="00E67F18"/>
    <w:rsid w:val="00E70174"/>
    <w:rsid w:val="00E71EA8"/>
    <w:rsid w:val="00E74BF8"/>
    <w:rsid w:val="00E779CA"/>
    <w:rsid w:val="00E835E8"/>
    <w:rsid w:val="00E844C8"/>
    <w:rsid w:val="00E919FF"/>
    <w:rsid w:val="00E97024"/>
    <w:rsid w:val="00E97075"/>
    <w:rsid w:val="00E97AB6"/>
    <w:rsid w:val="00EA0EE1"/>
    <w:rsid w:val="00EA0F32"/>
    <w:rsid w:val="00EA1309"/>
    <w:rsid w:val="00EA445B"/>
    <w:rsid w:val="00EA44CA"/>
    <w:rsid w:val="00EA4992"/>
    <w:rsid w:val="00EA5CE0"/>
    <w:rsid w:val="00EA66CA"/>
    <w:rsid w:val="00EA74C3"/>
    <w:rsid w:val="00EB2DDA"/>
    <w:rsid w:val="00EB3913"/>
    <w:rsid w:val="00EB4EC4"/>
    <w:rsid w:val="00EB5E19"/>
    <w:rsid w:val="00EC0B70"/>
    <w:rsid w:val="00EC20E6"/>
    <w:rsid w:val="00EC395B"/>
    <w:rsid w:val="00EC4748"/>
    <w:rsid w:val="00EC52F5"/>
    <w:rsid w:val="00EC5ACC"/>
    <w:rsid w:val="00ED0403"/>
    <w:rsid w:val="00ED04EE"/>
    <w:rsid w:val="00ED174D"/>
    <w:rsid w:val="00ED1797"/>
    <w:rsid w:val="00ED1A35"/>
    <w:rsid w:val="00ED296B"/>
    <w:rsid w:val="00ED3A19"/>
    <w:rsid w:val="00ED439F"/>
    <w:rsid w:val="00ED5FBC"/>
    <w:rsid w:val="00ED652F"/>
    <w:rsid w:val="00ED6A41"/>
    <w:rsid w:val="00ED6A97"/>
    <w:rsid w:val="00EE1BF2"/>
    <w:rsid w:val="00EE38D7"/>
    <w:rsid w:val="00EE48F1"/>
    <w:rsid w:val="00EE4FED"/>
    <w:rsid w:val="00EE54C3"/>
    <w:rsid w:val="00EE5BDA"/>
    <w:rsid w:val="00EE6F9B"/>
    <w:rsid w:val="00EF26D7"/>
    <w:rsid w:val="00EF34D6"/>
    <w:rsid w:val="00EF3B5C"/>
    <w:rsid w:val="00EF4C03"/>
    <w:rsid w:val="00EF75AC"/>
    <w:rsid w:val="00F00A05"/>
    <w:rsid w:val="00F00DBC"/>
    <w:rsid w:val="00F01412"/>
    <w:rsid w:val="00F021D9"/>
    <w:rsid w:val="00F0380A"/>
    <w:rsid w:val="00F0385D"/>
    <w:rsid w:val="00F03A92"/>
    <w:rsid w:val="00F03B50"/>
    <w:rsid w:val="00F07C79"/>
    <w:rsid w:val="00F12A39"/>
    <w:rsid w:val="00F12AF2"/>
    <w:rsid w:val="00F131A6"/>
    <w:rsid w:val="00F16C13"/>
    <w:rsid w:val="00F20E6A"/>
    <w:rsid w:val="00F21BA0"/>
    <w:rsid w:val="00F22823"/>
    <w:rsid w:val="00F23316"/>
    <w:rsid w:val="00F239FD"/>
    <w:rsid w:val="00F25479"/>
    <w:rsid w:val="00F26461"/>
    <w:rsid w:val="00F31E2A"/>
    <w:rsid w:val="00F35E38"/>
    <w:rsid w:val="00F36379"/>
    <w:rsid w:val="00F407D3"/>
    <w:rsid w:val="00F42F56"/>
    <w:rsid w:val="00F430E0"/>
    <w:rsid w:val="00F44109"/>
    <w:rsid w:val="00F44E23"/>
    <w:rsid w:val="00F454B7"/>
    <w:rsid w:val="00F512E1"/>
    <w:rsid w:val="00F51C60"/>
    <w:rsid w:val="00F52328"/>
    <w:rsid w:val="00F523B2"/>
    <w:rsid w:val="00F5556D"/>
    <w:rsid w:val="00F562BE"/>
    <w:rsid w:val="00F57629"/>
    <w:rsid w:val="00F61463"/>
    <w:rsid w:val="00F618B7"/>
    <w:rsid w:val="00F6375F"/>
    <w:rsid w:val="00F63D45"/>
    <w:rsid w:val="00F64B5C"/>
    <w:rsid w:val="00F65D96"/>
    <w:rsid w:val="00F6642F"/>
    <w:rsid w:val="00F670FC"/>
    <w:rsid w:val="00F67A33"/>
    <w:rsid w:val="00F7279C"/>
    <w:rsid w:val="00F72BCF"/>
    <w:rsid w:val="00F7381C"/>
    <w:rsid w:val="00F74FC0"/>
    <w:rsid w:val="00F778F3"/>
    <w:rsid w:val="00F83626"/>
    <w:rsid w:val="00F83666"/>
    <w:rsid w:val="00F8403B"/>
    <w:rsid w:val="00F846FC"/>
    <w:rsid w:val="00F861C2"/>
    <w:rsid w:val="00F86209"/>
    <w:rsid w:val="00F86E4E"/>
    <w:rsid w:val="00F90028"/>
    <w:rsid w:val="00F9342E"/>
    <w:rsid w:val="00F943A0"/>
    <w:rsid w:val="00F950A6"/>
    <w:rsid w:val="00F978A4"/>
    <w:rsid w:val="00FA0979"/>
    <w:rsid w:val="00FA1043"/>
    <w:rsid w:val="00FA11C6"/>
    <w:rsid w:val="00FA3335"/>
    <w:rsid w:val="00FA4722"/>
    <w:rsid w:val="00FA5037"/>
    <w:rsid w:val="00FA5435"/>
    <w:rsid w:val="00FA5A58"/>
    <w:rsid w:val="00FA798A"/>
    <w:rsid w:val="00FA7E90"/>
    <w:rsid w:val="00FB1027"/>
    <w:rsid w:val="00FB1295"/>
    <w:rsid w:val="00FB17DB"/>
    <w:rsid w:val="00FB18C8"/>
    <w:rsid w:val="00FB1B7E"/>
    <w:rsid w:val="00FB24B7"/>
    <w:rsid w:val="00FB2702"/>
    <w:rsid w:val="00FB3022"/>
    <w:rsid w:val="00FB3704"/>
    <w:rsid w:val="00FB44EE"/>
    <w:rsid w:val="00FB50B9"/>
    <w:rsid w:val="00FC093E"/>
    <w:rsid w:val="00FC509F"/>
    <w:rsid w:val="00FC5BB1"/>
    <w:rsid w:val="00FC7E78"/>
    <w:rsid w:val="00FD2675"/>
    <w:rsid w:val="00FD2E86"/>
    <w:rsid w:val="00FD3CD5"/>
    <w:rsid w:val="00FD4B28"/>
    <w:rsid w:val="00FD51A0"/>
    <w:rsid w:val="00FE0284"/>
    <w:rsid w:val="00FE317E"/>
    <w:rsid w:val="00FE78F3"/>
    <w:rsid w:val="00FF0C07"/>
    <w:rsid w:val="00FF2414"/>
    <w:rsid w:val="00FF28CA"/>
    <w:rsid w:val="00FF30D2"/>
    <w:rsid w:val="00FF55B7"/>
    <w:rsid w:val="00FF569A"/>
    <w:rsid w:val="00FF5E29"/>
    <w:rsid w:val="00FF626F"/>
    <w:rsid w:val="00FF71F2"/>
    <w:rsid w:val="016C1586"/>
    <w:rsid w:val="01BF43E3"/>
    <w:rsid w:val="0225734A"/>
    <w:rsid w:val="02572FEC"/>
    <w:rsid w:val="02886335"/>
    <w:rsid w:val="02956077"/>
    <w:rsid w:val="02B130C6"/>
    <w:rsid w:val="02B2189D"/>
    <w:rsid w:val="02CA1BBF"/>
    <w:rsid w:val="02D20EF2"/>
    <w:rsid w:val="02E54D2C"/>
    <w:rsid w:val="02E82A0D"/>
    <w:rsid w:val="02FD28CC"/>
    <w:rsid w:val="03496DF7"/>
    <w:rsid w:val="03671EFA"/>
    <w:rsid w:val="039C4FB1"/>
    <w:rsid w:val="03F23EEF"/>
    <w:rsid w:val="041169FC"/>
    <w:rsid w:val="04156509"/>
    <w:rsid w:val="047371F5"/>
    <w:rsid w:val="04D715DA"/>
    <w:rsid w:val="04EB1C45"/>
    <w:rsid w:val="05166405"/>
    <w:rsid w:val="05477104"/>
    <w:rsid w:val="0553272D"/>
    <w:rsid w:val="055C0F63"/>
    <w:rsid w:val="056F09EF"/>
    <w:rsid w:val="05FA785A"/>
    <w:rsid w:val="0605091C"/>
    <w:rsid w:val="0616745F"/>
    <w:rsid w:val="062D7496"/>
    <w:rsid w:val="064B6044"/>
    <w:rsid w:val="06657089"/>
    <w:rsid w:val="06726600"/>
    <w:rsid w:val="06CF0083"/>
    <w:rsid w:val="06D90382"/>
    <w:rsid w:val="070C0696"/>
    <w:rsid w:val="071E5A16"/>
    <w:rsid w:val="07C937BF"/>
    <w:rsid w:val="07EF0979"/>
    <w:rsid w:val="0831053B"/>
    <w:rsid w:val="08412C76"/>
    <w:rsid w:val="08793CA9"/>
    <w:rsid w:val="089D72D2"/>
    <w:rsid w:val="08FF7763"/>
    <w:rsid w:val="09057635"/>
    <w:rsid w:val="096F0ABB"/>
    <w:rsid w:val="09910354"/>
    <w:rsid w:val="09A15DBC"/>
    <w:rsid w:val="09C6027F"/>
    <w:rsid w:val="09D04095"/>
    <w:rsid w:val="0A2A7A5B"/>
    <w:rsid w:val="0A3B709C"/>
    <w:rsid w:val="0A4506CE"/>
    <w:rsid w:val="0A954FB6"/>
    <w:rsid w:val="0ACC1F39"/>
    <w:rsid w:val="0AD125F3"/>
    <w:rsid w:val="0ADF77EF"/>
    <w:rsid w:val="0B2049EE"/>
    <w:rsid w:val="0B2B553A"/>
    <w:rsid w:val="0B2F6646"/>
    <w:rsid w:val="0B346BD7"/>
    <w:rsid w:val="0B6B61C4"/>
    <w:rsid w:val="0B8659FC"/>
    <w:rsid w:val="0B9D5E92"/>
    <w:rsid w:val="0BB6425E"/>
    <w:rsid w:val="0BE17678"/>
    <w:rsid w:val="0BF06DF2"/>
    <w:rsid w:val="0C2F0E93"/>
    <w:rsid w:val="0C6805E4"/>
    <w:rsid w:val="0C9968D3"/>
    <w:rsid w:val="0D280491"/>
    <w:rsid w:val="0D406458"/>
    <w:rsid w:val="0D8612FE"/>
    <w:rsid w:val="0D971CA7"/>
    <w:rsid w:val="0DD062B9"/>
    <w:rsid w:val="0DE8465A"/>
    <w:rsid w:val="0E18203E"/>
    <w:rsid w:val="0E450864"/>
    <w:rsid w:val="0E564A0B"/>
    <w:rsid w:val="0E853BFA"/>
    <w:rsid w:val="0EE31A71"/>
    <w:rsid w:val="0F071FCF"/>
    <w:rsid w:val="0F1C53EF"/>
    <w:rsid w:val="0F1E0895"/>
    <w:rsid w:val="0F20287B"/>
    <w:rsid w:val="0F2E4A36"/>
    <w:rsid w:val="0F2F7C40"/>
    <w:rsid w:val="0F6E1DC7"/>
    <w:rsid w:val="0F992198"/>
    <w:rsid w:val="0FBE6BCB"/>
    <w:rsid w:val="0FF03D2E"/>
    <w:rsid w:val="10250508"/>
    <w:rsid w:val="108442C5"/>
    <w:rsid w:val="10C86F48"/>
    <w:rsid w:val="10EE0F51"/>
    <w:rsid w:val="111012D6"/>
    <w:rsid w:val="114B3390"/>
    <w:rsid w:val="114C7BD1"/>
    <w:rsid w:val="1179746D"/>
    <w:rsid w:val="117C7BA5"/>
    <w:rsid w:val="11BC03B1"/>
    <w:rsid w:val="11D120ED"/>
    <w:rsid w:val="11E51C7F"/>
    <w:rsid w:val="11F35547"/>
    <w:rsid w:val="121D065C"/>
    <w:rsid w:val="12437710"/>
    <w:rsid w:val="128F03BA"/>
    <w:rsid w:val="12D04502"/>
    <w:rsid w:val="12E74BAE"/>
    <w:rsid w:val="12EA64C4"/>
    <w:rsid w:val="13352B8C"/>
    <w:rsid w:val="139B7A58"/>
    <w:rsid w:val="13D81F5B"/>
    <w:rsid w:val="141C4E63"/>
    <w:rsid w:val="145047B7"/>
    <w:rsid w:val="147E765A"/>
    <w:rsid w:val="14C80B26"/>
    <w:rsid w:val="14FE6C5E"/>
    <w:rsid w:val="15131AFE"/>
    <w:rsid w:val="152A2FC9"/>
    <w:rsid w:val="15341C5A"/>
    <w:rsid w:val="15870A80"/>
    <w:rsid w:val="158F1DF4"/>
    <w:rsid w:val="1597693F"/>
    <w:rsid w:val="15C60C67"/>
    <w:rsid w:val="16667227"/>
    <w:rsid w:val="167774BA"/>
    <w:rsid w:val="16806A41"/>
    <w:rsid w:val="16CD5BBE"/>
    <w:rsid w:val="172B4305"/>
    <w:rsid w:val="174817DC"/>
    <w:rsid w:val="175A3B0F"/>
    <w:rsid w:val="176A5841"/>
    <w:rsid w:val="177278E5"/>
    <w:rsid w:val="179B0005"/>
    <w:rsid w:val="17B43613"/>
    <w:rsid w:val="17BE3373"/>
    <w:rsid w:val="17C14CD5"/>
    <w:rsid w:val="17D611A1"/>
    <w:rsid w:val="17DE2C1D"/>
    <w:rsid w:val="17F12CED"/>
    <w:rsid w:val="180E2163"/>
    <w:rsid w:val="180F01DE"/>
    <w:rsid w:val="18347420"/>
    <w:rsid w:val="184B34DD"/>
    <w:rsid w:val="191411B6"/>
    <w:rsid w:val="19375EF2"/>
    <w:rsid w:val="194B249C"/>
    <w:rsid w:val="195643A9"/>
    <w:rsid w:val="197A67D3"/>
    <w:rsid w:val="19951410"/>
    <w:rsid w:val="19B30BF1"/>
    <w:rsid w:val="19BA1C02"/>
    <w:rsid w:val="19DF1A38"/>
    <w:rsid w:val="1A5A6E09"/>
    <w:rsid w:val="1A6E424E"/>
    <w:rsid w:val="1A916B34"/>
    <w:rsid w:val="1AA532C8"/>
    <w:rsid w:val="1B5C3E52"/>
    <w:rsid w:val="1BA63A57"/>
    <w:rsid w:val="1BA81567"/>
    <w:rsid w:val="1BB93010"/>
    <w:rsid w:val="1BBB0DC5"/>
    <w:rsid w:val="1BC24F05"/>
    <w:rsid w:val="1BEE2535"/>
    <w:rsid w:val="1C06312A"/>
    <w:rsid w:val="1C1A17E9"/>
    <w:rsid w:val="1C513921"/>
    <w:rsid w:val="1C5C0AF2"/>
    <w:rsid w:val="1C761F07"/>
    <w:rsid w:val="1C820E30"/>
    <w:rsid w:val="1C8A18EA"/>
    <w:rsid w:val="1CB80449"/>
    <w:rsid w:val="1CBE0124"/>
    <w:rsid w:val="1CF841AD"/>
    <w:rsid w:val="1D1052C7"/>
    <w:rsid w:val="1D2B40AB"/>
    <w:rsid w:val="1D3211CB"/>
    <w:rsid w:val="1D4079F2"/>
    <w:rsid w:val="1D8415FA"/>
    <w:rsid w:val="1D8D410C"/>
    <w:rsid w:val="1E11596C"/>
    <w:rsid w:val="1E3F7C79"/>
    <w:rsid w:val="1E8129A5"/>
    <w:rsid w:val="1E97591C"/>
    <w:rsid w:val="1E9F37C3"/>
    <w:rsid w:val="1EA2679B"/>
    <w:rsid w:val="1EE0095E"/>
    <w:rsid w:val="1F056B81"/>
    <w:rsid w:val="1F120BCD"/>
    <w:rsid w:val="1F4F7B41"/>
    <w:rsid w:val="1F50256B"/>
    <w:rsid w:val="1F6351A3"/>
    <w:rsid w:val="1F645D8E"/>
    <w:rsid w:val="1FA06829"/>
    <w:rsid w:val="1FA91264"/>
    <w:rsid w:val="1FCA48EE"/>
    <w:rsid w:val="1FCE17F7"/>
    <w:rsid w:val="1FFC74EA"/>
    <w:rsid w:val="206865D2"/>
    <w:rsid w:val="207777AC"/>
    <w:rsid w:val="208D7486"/>
    <w:rsid w:val="20BA4864"/>
    <w:rsid w:val="21046A98"/>
    <w:rsid w:val="211C11FE"/>
    <w:rsid w:val="21212DF7"/>
    <w:rsid w:val="21341896"/>
    <w:rsid w:val="21597358"/>
    <w:rsid w:val="21A337FD"/>
    <w:rsid w:val="21A45422"/>
    <w:rsid w:val="21A63AC2"/>
    <w:rsid w:val="21E31EC0"/>
    <w:rsid w:val="21EC172A"/>
    <w:rsid w:val="21F655F2"/>
    <w:rsid w:val="21F97282"/>
    <w:rsid w:val="22252448"/>
    <w:rsid w:val="224F1DF8"/>
    <w:rsid w:val="2250548F"/>
    <w:rsid w:val="226A5D36"/>
    <w:rsid w:val="228A18CC"/>
    <w:rsid w:val="22916C84"/>
    <w:rsid w:val="22A103D9"/>
    <w:rsid w:val="22F52331"/>
    <w:rsid w:val="233A5CDB"/>
    <w:rsid w:val="235D2F77"/>
    <w:rsid w:val="23645F43"/>
    <w:rsid w:val="238A7DAE"/>
    <w:rsid w:val="23AA5F2F"/>
    <w:rsid w:val="23AC4BE7"/>
    <w:rsid w:val="242D5C8C"/>
    <w:rsid w:val="24C610DE"/>
    <w:rsid w:val="254704CE"/>
    <w:rsid w:val="255078BB"/>
    <w:rsid w:val="256610D3"/>
    <w:rsid w:val="256D2D6D"/>
    <w:rsid w:val="25B1048E"/>
    <w:rsid w:val="25D87CE8"/>
    <w:rsid w:val="25DE02CF"/>
    <w:rsid w:val="263F1374"/>
    <w:rsid w:val="2641018C"/>
    <w:rsid w:val="265A1CC6"/>
    <w:rsid w:val="268F764A"/>
    <w:rsid w:val="26D175C3"/>
    <w:rsid w:val="26DF29B9"/>
    <w:rsid w:val="26E02C45"/>
    <w:rsid w:val="270D0FEA"/>
    <w:rsid w:val="273D4F8D"/>
    <w:rsid w:val="27455AFA"/>
    <w:rsid w:val="275E7B71"/>
    <w:rsid w:val="27766742"/>
    <w:rsid w:val="27A75055"/>
    <w:rsid w:val="27B3139E"/>
    <w:rsid w:val="27BC5833"/>
    <w:rsid w:val="28134D39"/>
    <w:rsid w:val="2821089B"/>
    <w:rsid w:val="28552939"/>
    <w:rsid w:val="285A3743"/>
    <w:rsid w:val="287C24E7"/>
    <w:rsid w:val="28B03E74"/>
    <w:rsid w:val="28CC761B"/>
    <w:rsid w:val="28ED173D"/>
    <w:rsid w:val="28F53608"/>
    <w:rsid w:val="29290440"/>
    <w:rsid w:val="292D3A44"/>
    <w:rsid w:val="29466651"/>
    <w:rsid w:val="29A24808"/>
    <w:rsid w:val="29BB1AE7"/>
    <w:rsid w:val="29FA157F"/>
    <w:rsid w:val="2A0879F7"/>
    <w:rsid w:val="2A3C7F94"/>
    <w:rsid w:val="2A6858FC"/>
    <w:rsid w:val="2AA55992"/>
    <w:rsid w:val="2AB232DF"/>
    <w:rsid w:val="2AED2364"/>
    <w:rsid w:val="2B036D5A"/>
    <w:rsid w:val="2B2F5F86"/>
    <w:rsid w:val="2B981AE2"/>
    <w:rsid w:val="2B9D6897"/>
    <w:rsid w:val="2BA84754"/>
    <w:rsid w:val="2C1D4924"/>
    <w:rsid w:val="2C211BE0"/>
    <w:rsid w:val="2C5F7577"/>
    <w:rsid w:val="2C997952"/>
    <w:rsid w:val="2CA16A2D"/>
    <w:rsid w:val="2CA84936"/>
    <w:rsid w:val="2CBE634A"/>
    <w:rsid w:val="2CC37BAD"/>
    <w:rsid w:val="2CD13A9B"/>
    <w:rsid w:val="2D0F6A95"/>
    <w:rsid w:val="2D46343F"/>
    <w:rsid w:val="2D6B1F55"/>
    <w:rsid w:val="2D7373C7"/>
    <w:rsid w:val="2D8C707C"/>
    <w:rsid w:val="2D8D6B6F"/>
    <w:rsid w:val="2D937435"/>
    <w:rsid w:val="2DCE5D66"/>
    <w:rsid w:val="2DDC5341"/>
    <w:rsid w:val="2E44685A"/>
    <w:rsid w:val="2EA50478"/>
    <w:rsid w:val="2EC554AB"/>
    <w:rsid w:val="2EFF6503"/>
    <w:rsid w:val="2F005E89"/>
    <w:rsid w:val="2F39316D"/>
    <w:rsid w:val="2F4871CF"/>
    <w:rsid w:val="2F723E06"/>
    <w:rsid w:val="2F8D0F88"/>
    <w:rsid w:val="2FA23AB0"/>
    <w:rsid w:val="30065571"/>
    <w:rsid w:val="301C00A5"/>
    <w:rsid w:val="303C1E70"/>
    <w:rsid w:val="30473BB7"/>
    <w:rsid w:val="3068359D"/>
    <w:rsid w:val="30697628"/>
    <w:rsid w:val="30C7223B"/>
    <w:rsid w:val="30E14516"/>
    <w:rsid w:val="30E3292A"/>
    <w:rsid w:val="30F370BF"/>
    <w:rsid w:val="31312D5C"/>
    <w:rsid w:val="31AC65DF"/>
    <w:rsid w:val="31C44103"/>
    <w:rsid w:val="321E111C"/>
    <w:rsid w:val="322D4ABE"/>
    <w:rsid w:val="32611999"/>
    <w:rsid w:val="32791EC6"/>
    <w:rsid w:val="32A2220E"/>
    <w:rsid w:val="32AC79A4"/>
    <w:rsid w:val="32C23B41"/>
    <w:rsid w:val="330625B6"/>
    <w:rsid w:val="33146BC2"/>
    <w:rsid w:val="33207FD5"/>
    <w:rsid w:val="33385FFB"/>
    <w:rsid w:val="335C0943"/>
    <w:rsid w:val="336B540D"/>
    <w:rsid w:val="336E552F"/>
    <w:rsid w:val="337600BA"/>
    <w:rsid w:val="33B10EB4"/>
    <w:rsid w:val="33E82816"/>
    <w:rsid w:val="34421BE5"/>
    <w:rsid w:val="344806AA"/>
    <w:rsid w:val="34525FC0"/>
    <w:rsid w:val="34D72E80"/>
    <w:rsid w:val="34E63D8B"/>
    <w:rsid w:val="34F03954"/>
    <w:rsid w:val="350352A1"/>
    <w:rsid w:val="35442018"/>
    <w:rsid w:val="35495A79"/>
    <w:rsid w:val="355E692A"/>
    <w:rsid w:val="356E4B12"/>
    <w:rsid w:val="35A253EC"/>
    <w:rsid w:val="35EE7CB9"/>
    <w:rsid w:val="36236029"/>
    <w:rsid w:val="3627415E"/>
    <w:rsid w:val="368C5DD9"/>
    <w:rsid w:val="36927A29"/>
    <w:rsid w:val="370E0949"/>
    <w:rsid w:val="371776C7"/>
    <w:rsid w:val="37234B02"/>
    <w:rsid w:val="374D0744"/>
    <w:rsid w:val="38174B6F"/>
    <w:rsid w:val="381B385C"/>
    <w:rsid w:val="381C756C"/>
    <w:rsid w:val="38431F84"/>
    <w:rsid w:val="38935FDF"/>
    <w:rsid w:val="39014157"/>
    <w:rsid w:val="390B6792"/>
    <w:rsid w:val="39621118"/>
    <w:rsid w:val="39A9634F"/>
    <w:rsid w:val="39DB5A45"/>
    <w:rsid w:val="3A112463"/>
    <w:rsid w:val="3A276CA3"/>
    <w:rsid w:val="3A844198"/>
    <w:rsid w:val="3A8D1DA5"/>
    <w:rsid w:val="3A987D4E"/>
    <w:rsid w:val="3A9D29E9"/>
    <w:rsid w:val="3AFC59BC"/>
    <w:rsid w:val="3B1049F1"/>
    <w:rsid w:val="3B3447AA"/>
    <w:rsid w:val="3B6B3790"/>
    <w:rsid w:val="3B871317"/>
    <w:rsid w:val="3BA13807"/>
    <w:rsid w:val="3BB63EF8"/>
    <w:rsid w:val="3BD107FA"/>
    <w:rsid w:val="3C3336D6"/>
    <w:rsid w:val="3C5308BF"/>
    <w:rsid w:val="3C893C24"/>
    <w:rsid w:val="3CAC21AB"/>
    <w:rsid w:val="3CB0687D"/>
    <w:rsid w:val="3CC46890"/>
    <w:rsid w:val="3CE808F3"/>
    <w:rsid w:val="3CED70B6"/>
    <w:rsid w:val="3D0205C5"/>
    <w:rsid w:val="3D2A3905"/>
    <w:rsid w:val="3D5E6B9F"/>
    <w:rsid w:val="3D682A15"/>
    <w:rsid w:val="3D7C311D"/>
    <w:rsid w:val="3DA3169F"/>
    <w:rsid w:val="3DAB01EA"/>
    <w:rsid w:val="3DB66094"/>
    <w:rsid w:val="3DC74EBF"/>
    <w:rsid w:val="3DDE1DEE"/>
    <w:rsid w:val="3E0110BE"/>
    <w:rsid w:val="3E1255D9"/>
    <w:rsid w:val="3E614ECC"/>
    <w:rsid w:val="3E65507C"/>
    <w:rsid w:val="3E976D0A"/>
    <w:rsid w:val="3EA026B9"/>
    <w:rsid w:val="3EAA4F96"/>
    <w:rsid w:val="3ED50478"/>
    <w:rsid w:val="3F0E0D02"/>
    <w:rsid w:val="3F156E1E"/>
    <w:rsid w:val="3F31112A"/>
    <w:rsid w:val="3F333982"/>
    <w:rsid w:val="3F3E50F4"/>
    <w:rsid w:val="3F623166"/>
    <w:rsid w:val="3FCA7C56"/>
    <w:rsid w:val="3FDD2DA4"/>
    <w:rsid w:val="401876CF"/>
    <w:rsid w:val="40301AD6"/>
    <w:rsid w:val="40747532"/>
    <w:rsid w:val="40E43E80"/>
    <w:rsid w:val="40FE41A9"/>
    <w:rsid w:val="411C3B71"/>
    <w:rsid w:val="412F601C"/>
    <w:rsid w:val="413D2424"/>
    <w:rsid w:val="41770E3B"/>
    <w:rsid w:val="41AC5379"/>
    <w:rsid w:val="42083C1C"/>
    <w:rsid w:val="420F3C57"/>
    <w:rsid w:val="4213297E"/>
    <w:rsid w:val="42493F85"/>
    <w:rsid w:val="424C0C7C"/>
    <w:rsid w:val="4262204D"/>
    <w:rsid w:val="4321289F"/>
    <w:rsid w:val="433C6DB7"/>
    <w:rsid w:val="43475175"/>
    <w:rsid w:val="43491CB4"/>
    <w:rsid w:val="434D2936"/>
    <w:rsid w:val="43890B07"/>
    <w:rsid w:val="438D43C8"/>
    <w:rsid w:val="43E12237"/>
    <w:rsid w:val="43E257F5"/>
    <w:rsid w:val="44133245"/>
    <w:rsid w:val="4428572F"/>
    <w:rsid w:val="442A459F"/>
    <w:rsid w:val="446A4E78"/>
    <w:rsid w:val="44BC5F30"/>
    <w:rsid w:val="44E92502"/>
    <w:rsid w:val="450A5EE8"/>
    <w:rsid w:val="455819BA"/>
    <w:rsid w:val="4573601E"/>
    <w:rsid w:val="45A66B7D"/>
    <w:rsid w:val="45B34692"/>
    <w:rsid w:val="45D3026E"/>
    <w:rsid w:val="45FD6B8E"/>
    <w:rsid w:val="460F1575"/>
    <w:rsid w:val="465068EA"/>
    <w:rsid w:val="468841BD"/>
    <w:rsid w:val="47374D25"/>
    <w:rsid w:val="474E2E57"/>
    <w:rsid w:val="475E085F"/>
    <w:rsid w:val="47950C9A"/>
    <w:rsid w:val="47FD7038"/>
    <w:rsid w:val="482B0B2C"/>
    <w:rsid w:val="48960240"/>
    <w:rsid w:val="48C60692"/>
    <w:rsid w:val="48EA532B"/>
    <w:rsid w:val="4903174C"/>
    <w:rsid w:val="49132E7F"/>
    <w:rsid w:val="49133DB8"/>
    <w:rsid w:val="49172685"/>
    <w:rsid w:val="493C7410"/>
    <w:rsid w:val="49427806"/>
    <w:rsid w:val="4957543D"/>
    <w:rsid w:val="498E528A"/>
    <w:rsid w:val="499272C9"/>
    <w:rsid w:val="49942665"/>
    <w:rsid w:val="49C71838"/>
    <w:rsid w:val="49D14005"/>
    <w:rsid w:val="49E12C8F"/>
    <w:rsid w:val="49F7274F"/>
    <w:rsid w:val="49FB4A8C"/>
    <w:rsid w:val="4A1F4B98"/>
    <w:rsid w:val="4AC2523F"/>
    <w:rsid w:val="4AE37452"/>
    <w:rsid w:val="4AF84A7E"/>
    <w:rsid w:val="4BDA3C42"/>
    <w:rsid w:val="4C065431"/>
    <w:rsid w:val="4C1269A4"/>
    <w:rsid w:val="4C3908C4"/>
    <w:rsid w:val="4C7D426E"/>
    <w:rsid w:val="4CC74820"/>
    <w:rsid w:val="4CCA7997"/>
    <w:rsid w:val="4D0B0B3B"/>
    <w:rsid w:val="4D2601D8"/>
    <w:rsid w:val="4D336DED"/>
    <w:rsid w:val="4D6E1364"/>
    <w:rsid w:val="4D920ACF"/>
    <w:rsid w:val="4D97534F"/>
    <w:rsid w:val="4D9D0A56"/>
    <w:rsid w:val="4DB7102C"/>
    <w:rsid w:val="4E37519E"/>
    <w:rsid w:val="4E3F55FC"/>
    <w:rsid w:val="4E5351DF"/>
    <w:rsid w:val="4E6A7D07"/>
    <w:rsid w:val="4E6D27CE"/>
    <w:rsid w:val="4EE6258A"/>
    <w:rsid w:val="4F6C5F65"/>
    <w:rsid w:val="4F773F4F"/>
    <w:rsid w:val="4F9F062B"/>
    <w:rsid w:val="4FA1190F"/>
    <w:rsid w:val="4FC94762"/>
    <w:rsid w:val="50260A9F"/>
    <w:rsid w:val="50405934"/>
    <w:rsid w:val="50602515"/>
    <w:rsid w:val="50694480"/>
    <w:rsid w:val="50922E13"/>
    <w:rsid w:val="513D6408"/>
    <w:rsid w:val="51726808"/>
    <w:rsid w:val="51B502FB"/>
    <w:rsid w:val="51E753DB"/>
    <w:rsid w:val="51FF0B9B"/>
    <w:rsid w:val="520438C0"/>
    <w:rsid w:val="522A50E7"/>
    <w:rsid w:val="522A6B7C"/>
    <w:rsid w:val="522E297E"/>
    <w:rsid w:val="526376F4"/>
    <w:rsid w:val="526A2E3F"/>
    <w:rsid w:val="52915227"/>
    <w:rsid w:val="52BF16B0"/>
    <w:rsid w:val="52DE23AC"/>
    <w:rsid w:val="53023616"/>
    <w:rsid w:val="53290193"/>
    <w:rsid w:val="53333423"/>
    <w:rsid w:val="53340ADE"/>
    <w:rsid w:val="533C3A10"/>
    <w:rsid w:val="53523F04"/>
    <w:rsid w:val="53806DB2"/>
    <w:rsid w:val="53831BEC"/>
    <w:rsid w:val="53BF39D9"/>
    <w:rsid w:val="53D551D0"/>
    <w:rsid w:val="53EB156D"/>
    <w:rsid w:val="5415100A"/>
    <w:rsid w:val="544F5B15"/>
    <w:rsid w:val="54643BE5"/>
    <w:rsid w:val="54B0323B"/>
    <w:rsid w:val="54C54486"/>
    <w:rsid w:val="551B77E5"/>
    <w:rsid w:val="5554785C"/>
    <w:rsid w:val="558B2B31"/>
    <w:rsid w:val="558F2872"/>
    <w:rsid w:val="55C40AAE"/>
    <w:rsid w:val="55F9060B"/>
    <w:rsid w:val="56085822"/>
    <w:rsid w:val="56225739"/>
    <w:rsid w:val="56854543"/>
    <w:rsid w:val="56BA6A08"/>
    <w:rsid w:val="56F21507"/>
    <w:rsid w:val="56FD4FB9"/>
    <w:rsid w:val="57A96D0D"/>
    <w:rsid w:val="57B05E31"/>
    <w:rsid w:val="57E91010"/>
    <w:rsid w:val="57FA0C13"/>
    <w:rsid w:val="57FE29D2"/>
    <w:rsid w:val="58037756"/>
    <w:rsid w:val="583450BB"/>
    <w:rsid w:val="58511E06"/>
    <w:rsid w:val="58885D57"/>
    <w:rsid w:val="588E07A9"/>
    <w:rsid w:val="589439F3"/>
    <w:rsid w:val="58A12260"/>
    <w:rsid w:val="58AF68CC"/>
    <w:rsid w:val="58FB1F46"/>
    <w:rsid w:val="59037F07"/>
    <w:rsid w:val="5922095C"/>
    <w:rsid w:val="596D05DB"/>
    <w:rsid w:val="599248BF"/>
    <w:rsid w:val="59973224"/>
    <w:rsid w:val="59AF21ED"/>
    <w:rsid w:val="5A1020D7"/>
    <w:rsid w:val="5A241F8D"/>
    <w:rsid w:val="5A554E81"/>
    <w:rsid w:val="5A6302AE"/>
    <w:rsid w:val="5A936B52"/>
    <w:rsid w:val="5ABB52BC"/>
    <w:rsid w:val="5AC23BAC"/>
    <w:rsid w:val="5AF16F31"/>
    <w:rsid w:val="5B1342D8"/>
    <w:rsid w:val="5B19044E"/>
    <w:rsid w:val="5BF50E30"/>
    <w:rsid w:val="5C5E622F"/>
    <w:rsid w:val="5C822D6B"/>
    <w:rsid w:val="5CB6277D"/>
    <w:rsid w:val="5CC05C4D"/>
    <w:rsid w:val="5CC060C8"/>
    <w:rsid w:val="5CC5262C"/>
    <w:rsid w:val="5CD04DA2"/>
    <w:rsid w:val="5CD669FD"/>
    <w:rsid w:val="5D2E37A1"/>
    <w:rsid w:val="5D457310"/>
    <w:rsid w:val="5D5E35F2"/>
    <w:rsid w:val="5DF52BD7"/>
    <w:rsid w:val="5E3A5BC1"/>
    <w:rsid w:val="5E772819"/>
    <w:rsid w:val="5E852211"/>
    <w:rsid w:val="5E886C79"/>
    <w:rsid w:val="5E8D1439"/>
    <w:rsid w:val="5EA0777C"/>
    <w:rsid w:val="5EEA7F58"/>
    <w:rsid w:val="5F234882"/>
    <w:rsid w:val="5F2C3105"/>
    <w:rsid w:val="5F2E37B1"/>
    <w:rsid w:val="5F664E06"/>
    <w:rsid w:val="5F685DE3"/>
    <w:rsid w:val="5F8B6C2C"/>
    <w:rsid w:val="5FA948A6"/>
    <w:rsid w:val="601A18A2"/>
    <w:rsid w:val="60322F86"/>
    <w:rsid w:val="60416A3D"/>
    <w:rsid w:val="606157BB"/>
    <w:rsid w:val="60697CC7"/>
    <w:rsid w:val="60D16275"/>
    <w:rsid w:val="60E45457"/>
    <w:rsid w:val="60E63763"/>
    <w:rsid w:val="612D20A1"/>
    <w:rsid w:val="6130659B"/>
    <w:rsid w:val="61462C24"/>
    <w:rsid w:val="619F07BC"/>
    <w:rsid w:val="61BE6FE7"/>
    <w:rsid w:val="61C15CEC"/>
    <w:rsid w:val="62352C29"/>
    <w:rsid w:val="624C02BD"/>
    <w:rsid w:val="625721AE"/>
    <w:rsid w:val="627059B3"/>
    <w:rsid w:val="62B12055"/>
    <w:rsid w:val="62B24D1F"/>
    <w:rsid w:val="634F348B"/>
    <w:rsid w:val="635634EA"/>
    <w:rsid w:val="638C5E9C"/>
    <w:rsid w:val="63976047"/>
    <w:rsid w:val="639E1529"/>
    <w:rsid w:val="63AE61AC"/>
    <w:rsid w:val="63B919DB"/>
    <w:rsid w:val="63BF7ACC"/>
    <w:rsid w:val="63D10527"/>
    <w:rsid w:val="63F5753D"/>
    <w:rsid w:val="63F77831"/>
    <w:rsid w:val="64042923"/>
    <w:rsid w:val="649C1B8B"/>
    <w:rsid w:val="64D05F5F"/>
    <w:rsid w:val="653F3270"/>
    <w:rsid w:val="655570EB"/>
    <w:rsid w:val="658B43A1"/>
    <w:rsid w:val="658C2F14"/>
    <w:rsid w:val="658D37A4"/>
    <w:rsid w:val="65AD758B"/>
    <w:rsid w:val="65AF65D4"/>
    <w:rsid w:val="65C2017F"/>
    <w:rsid w:val="65C24063"/>
    <w:rsid w:val="65CA773B"/>
    <w:rsid w:val="660D6171"/>
    <w:rsid w:val="66292819"/>
    <w:rsid w:val="667708B2"/>
    <w:rsid w:val="669D3C48"/>
    <w:rsid w:val="66A9435A"/>
    <w:rsid w:val="66FD5DD2"/>
    <w:rsid w:val="671B11B5"/>
    <w:rsid w:val="671D43B7"/>
    <w:rsid w:val="674D0E3F"/>
    <w:rsid w:val="676F3787"/>
    <w:rsid w:val="677F07FF"/>
    <w:rsid w:val="67856C68"/>
    <w:rsid w:val="678907F7"/>
    <w:rsid w:val="67C01765"/>
    <w:rsid w:val="67CA5EF6"/>
    <w:rsid w:val="68110DA8"/>
    <w:rsid w:val="683B2672"/>
    <w:rsid w:val="684055B4"/>
    <w:rsid w:val="687577DD"/>
    <w:rsid w:val="68AE5D6E"/>
    <w:rsid w:val="68AF7E91"/>
    <w:rsid w:val="68C023D2"/>
    <w:rsid w:val="68C766B6"/>
    <w:rsid w:val="68E30383"/>
    <w:rsid w:val="68E37910"/>
    <w:rsid w:val="69552264"/>
    <w:rsid w:val="698712DF"/>
    <w:rsid w:val="69B87EA1"/>
    <w:rsid w:val="6A2D6062"/>
    <w:rsid w:val="6A49383F"/>
    <w:rsid w:val="6A5825EB"/>
    <w:rsid w:val="6AB31B2C"/>
    <w:rsid w:val="6AC0564A"/>
    <w:rsid w:val="6AC341F5"/>
    <w:rsid w:val="6B025E78"/>
    <w:rsid w:val="6B08577C"/>
    <w:rsid w:val="6B2E06FD"/>
    <w:rsid w:val="6B5B297F"/>
    <w:rsid w:val="6B666FC5"/>
    <w:rsid w:val="6B861BF1"/>
    <w:rsid w:val="6C2A0D55"/>
    <w:rsid w:val="6C3A53CE"/>
    <w:rsid w:val="6C84106B"/>
    <w:rsid w:val="6CA656DF"/>
    <w:rsid w:val="6CBF1DE2"/>
    <w:rsid w:val="6CD60F40"/>
    <w:rsid w:val="6CE03FD8"/>
    <w:rsid w:val="6D535020"/>
    <w:rsid w:val="6D695C7D"/>
    <w:rsid w:val="6DA463AE"/>
    <w:rsid w:val="6DDB1D0F"/>
    <w:rsid w:val="6DE30972"/>
    <w:rsid w:val="6DFC4B41"/>
    <w:rsid w:val="6E1006FE"/>
    <w:rsid w:val="6E180C9E"/>
    <w:rsid w:val="6E6C7B22"/>
    <w:rsid w:val="6EB50993"/>
    <w:rsid w:val="6EBE514D"/>
    <w:rsid w:val="6ECA445D"/>
    <w:rsid w:val="6EFB3981"/>
    <w:rsid w:val="6F31001B"/>
    <w:rsid w:val="6F365D9A"/>
    <w:rsid w:val="6F8462FD"/>
    <w:rsid w:val="6FAF2998"/>
    <w:rsid w:val="6FCE2469"/>
    <w:rsid w:val="700503E2"/>
    <w:rsid w:val="70532FDF"/>
    <w:rsid w:val="70624421"/>
    <w:rsid w:val="711F311F"/>
    <w:rsid w:val="712061CD"/>
    <w:rsid w:val="717936C6"/>
    <w:rsid w:val="718C4400"/>
    <w:rsid w:val="719D0204"/>
    <w:rsid w:val="71AF014B"/>
    <w:rsid w:val="71ED3B2E"/>
    <w:rsid w:val="71F47671"/>
    <w:rsid w:val="71F971BA"/>
    <w:rsid w:val="720F1770"/>
    <w:rsid w:val="72B327B7"/>
    <w:rsid w:val="72CE728F"/>
    <w:rsid w:val="72E03660"/>
    <w:rsid w:val="734F6F00"/>
    <w:rsid w:val="739F49DB"/>
    <w:rsid w:val="73B135E8"/>
    <w:rsid w:val="73B26B34"/>
    <w:rsid w:val="73BC3408"/>
    <w:rsid w:val="740110B8"/>
    <w:rsid w:val="7409401B"/>
    <w:rsid w:val="741D40BB"/>
    <w:rsid w:val="744F3F58"/>
    <w:rsid w:val="746A5818"/>
    <w:rsid w:val="749A6387"/>
    <w:rsid w:val="74BB1219"/>
    <w:rsid w:val="74CA2191"/>
    <w:rsid w:val="74E006E5"/>
    <w:rsid w:val="74EA3869"/>
    <w:rsid w:val="74EF3F66"/>
    <w:rsid w:val="74F20162"/>
    <w:rsid w:val="74F40F56"/>
    <w:rsid w:val="75055461"/>
    <w:rsid w:val="7568318C"/>
    <w:rsid w:val="75A71321"/>
    <w:rsid w:val="75C12169"/>
    <w:rsid w:val="75DC690B"/>
    <w:rsid w:val="75DC7252"/>
    <w:rsid w:val="7632719F"/>
    <w:rsid w:val="76945260"/>
    <w:rsid w:val="76A44362"/>
    <w:rsid w:val="76C40438"/>
    <w:rsid w:val="776A34F9"/>
    <w:rsid w:val="77AA7E67"/>
    <w:rsid w:val="77B65222"/>
    <w:rsid w:val="77BD7FD5"/>
    <w:rsid w:val="77CE777B"/>
    <w:rsid w:val="77E04025"/>
    <w:rsid w:val="77E86D0C"/>
    <w:rsid w:val="780B5A8B"/>
    <w:rsid w:val="782F0204"/>
    <w:rsid w:val="78594387"/>
    <w:rsid w:val="7887364A"/>
    <w:rsid w:val="788D7779"/>
    <w:rsid w:val="78A56BAF"/>
    <w:rsid w:val="78B5498C"/>
    <w:rsid w:val="78BA1E64"/>
    <w:rsid w:val="78D964B8"/>
    <w:rsid w:val="793B4DC4"/>
    <w:rsid w:val="795C32C5"/>
    <w:rsid w:val="7A346A2E"/>
    <w:rsid w:val="7A8462E8"/>
    <w:rsid w:val="7AE8696E"/>
    <w:rsid w:val="7AF71574"/>
    <w:rsid w:val="7B05608A"/>
    <w:rsid w:val="7B1D3E06"/>
    <w:rsid w:val="7B8841BE"/>
    <w:rsid w:val="7BBF6B45"/>
    <w:rsid w:val="7BCE7897"/>
    <w:rsid w:val="7BE83ACA"/>
    <w:rsid w:val="7BF212DD"/>
    <w:rsid w:val="7C2B0E57"/>
    <w:rsid w:val="7C6D2CAB"/>
    <w:rsid w:val="7C7E3B32"/>
    <w:rsid w:val="7C843D45"/>
    <w:rsid w:val="7D112EAB"/>
    <w:rsid w:val="7D6F5DEB"/>
    <w:rsid w:val="7D970116"/>
    <w:rsid w:val="7DCE15B2"/>
    <w:rsid w:val="7DE56E8E"/>
    <w:rsid w:val="7E7D1D7F"/>
    <w:rsid w:val="7E7D3960"/>
    <w:rsid w:val="7E822D47"/>
    <w:rsid w:val="7EB43C2A"/>
    <w:rsid w:val="7ECA3219"/>
    <w:rsid w:val="7ED94842"/>
    <w:rsid w:val="7F050E88"/>
    <w:rsid w:val="7F603545"/>
    <w:rsid w:val="7FAA51C6"/>
    <w:rsid w:val="7FD20B80"/>
    <w:rsid w:val="7FE75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8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outlineLvl w:val="0"/>
    </w:pPr>
    <w:rPr>
      <w:rFonts w:ascii="Calibri" w:hAnsi="Calibri" w:eastAsia="宋体" w:cs="Times New Roman"/>
      <w:b/>
      <w:kern w:val="44"/>
      <w:sz w:val="28"/>
      <w:szCs w:val="22"/>
    </w:rPr>
  </w:style>
  <w:style w:type="paragraph" w:styleId="3">
    <w:name w:val="heading 2"/>
    <w:basedOn w:val="1"/>
    <w:next w:val="1"/>
    <w:link w:val="21"/>
    <w:semiHidden/>
    <w:unhideWhenUsed/>
    <w:qFormat/>
    <w:uiPriority w:val="0"/>
    <w:pPr>
      <w:keepNext/>
      <w:keepLines/>
      <w:spacing w:line="360" w:lineRule="auto"/>
      <w:outlineLvl w:val="1"/>
    </w:pPr>
    <w:rPr>
      <w:rFonts w:ascii="Arial" w:hAnsi="Arial" w:cs="Times New Roman"/>
      <w:b/>
      <w:sz w:val="28"/>
      <w:szCs w:val="22"/>
    </w:rPr>
  </w:style>
  <w:style w:type="paragraph" w:styleId="4">
    <w:name w:val="heading 3"/>
    <w:basedOn w:val="1"/>
    <w:next w:val="1"/>
    <w:qFormat/>
    <w:uiPriority w:val="0"/>
    <w:pPr>
      <w:keepNext/>
      <w:jc w:val="center"/>
      <w:outlineLvl w:val="2"/>
    </w:pPr>
    <w:rPr>
      <w:sz w:val="30"/>
    </w:rPr>
  </w:style>
  <w:style w:type="paragraph" w:styleId="5">
    <w:name w:val="heading 4"/>
    <w:basedOn w:val="1"/>
    <w:next w:val="1"/>
    <w:semiHidden/>
    <w:unhideWhenUsed/>
    <w:qFormat/>
    <w:uiPriority w:val="0"/>
    <w:pPr>
      <w:keepNext/>
      <w:keepLines/>
      <w:spacing w:line="372" w:lineRule="auto"/>
      <w:outlineLvl w:val="3"/>
    </w:pPr>
    <w:rPr>
      <w:rFonts w:ascii="Arial" w:hAnsi="Arial" w:eastAsia="黑体"/>
      <w:b/>
      <w:sz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topLinePunct/>
      <w:adjustRightInd w:val="0"/>
      <w:snapToGrid w:val="0"/>
      <w:ind w:firstLine="420" w:firstLineChars="200"/>
    </w:pPr>
    <w:rPr>
      <w:rFonts w:eastAsia="宋体"/>
      <w:szCs w:val="20"/>
    </w:rPr>
  </w:style>
  <w:style w:type="paragraph" w:styleId="7">
    <w:name w:val="Body Text Indent"/>
    <w:basedOn w:val="1"/>
    <w:qFormat/>
    <w:uiPriority w:val="0"/>
    <w:pPr>
      <w:spacing w:line="320" w:lineRule="exact"/>
      <w:ind w:firstLine="425"/>
    </w:pPr>
    <w:rPr>
      <w:color w:val="000000"/>
      <w:sz w:val="24"/>
    </w:rPr>
  </w:style>
  <w:style w:type="paragraph" w:styleId="8">
    <w:name w:val="Plain Text"/>
    <w:basedOn w:val="1"/>
    <w:link w:val="31"/>
    <w:qFormat/>
    <w:uiPriority w:val="0"/>
    <w:rPr>
      <w:rFonts w:ascii="宋体" w:hAnsi="Courier New"/>
      <w:kern w:val="0"/>
      <w:sz w:val="24"/>
      <w:szCs w:val="20"/>
    </w:rPr>
  </w:style>
  <w:style w:type="paragraph" w:styleId="9">
    <w:name w:val="Balloon Text"/>
    <w:basedOn w:val="1"/>
    <w:link w:val="30"/>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Body Text Indent 3"/>
    <w:basedOn w:val="1"/>
    <w:qFormat/>
    <w:uiPriority w:val="0"/>
    <w:pPr>
      <w:snapToGrid w:val="0"/>
      <w:spacing w:line="360" w:lineRule="auto"/>
      <w:ind w:firstLine="425"/>
    </w:pPr>
    <w:rPr>
      <w:sz w:val="24"/>
    </w:rPr>
  </w:style>
  <w:style w:type="paragraph" w:styleId="1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0"/>
    <w:rPr>
      <w:color w:val="0000FF"/>
      <w:u w:val="none"/>
    </w:rPr>
  </w:style>
  <w:style w:type="paragraph" w:customStyle="1" w:styleId="19">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20">
    <w:name w:val="4正文"/>
    <w:basedOn w:val="1"/>
    <w:qFormat/>
    <w:uiPriority w:val="0"/>
    <w:pPr>
      <w:spacing w:line="360" w:lineRule="auto"/>
      <w:ind w:firstLine="480" w:firstLineChars="200"/>
    </w:pPr>
    <w:rPr>
      <w:rFonts w:cs="宋体"/>
      <w:szCs w:val="20"/>
    </w:rPr>
  </w:style>
  <w:style w:type="character" w:customStyle="1" w:styleId="21">
    <w:name w:val="标题 2 字符"/>
    <w:link w:val="3"/>
    <w:qFormat/>
    <w:uiPriority w:val="0"/>
    <w:rPr>
      <w:rFonts w:ascii="Arial" w:hAnsi="Arial" w:cs="Times New Roman"/>
      <w:b/>
      <w:sz w:val="28"/>
      <w:szCs w:val="22"/>
    </w:rPr>
  </w:style>
  <w:style w:type="paragraph" w:customStyle="1" w:styleId="22">
    <w:name w:val="p0"/>
    <w:basedOn w:val="1"/>
    <w:qFormat/>
    <w:uiPriority w:val="0"/>
    <w:pPr>
      <w:widowControl/>
    </w:pPr>
    <w:rPr>
      <w:kern w:val="0"/>
      <w:szCs w:val="21"/>
    </w:rPr>
  </w:style>
  <w:style w:type="paragraph" w:customStyle="1" w:styleId="23">
    <w:name w:val="_Style 1"/>
    <w:basedOn w:val="1"/>
    <w:qFormat/>
    <w:uiPriority w:val="1"/>
    <w:rPr>
      <w:szCs w:val="32"/>
    </w:rPr>
  </w:style>
  <w:style w:type="paragraph" w:customStyle="1" w:styleId="24">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rPr>
  </w:style>
  <w:style w:type="paragraph" w:customStyle="1" w:styleId="25">
    <w:name w:val="表标题"/>
    <w:basedOn w:val="1"/>
    <w:qFormat/>
    <w:uiPriority w:val="0"/>
    <w:pPr>
      <w:jc w:val="center"/>
    </w:pPr>
    <w:rPr>
      <w:rFonts w:ascii="黑体" w:eastAsia="黑体"/>
      <w:sz w:val="24"/>
    </w:rPr>
  </w:style>
  <w:style w:type="paragraph" w:customStyle="1" w:styleId="26">
    <w:name w:val="表格"/>
    <w:next w:val="1"/>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paragraph" w:customStyle="1" w:styleId="27">
    <w:name w:val="公文正文"/>
    <w:basedOn w:val="1"/>
    <w:qFormat/>
    <w:uiPriority w:val="0"/>
    <w:pPr>
      <w:ind w:firstLine="200" w:firstLineChars="200"/>
    </w:pPr>
    <w:rPr>
      <w:rFonts w:eastAsia="方正仿宋简体"/>
      <w:sz w:val="30"/>
    </w:rPr>
  </w:style>
  <w:style w:type="paragraph" w:customStyle="1" w:styleId="28">
    <w:name w:val="Table Paragraph"/>
    <w:basedOn w:val="1"/>
    <w:qFormat/>
    <w:uiPriority w:val="1"/>
    <w:pPr>
      <w:jc w:val="center"/>
    </w:pPr>
    <w:rPr>
      <w:rFonts w:ascii="Times New Roman" w:hAnsi="Times New Roman" w:eastAsia="Times New Roman" w:cs="Times New Roman"/>
      <w:lang w:eastAsia="en-US" w:bidi="en-US"/>
    </w:rPr>
  </w:style>
  <w:style w:type="paragraph" w:customStyle="1" w:styleId="29">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30">
    <w:name w:val="批注框文本 字符"/>
    <w:basedOn w:val="17"/>
    <w:link w:val="9"/>
    <w:qFormat/>
    <w:uiPriority w:val="0"/>
    <w:rPr>
      <w:kern w:val="2"/>
      <w:sz w:val="18"/>
      <w:szCs w:val="18"/>
    </w:rPr>
  </w:style>
  <w:style w:type="character" w:customStyle="1" w:styleId="31">
    <w:name w:val="纯文本 字符"/>
    <w:basedOn w:val="17"/>
    <w:link w:val="8"/>
    <w:qFormat/>
    <w:uiPriority w:val="0"/>
    <w:rPr>
      <w:rFonts w:ascii="宋体" w:hAnsi="Courier New"/>
      <w:sz w:val="24"/>
    </w:rPr>
  </w:style>
  <w:style w:type="paragraph" w:customStyle="1" w:styleId="32">
    <w:name w:val="Char Char Char Char Char Char Char Char Char Char"/>
    <w:basedOn w:val="1"/>
    <w:qFormat/>
    <w:uiPriority w:val="0"/>
    <w:pPr>
      <w:widowControl/>
      <w:jc w:val="left"/>
    </w:pPr>
    <w:rPr>
      <w:rFonts w:ascii="Times New Roman" w:hAnsi="Times New Roman" w:eastAsia="宋体" w:cs="Times New Roman"/>
      <w:kern w:val="0"/>
      <w:sz w:val="24"/>
    </w:rPr>
  </w:style>
  <w:style w:type="paragraph" w:customStyle="1" w:styleId="33">
    <w:name w:val="Char Char Char Char Char Char Char Char Char Char1"/>
    <w:basedOn w:val="1"/>
    <w:qFormat/>
    <w:uiPriority w:val="0"/>
    <w:pPr>
      <w:widowControl/>
      <w:jc w:val="left"/>
    </w:pPr>
    <w:rPr>
      <w:rFonts w:ascii="Times New Roman" w:hAnsi="Times New Roman" w:eastAsia="宋体" w:cs="Times New Roman"/>
      <w:kern w:val="0"/>
      <w:sz w:val="24"/>
    </w:rPr>
  </w:style>
  <w:style w:type="paragraph" w:styleId="34">
    <w:name w:val="No Spacing"/>
    <w:qFormat/>
    <w:uiPriority w:val="1"/>
    <w:rPr>
      <w:rFonts w:asciiTheme="minorHAnsi" w:hAnsiTheme="minorHAnsi" w:eastAsiaTheme="minorEastAsia" w:cstheme="minorBidi"/>
      <w:sz w:val="22"/>
      <w:szCs w:val="22"/>
      <w:lang w:val="en-US" w:eastAsia="zh-CN" w:bidi="ar-SA"/>
    </w:rPr>
  </w:style>
  <w:style w:type="paragraph" w:customStyle="1" w:styleId="35">
    <w:name w:val="BG"/>
    <w:basedOn w:val="1"/>
    <w:link w:val="36"/>
    <w:qFormat/>
    <w:uiPriority w:val="0"/>
    <w:pPr>
      <w:adjustRightInd w:val="0"/>
      <w:snapToGrid w:val="0"/>
      <w:jc w:val="center"/>
    </w:pPr>
    <w:rPr>
      <w:rFonts w:ascii="宋体" w:hAnsi="宋体"/>
      <w:bCs/>
      <w:szCs w:val="21"/>
    </w:rPr>
  </w:style>
  <w:style w:type="character" w:customStyle="1" w:styleId="36">
    <w:name w:val="BG Char"/>
    <w:basedOn w:val="17"/>
    <w:link w:val="35"/>
    <w:qFormat/>
    <w:uiPriority w:val="0"/>
    <w:rPr>
      <w:rFonts w:ascii="宋体" w:hAnsi="宋体"/>
      <w:bCs/>
      <w:sz w:val="21"/>
      <w:szCs w:val="21"/>
    </w:rPr>
  </w:style>
  <w:style w:type="paragraph" w:styleId="3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2050"/>
    <customShpInfo spid="_x0000_s1089"/>
    <customShpInfo spid="_x0000_s1092"/>
    <customShpInfo spid="_x0000_s1080"/>
    <customShpInfo spid="_x0000_s108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E5CEA5-2557-488D-AAAB-B4688D710319}">
  <ds:schemaRefs/>
</ds:datastoreItem>
</file>

<file path=docProps/app.xml><?xml version="1.0" encoding="utf-8"?>
<Properties xmlns="http://schemas.openxmlformats.org/officeDocument/2006/extended-properties" xmlns:vt="http://schemas.openxmlformats.org/officeDocument/2006/docPropsVTypes">
  <Template>0</Template>
  <Company>ICOS</Company>
  <Pages>55</Pages>
  <Words>3167</Words>
  <Characters>18056</Characters>
  <Lines>150</Lines>
  <Paragraphs>42</Paragraphs>
  <TotalTime>81</TotalTime>
  <ScaleCrop>false</ScaleCrop>
  <LinksUpToDate>false</LinksUpToDate>
  <CharactersWithSpaces>21181</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2018-08-02T01:00:00Z</dcterms:created>
  <dc:creator>兵二哥</dc:creator>
  <cp:lastModifiedBy>Administrator</cp:lastModifiedBy>
  <cp:lastPrinted>2019-09-16T03:13:00Z</cp:lastPrinted>
  <dcterms:modified xsi:type="dcterms:W3CDTF">2020-07-13T07:00:34Z</dcterms:modified>
  <cp:revision>6102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